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2DA0" w14:textId="06E00856" w:rsidR="00557E8F"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(maloodběr do 630 </w:t>
      </w:r>
      <w:proofErr w:type="spellStart"/>
      <w:r w:rsidR="00D4792B">
        <w:rPr>
          <w:b/>
          <w:sz w:val="36"/>
          <w:szCs w:val="36"/>
        </w:rPr>
        <w:t>MWh</w:t>
      </w:r>
      <w:proofErr w:type="spellEnd"/>
      <w:r w:rsidR="00D4792B">
        <w:rPr>
          <w:b/>
          <w:sz w:val="36"/>
          <w:szCs w:val="36"/>
        </w:rPr>
        <w:t>/rok)</w:t>
      </w:r>
    </w:p>
    <w:p w14:paraId="3D9C2433" w14:textId="3D604212"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C60CE5">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12389C67" w14:textId="77777777" w:rsidR="00277B12" w:rsidRDefault="00277B12" w:rsidP="00F521D2">
      <w:pPr>
        <w:pStyle w:val="Odstavecseseznamem"/>
        <w:numPr>
          <w:ilvl w:val="0"/>
          <w:numId w:val="7"/>
        </w:numPr>
        <w:spacing w:after="0" w:line="360" w:lineRule="auto"/>
        <w:ind w:left="567" w:hanging="567"/>
        <w:jc w:val="both"/>
        <w:rPr>
          <w:rFonts w:cstheme="minorHAnsi"/>
          <w:b/>
          <w:bCs/>
        </w:rPr>
      </w:pPr>
      <w:bookmarkStart w:id="1" w:name="_Hlk38874048"/>
      <w:bookmarkStart w:id="2" w:name="_Hlk38874120"/>
      <w:r w:rsidRPr="00277B12">
        <w:rPr>
          <w:rFonts w:cstheme="minorHAnsi"/>
          <w:b/>
          <w:bCs/>
        </w:rPr>
        <w:t>Pražská konzervatoř, Praha 1, Na Rejdišti 1</w:t>
      </w:r>
    </w:p>
    <w:p w14:paraId="3400F85B" w14:textId="68D5DFF8" w:rsidR="00AC2C75" w:rsidRDefault="00C47C67" w:rsidP="005645AA">
      <w:pPr>
        <w:spacing w:after="0" w:line="360" w:lineRule="auto"/>
        <w:ind w:firstLine="567"/>
      </w:pPr>
      <w:r w:rsidRPr="005A1A68">
        <w:t xml:space="preserve">se sídlem </w:t>
      </w:r>
      <w:r w:rsidR="00277B12" w:rsidRPr="00277B12">
        <w:t>Na Rejdišti 1/, 11000 Praha 1</w:t>
      </w:r>
    </w:p>
    <w:p w14:paraId="44CC53F3" w14:textId="6A2EF71D" w:rsidR="00F66757" w:rsidRPr="005645AA" w:rsidRDefault="00C47C67" w:rsidP="005645AA">
      <w:pPr>
        <w:spacing w:after="0" w:line="360" w:lineRule="auto"/>
        <w:ind w:firstLine="567"/>
      </w:pPr>
      <w:r w:rsidRPr="005A1A68">
        <w:t>IČO:</w:t>
      </w:r>
      <w:r w:rsidR="00004E09" w:rsidRPr="00004E09">
        <w:t xml:space="preserve"> </w:t>
      </w:r>
      <w:r w:rsidR="00277B12" w:rsidRPr="00277B12">
        <w:t>70837911</w:t>
      </w:r>
    </w:p>
    <w:p w14:paraId="4CDB11EE" w14:textId="6091E32D" w:rsidR="0044170D" w:rsidRDefault="00C47C67" w:rsidP="0044170D">
      <w:pPr>
        <w:spacing w:after="0" w:line="360" w:lineRule="auto"/>
        <w:ind w:firstLine="567"/>
      </w:pPr>
      <w:r w:rsidRPr="005A1A68">
        <w:t>DIČ:</w:t>
      </w:r>
      <w:r w:rsidR="00A21E30" w:rsidRPr="00A21E30">
        <w:t xml:space="preserve"> </w:t>
      </w:r>
      <w:r w:rsidR="00277B12" w:rsidRPr="00277B12">
        <w:t>CZ70837911</w:t>
      </w:r>
    </w:p>
    <w:p w14:paraId="6369824A" w14:textId="4BF35131" w:rsidR="001718BB" w:rsidRDefault="00C47C67" w:rsidP="00F66757">
      <w:pPr>
        <w:spacing w:after="0" w:line="360" w:lineRule="auto"/>
        <w:ind w:firstLine="567"/>
      </w:pPr>
      <w:r w:rsidRPr="00C47C67">
        <w:t xml:space="preserve">zastoupeno: </w:t>
      </w:r>
      <w:proofErr w:type="spellStart"/>
      <w:r w:rsidR="000D1266">
        <w:t>xxxxxxxxxxxxxxx</w:t>
      </w:r>
      <w:proofErr w:type="spellEnd"/>
      <w:r w:rsidR="00277B12" w:rsidRPr="00277B12">
        <w:t>, ředitel</w:t>
      </w:r>
    </w:p>
    <w:p w14:paraId="2C72167D" w14:textId="77D6BF7B" w:rsidR="00F4634C" w:rsidRDefault="00C47C67" w:rsidP="00F66757">
      <w:pPr>
        <w:spacing w:after="0" w:line="360" w:lineRule="auto"/>
        <w:ind w:firstLine="567"/>
      </w:pPr>
      <w:r w:rsidRPr="00C47C67">
        <w:t xml:space="preserve">bankovní spojení: </w:t>
      </w:r>
      <w:bookmarkEnd w:id="1"/>
      <w:proofErr w:type="spellStart"/>
      <w:r w:rsidR="000D1266">
        <w:t>xxxxxxxxxxxxxxxx</w:t>
      </w:r>
      <w:proofErr w:type="spellEnd"/>
    </w:p>
    <w:p w14:paraId="35E235B2" w14:textId="30EDC382" w:rsidR="00C47C67" w:rsidRPr="00C47C67" w:rsidRDefault="00C47C67" w:rsidP="00F66757">
      <w:pPr>
        <w:spacing w:after="0" w:line="360" w:lineRule="auto"/>
        <w:ind w:firstLine="567"/>
      </w:pPr>
      <w:r w:rsidRPr="00C47C67">
        <w:t xml:space="preserve">(dále jen pod označením </w:t>
      </w:r>
      <w:r w:rsidRPr="00C47C67">
        <w:rPr>
          <w:b/>
          <w:i/>
        </w:rPr>
        <w:t>„Zákazník“</w:t>
      </w:r>
      <w:r w:rsidRPr="00C47C67">
        <w:t>)</w:t>
      </w:r>
    </w:p>
    <w:p w14:paraId="108020B7" w14:textId="77777777" w:rsidR="006179FE" w:rsidRDefault="006179FE" w:rsidP="003F2249">
      <w:pPr>
        <w:spacing w:after="0" w:line="360" w:lineRule="auto"/>
      </w:pPr>
    </w:p>
    <w:p w14:paraId="1E73C61A" w14:textId="77777777" w:rsidR="006179FE" w:rsidRDefault="006179FE" w:rsidP="003F2249">
      <w:pPr>
        <w:spacing w:after="0" w:line="360" w:lineRule="auto"/>
      </w:pPr>
      <w:r>
        <w:t>a</w:t>
      </w:r>
    </w:p>
    <w:p w14:paraId="5A83A112" w14:textId="77777777" w:rsidR="006179FE" w:rsidRDefault="006179FE" w:rsidP="003F2249">
      <w:pPr>
        <w:spacing w:after="0" w:line="360" w:lineRule="auto"/>
      </w:pPr>
    </w:p>
    <w:p w14:paraId="06C71046" w14:textId="293D06E5" w:rsidR="003F2249" w:rsidRPr="00A54B01" w:rsidRDefault="005A1A68" w:rsidP="000067FF">
      <w:pPr>
        <w:pStyle w:val="Odstavecseseznamem"/>
        <w:numPr>
          <w:ilvl w:val="0"/>
          <w:numId w:val="7"/>
        </w:numPr>
        <w:spacing w:after="0" w:line="360" w:lineRule="auto"/>
        <w:ind w:left="567" w:hanging="567"/>
        <w:jc w:val="both"/>
        <w:rPr>
          <w:rFonts w:cstheme="minorHAnsi"/>
          <w:b/>
          <w:bCs/>
        </w:rPr>
      </w:pPr>
      <w:bookmarkStart w:id="3" w:name="_Hlk38874092"/>
      <w:r w:rsidRPr="00A54B01">
        <w:rPr>
          <w:rFonts w:cstheme="minorHAnsi"/>
          <w:b/>
          <w:bCs/>
        </w:rPr>
        <w:t>Pražská plynárenská, a.s.</w:t>
      </w:r>
    </w:p>
    <w:p w14:paraId="0E521A6F" w14:textId="68E6652F" w:rsidR="00007B5D" w:rsidRDefault="003F2249" w:rsidP="003F2249">
      <w:pPr>
        <w:spacing w:after="0" w:line="360" w:lineRule="auto"/>
        <w:ind w:left="360" w:firstLine="207"/>
        <w:jc w:val="both"/>
        <w:rPr>
          <w:rFonts w:cstheme="minorHAnsi"/>
          <w:highlight w:val="yellow"/>
        </w:rPr>
      </w:pPr>
      <w:r>
        <w:rPr>
          <w:rFonts w:cstheme="minorHAnsi"/>
        </w:rPr>
        <w:t>se sídlem</w:t>
      </w:r>
      <w:r w:rsidR="005A1A68">
        <w:rPr>
          <w:rFonts w:cstheme="minorHAnsi"/>
        </w:rPr>
        <w:t xml:space="preserve"> Praha 1 – Nové Město, Národní 37, PSČ 110 00</w:t>
      </w:r>
    </w:p>
    <w:p w14:paraId="1FB494FA" w14:textId="333F52B1" w:rsidR="003F2249" w:rsidRDefault="003F2249" w:rsidP="003F2249">
      <w:pPr>
        <w:spacing w:after="0" w:line="360" w:lineRule="auto"/>
        <w:ind w:left="360" w:firstLine="207"/>
        <w:jc w:val="both"/>
        <w:rPr>
          <w:rFonts w:cstheme="minorHAnsi"/>
        </w:rPr>
      </w:pPr>
      <w:r>
        <w:rPr>
          <w:rFonts w:cstheme="minorHAnsi"/>
        </w:rPr>
        <w:t xml:space="preserve">IČO: </w:t>
      </w:r>
      <w:r w:rsidR="005A1A68">
        <w:rPr>
          <w:rFonts w:cstheme="minorHAnsi"/>
        </w:rPr>
        <w:t>601 93 492</w:t>
      </w:r>
    </w:p>
    <w:p w14:paraId="6DC40526" w14:textId="5FBF5012" w:rsidR="003F2249" w:rsidRPr="00520686" w:rsidRDefault="003F2249" w:rsidP="003F2249">
      <w:pPr>
        <w:spacing w:after="0" w:line="360" w:lineRule="auto"/>
        <w:ind w:left="360" w:firstLine="207"/>
        <w:jc w:val="both"/>
        <w:rPr>
          <w:rFonts w:cstheme="minorHAnsi"/>
        </w:rPr>
      </w:pPr>
      <w:r>
        <w:rPr>
          <w:rFonts w:cstheme="minorHAnsi"/>
        </w:rPr>
        <w:t>DIČ:</w:t>
      </w:r>
      <w:r w:rsidR="005A1A68">
        <w:rPr>
          <w:rFonts w:cstheme="minorHAnsi"/>
        </w:rPr>
        <w:t xml:space="preserve"> CZ60193492</w:t>
      </w:r>
      <w:r w:rsidR="00007B5D">
        <w:rPr>
          <w:rFonts w:cstheme="minorHAnsi"/>
        </w:rPr>
        <w:t xml:space="preserve"> </w:t>
      </w:r>
    </w:p>
    <w:p w14:paraId="140663D7" w14:textId="7C419318" w:rsidR="003F2249" w:rsidRPr="00520686" w:rsidRDefault="00007B5D" w:rsidP="003F2249">
      <w:pPr>
        <w:spacing w:after="0" w:line="360" w:lineRule="auto"/>
        <w:ind w:left="360" w:firstLine="207"/>
        <w:jc w:val="both"/>
        <w:rPr>
          <w:rFonts w:cstheme="minorHAnsi"/>
        </w:rPr>
      </w:pPr>
      <w:r>
        <w:t>z</w:t>
      </w:r>
      <w:r w:rsidR="003F2249">
        <w:t>astoupen</w:t>
      </w:r>
      <w:r w:rsidR="00281A6A">
        <w:t>a</w:t>
      </w:r>
      <w:r>
        <w:t>:</w:t>
      </w:r>
      <w:r w:rsidR="003F2249">
        <w:t xml:space="preserve"> </w:t>
      </w:r>
      <w:proofErr w:type="spellStart"/>
      <w:r w:rsidR="00E855AC">
        <w:t>xxxxxxxxxxx</w:t>
      </w:r>
      <w:proofErr w:type="spellEnd"/>
      <w:r w:rsidR="005A1A68">
        <w:t xml:space="preserve">, manažerem pro veřejné zakázky a el. </w:t>
      </w:r>
      <w:proofErr w:type="gramStart"/>
      <w:r w:rsidR="005A1A68">
        <w:t>aukce</w:t>
      </w:r>
      <w:proofErr w:type="gramEnd"/>
      <w:r w:rsidR="00675DD8">
        <w:t xml:space="preserve"> na základě plné moci</w:t>
      </w:r>
      <w:r>
        <w:rPr>
          <w:rFonts w:cstheme="minorHAnsi"/>
        </w:rPr>
        <w:t xml:space="preserve"> </w:t>
      </w:r>
    </w:p>
    <w:p w14:paraId="1CCFAC34" w14:textId="24968D8F" w:rsidR="005A1A68" w:rsidRDefault="003F2249" w:rsidP="005A1A68">
      <w:pPr>
        <w:spacing w:after="0" w:line="360" w:lineRule="auto"/>
        <w:ind w:left="567"/>
      </w:pPr>
      <w:r>
        <w:t>bankovní spojení</w:t>
      </w:r>
      <w:r w:rsidR="005A1A68">
        <w:t>:</w:t>
      </w:r>
      <w:r w:rsidR="005A1A68" w:rsidRPr="005A1A68">
        <w:t xml:space="preserve"> </w:t>
      </w:r>
      <w:proofErr w:type="spellStart"/>
      <w:r w:rsidR="00E855AC">
        <w:t>xxxxxxxxxxxxxx</w:t>
      </w:r>
      <w:proofErr w:type="spellEnd"/>
      <w:r w:rsidR="005A1A68" w:rsidRPr="005A1A68">
        <w:t xml:space="preserve"> číslo účtu / kód banky:</w:t>
      </w:r>
      <w:r w:rsidR="005A1A68">
        <w:tab/>
      </w:r>
    </w:p>
    <w:p w14:paraId="18212B7E" w14:textId="246F5E4F" w:rsidR="005A1A68" w:rsidRDefault="00E855AC" w:rsidP="005A1A68">
      <w:pPr>
        <w:spacing w:after="0" w:line="360" w:lineRule="auto"/>
        <w:ind w:left="567"/>
      </w:pPr>
      <w:proofErr w:type="spellStart"/>
      <w:r>
        <w:t>xxxxxxxxxxxxxxxxx</w:t>
      </w:r>
      <w:proofErr w:type="spellEnd"/>
    </w:p>
    <w:bookmarkEnd w:id="3"/>
    <w:p w14:paraId="73BEB0CC" w14:textId="1F659C12" w:rsidR="003F2249" w:rsidRDefault="003F2249" w:rsidP="005A1A68">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bookmarkEnd w:id="2"/>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1D6BB418" w14:textId="77777777" w:rsidR="00693BBB" w:rsidRDefault="00693BBB" w:rsidP="003F2249">
      <w:pPr>
        <w:spacing w:after="0" w:line="360" w:lineRule="auto"/>
      </w:pPr>
    </w:p>
    <w:p w14:paraId="47E8BFDB" w14:textId="77777777" w:rsidR="00693BBB" w:rsidRDefault="00693BBB" w:rsidP="003F2249">
      <w:pPr>
        <w:spacing w:after="0" w:line="360" w:lineRule="auto"/>
      </w:pPr>
    </w:p>
    <w:p w14:paraId="1E9FBD6A" w14:textId="77777777" w:rsidR="006179FE" w:rsidRPr="00693BBB" w:rsidRDefault="006179FE" w:rsidP="00693BBB">
      <w:pPr>
        <w:spacing w:after="0" w:line="360" w:lineRule="auto"/>
        <w:jc w:val="center"/>
        <w:rPr>
          <w:b/>
        </w:rPr>
      </w:pPr>
      <w:r w:rsidRPr="00693BBB">
        <w:rPr>
          <w:b/>
        </w:rPr>
        <w:t>PREAMBULE</w:t>
      </w:r>
    </w:p>
    <w:p w14:paraId="0AB3A1B7" w14:textId="52572294" w:rsidR="00C47C67" w:rsidRDefault="006179FE" w:rsidP="001B0991">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606112">
        <w:rPr>
          <w:b/>
        </w:rPr>
        <w:t>0</w:t>
      </w:r>
      <w:r w:rsidR="0088718D" w:rsidRPr="00C47C67">
        <w:rPr>
          <w:b/>
        </w:rPr>
        <w:t>6:00 hod. do 1. 1. 202</w:t>
      </w:r>
      <w:r w:rsidR="001010B9">
        <w:rPr>
          <w:b/>
        </w:rPr>
        <w:t>4</w:t>
      </w:r>
      <w:r w:rsidR="0088718D" w:rsidRPr="00C47C67">
        <w:rPr>
          <w:b/>
        </w:rPr>
        <w:t xml:space="preserve"> do </w:t>
      </w:r>
      <w:r w:rsidR="00606112">
        <w:rPr>
          <w:b/>
        </w:rPr>
        <w:t>0</w:t>
      </w:r>
      <w:r w:rsidR="0088718D" w:rsidRPr="00C47C67">
        <w:rPr>
          <w:b/>
        </w:rPr>
        <w:t>6</w:t>
      </w:r>
      <w:r w:rsidR="00606112">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1010B9"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1B0991">
      <w:pPr>
        <w:pStyle w:val="Odstavecseseznamem"/>
        <w:spacing w:after="0" w:line="360" w:lineRule="auto"/>
        <w:ind w:left="567" w:hanging="567"/>
        <w:contextualSpacing w:val="0"/>
        <w:jc w:val="both"/>
      </w:pPr>
    </w:p>
    <w:p w14:paraId="2F455F9E" w14:textId="2383CC1E" w:rsidR="006179FE" w:rsidRDefault="006179FE" w:rsidP="001B0991">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ětvích na základě licence na obchod s plynem a je vázán podmínkami zadávací dokumentace Veřejné zakázky a svojí nabídkou podanou v zadávacím řízem na Veřejnou zakázku.</w:t>
      </w:r>
    </w:p>
    <w:p w14:paraId="123A5B1D" w14:textId="77777777" w:rsidR="00D37210" w:rsidRDefault="00D37210" w:rsidP="001B0991">
      <w:pPr>
        <w:pStyle w:val="Odstavecseseznamem"/>
        <w:spacing w:after="0" w:line="360" w:lineRule="auto"/>
        <w:ind w:left="567" w:hanging="567"/>
        <w:contextualSpacing w:val="0"/>
        <w:jc w:val="both"/>
      </w:pPr>
    </w:p>
    <w:p w14:paraId="1371FC74" w14:textId="35211663" w:rsidR="00E33B8D" w:rsidRPr="00693BBB" w:rsidRDefault="00E33B8D" w:rsidP="001B0991">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C60CE5" w:rsidRPr="00C60CE5">
        <w:rPr>
          <w:b/>
          <w:bCs/>
          <w:i/>
          <w:iCs/>
        </w:rPr>
        <w:t>„</w:t>
      </w:r>
      <w:r w:rsidR="00D32ACD">
        <w:rPr>
          <w:b/>
          <w:bCs/>
          <w:i/>
          <w:iCs/>
        </w:rPr>
        <w:t>C</w:t>
      </w:r>
      <w:r w:rsidR="00C60CE5" w:rsidRPr="00C60CE5">
        <w:rPr>
          <w:b/>
          <w:bCs/>
          <w:i/>
          <w:iCs/>
        </w:rPr>
        <w:t>entrální zadavatel“</w:t>
      </w:r>
      <w:r w:rsidR="00C60CE5">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3F2249">
      <w:pPr>
        <w:pStyle w:val="Odstavecseseznamem"/>
        <w:numPr>
          <w:ilvl w:val="0"/>
          <w:numId w:val="3"/>
        </w:numPr>
        <w:spacing w:after="12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C021D">
      <w:pPr>
        <w:pStyle w:val="Odstavecseseznamem"/>
        <w:numPr>
          <w:ilvl w:val="0"/>
          <w:numId w:val="3"/>
        </w:numPr>
        <w:spacing w:after="12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727AC292" w14:textId="799A2E09" w:rsidR="004B7009" w:rsidRDefault="00F247B0" w:rsidP="009C021D">
      <w:pPr>
        <w:pStyle w:val="Odstavecseseznamem"/>
        <w:numPr>
          <w:ilvl w:val="0"/>
          <w:numId w:val="3"/>
        </w:numPr>
        <w:spacing w:after="12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C60CE5">
        <w:t>,</w:t>
      </w:r>
    </w:p>
    <w:p w14:paraId="50D681FD" w14:textId="2AE4FB9E" w:rsidR="009C021D" w:rsidRDefault="004B7009" w:rsidP="009C021D">
      <w:pPr>
        <w:pStyle w:val="Odstavecseseznamem"/>
        <w:numPr>
          <w:ilvl w:val="0"/>
          <w:numId w:val="3"/>
        </w:numPr>
        <w:spacing w:after="120" w:line="360" w:lineRule="auto"/>
        <w:ind w:left="924" w:hanging="357"/>
        <w:contextualSpacing w:val="0"/>
        <w:jc w:val="both"/>
      </w:pPr>
      <w:r>
        <w:t>zajistit vlastním jménem a na vlastní účet související služby v plynárenství.</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69B11C7C" w:rsidR="00E33B8D"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4A9EB4E3" w14:textId="77777777" w:rsidR="00BF7924" w:rsidRDefault="00BF7924" w:rsidP="00BF7924">
      <w:pPr>
        <w:pStyle w:val="Odstavecseseznamem"/>
        <w:spacing w:after="0" w:line="360" w:lineRule="auto"/>
        <w:ind w:left="567"/>
        <w:contextualSpacing w:val="0"/>
        <w:jc w:val="both"/>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B72D1F5"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C60CE5">
        <w:rPr>
          <w:rFonts w:cstheme="minorHAnsi"/>
          <w:b/>
        </w:rPr>
        <w:t xml:space="preserve">a rozsah </w:t>
      </w:r>
      <w:r w:rsidRPr="00693BBB">
        <w:rPr>
          <w:rFonts w:cstheme="minorHAnsi"/>
          <w:b/>
        </w:rPr>
        <w:t>plnění</w:t>
      </w:r>
    </w:p>
    <w:p w14:paraId="20E85050" w14:textId="77777777" w:rsidR="00C60CE5" w:rsidRDefault="004F1108" w:rsidP="00C60CE5">
      <w:pPr>
        <w:pStyle w:val="Odstavecseseznamem"/>
        <w:numPr>
          <w:ilvl w:val="1"/>
          <w:numId w:val="7"/>
        </w:numPr>
        <w:spacing w:after="12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4" w:name="_Hlk37582323"/>
      <w:r w:rsidR="00C60CE5">
        <w:rPr>
          <w:rFonts w:cstheme="minorHAnsi"/>
        </w:rPr>
        <w:t>Zákazník je oprávněn rozhodnout o případném zvýšení či snížení rozsahu odebíraného množství zemního plynu.</w:t>
      </w:r>
    </w:p>
    <w:bookmarkEnd w:id="4"/>
    <w:p w14:paraId="72F52500" w14:textId="77777777" w:rsidR="00305CAE" w:rsidRPr="00C60CE5" w:rsidRDefault="00305CAE" w:rsidP="00C60CE5">
      <w:pPr>
        <w:pStyle w:val="Odstavecseseznamem"/>
        <w:spacing w:after="120" w:line="360" w:lineRule="auto"/>
        <w:ind w:left="567"/>
        <w:jc w:val="both"/>
        <w:rPr>
          <w:rFonts w:cstheme="minorHAnsi"/>
        </w:rPr>
      </w:pPr>
    </w:p>
    <w:p w14:paraId="6BA7BE71" w14:textId="5945ABE1" w:rsidR="007B6CE3" w:rsidRPr="00305CAE" w:rsidRDefault="004F1108" w:rsidP="000067FF">
      <w:pPr>
        <w:pStyle w:val="Odstavecseseznamem"/>
        <w:numPr>
          <w:ilvl w:val="1"/>
          <w:numId w:val="7"/>
        </w:numPr>
        <w:spacing w:after="12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CD1685">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C60CE5">
        <w:rPr>
          <w:rFonts w:cstheme="minorHAnsi"/>
        </w:rPr>
        <w:t xml:space="preserve">kdykoli po uzavření této Smlouvy </w:t>
      </w:r>
      <w:r w:rsidR="0088718D" w:rsidRPr="0088718D">
        <w:rPr>
          <w:rFonts w:cstheme="minorHAnsi"/>
        </w:rPr>
        <w:t xml:space="preserve"> až</w:t>
      </w:r>
      <w:r w:rsidR="00C60CE5">
        <w:rPr>
          <w:rFonts w:cstheme="minorHAnsi"/>
        </w:rPr>
        <w:t xml:space="preserve"> do dne 31. 12.</w:t>
      </w:r>
      <w:r w:rsidR="0088718D" w:rsidRPr="0088718D">
        <w:rPr>
          <w:rFonts w:cstheme="minorHAnsi"/>
        </w:rPr>
        <w:t xml:space="preserve"> 2023 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r w:rsidR="00C60CE5">
        <w:rPr>
          <w:rFonts w:cstheme="minorHAnsi"/>
        </w:rPr>
        <w:t>,</w:t>
      </w:r>
      <w:r w:rsidR="00C64FA6" w:rsidRPr="00305CAE">
        <w:rPr>
          <w:rFonts w:cstheme="minorHAnsi"/>
        </w:rPr>
        <w:t xml:space="preserve"> </w:t>
      </w:r>
      <w:r w:rsidR="00C60CE5">
        <w:rPr>
          <w:rFonts w:cstheme="minorHAnsi"/>
        </w:rPr>
        <w:t>které bude Zákazníkem oznámeno Dodavateli způsobem uvedeným v čl. II. odst. 2.4. této Smlouvy.</w:t>
      </w:r>
      <w:r w:rsidR="00C60CE5" w:rsidRPr="00305CAE">
        <w:rPr>
          <w:rFonts w:cstheme="minorHAnsi"/>
        </w:rPr>
        <w:t xml:space="preserve"> </w:t>
      </w:r>
      <w:r w:rsidR="00C64FA6" w:rsidRPr="00305CAE">
        <w:rPr>
          <w:rFonts w:cstheme="minorHAnsi"/>
        </w:rPr>
        <w:t>Dodávka bude započata ke dni,</w:t>
      </w:r>
      <w:r w:rsidRPr="00305CAE">
        <w:rPr>
          <w:rFonts w:cstheme="minorHAnsi"/>
        </w:rPr>
        <w:t xml:space="preserve"> který stanoví Zákazník.</w:t>
      </w:r>
    </w:p>
    <w:p w14:paraId="0993071C" w14:textId="77777777" w:rsidR="00D37210" w:rsidRDefault="00D37210" w:rsidP="00D37210">
      <w:pPr>
        <w:pStyle w:val="Odstavecseseznamem"/>
        <w:spacing w:after="120" w:line="360" w:lineRule="auto"/>
        <w:ind w:left="567"/>
        <w:jc w:val="both"/>
        <w:rPr>
          <w:rFonts w:cstheme="minorHAnsi"/>
        </w:rPr>
      </w:pPr>
    </w:p>
    <w:p w14:paraId="04A1EF6E" w14:textId="49DF24A7" w:rsidR="00C60CE5" w:rsidRDefault="007B6CE3" w:rsidP="00C60CE5">
      <w:pPr>
        <w:pStyle w:val="Odstavecseseznamem"/>
        <w:numPr>
          <w:ilvl w:val="1"/>
          <w:numId w:val="7"/>
        </w:numPr>
        <w:spacing w:after="12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zejména z důvodu převodu vlastnických práv k odběrnému místu, odstranění odběrného místa, demolice, zničení živelnou pohromou apod.</w:t>
      </w:r>
      <w:r w:rsidRPr="00F82AEB">
        <w:rPr>
          <w:rFonts w:cstheme="minorHAnsi"/>
        </w:rPr>
        <w:t xml:space="preserve">), bude příslušné odběrné místo ze seznamu odběrných míst </w:t>
      </w:r>
      <w:r w:rsidR="00C60CE5">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bookmarkStart w:id="5" w:name="_Hlk37583110"/>
      <w:r w:rsidR="00C60CE5" w:rsidRPr="00C60CE5">
        <w:rPr>
          <w:rFonts w:cstheme="minorHAnsi"/>
        </w:rPr>
        <w:t xml:space="preserve"> </w:t>
      </w:r>
      <w:r w:rsidR="00C60CE5">
        <w:rPr>
          <w:rFonts w:cstheme="minorHAnsi"/>
        </w:rPr>
        <w:t>Zákazník oznámí Dodavateli vyřazení odběrného místa ze seznamu odběrných míst způsobem uvedeným v čl. II. odst. 2.4. této Smlouvy.</w:t>
      </w:r>
    </w:p>
    <w:bookmarkEnd w:id="5"/>
    <w:p w14:paraId="2EF960B8" w14:textId="77777777" w:rsidR="00D37210" w:rsidRDefault="00D37210" w:rsidP="00D37210">
      <w:pPr>
        <w:pStyle w:val="Odstavecseseznamem"/>
        <w:spacing w:after="120" w:line="360" w:lineRule="auto"/>
        <w:ind w:left="567"/>
        <w:jc w:val="both"/>
        <w:rPr>
          <w:rFonts w:cstheme="minorHAnsi"/>
        </w:rPr>
      </w:pPr>
    </w:p>
    <w:p w14:paraId="03A4903C" w14:textId="2C9DD015" w:rsidR="00EB0CAC" w:rsidRPr="00C60CE5" w:rsidRDefault="00EB0CAC" w:rsidP="00C60CE5">
      <w:pPr>
        <w:pStyle w:val="Odstavecseseznamem"/>
        <w:numPr>
          <w:ilvl w:val="1"/>
          <w:numId w:val="7"/>
        </w:numPr>
        <w:spacing w:after="120" w:line="360" w:lineRule="auto"/>
        <w:ind w:left="567" w:hanging="567"/>
        <w:jc w:val="both"/>
        <w:rPr>
          <w:rFonts w:cstheme="minorHAnsi"/>
        </w:rPr>
      </w:pPr>
      <w:r w:rsidRPr="00F82AEB">
        <w:rPr>
          <w:rFonts w:cstheme="minorHAnsi"/>
        </w:rPr>
        <w:t>Veškeré změny seznamu odběrných míst budou Zákazníkem Dodavateli písemně oznámeny</w:t>
      </w:r>
      <w:bookmarkStart w:id="6" w:name="_Hlk37577253"/>
      <w:r w:rsidR="00C60CE5" w:rsidRPr="00C60CE5">
        <w:rPr>
          <w:rFonts w:cstheme="minorHAnsi"/>
        </w:rPr>
        <w:t xml:space="preserve"> </w:t>
      </w:r>
      <w:r w:rsidR="00C60CE5">
        <w:rPr>
          <w:rFonts w:cstheme="minorHAnsi"/>
        </w:rPr>
        <w:t>na e-mailovou adresu Dodavatele uvedenou v čl. XI. odst. 11.3</w:t>
      </w:r>
      <w:r w:rsidR="00CD1685">
        <w:rPr>
          <w:rFonts w:cstheme="minorHAnsi"/>
        </w:rPr>
        <w:t>.</w:t>
      </w:r>
      <w:r w:rsidR="00C60CE5">
        <w:rPr>
          <w:rFonts w:cstheme="minorHAnsi"/>
        </w:rPr>
        <w:t xml:space="preserve"> této Smlouvy</w:t>
      </w:r>
      <w:bookmarkEnd w:id="6"/>
      <w:r w:rsidRPr="00F82AEB">
        <w:rPr>
          <w:rFonts w:cstheme="minorHAnsi"/>
        </w:rPr>
        <w:t xml:space="preserve">. Dodavatel je povinen obdržené oznámení Zákazníka písemně potvrdit a zaslat toto potvrzení </w:t>
      </w:r>
      <w:r w:rsidR="00C60CE5">
        <w:rPr>
          <w:rFonts w:cstheme="minorHAnsi"/>
        </w:rPr>
        <w:t xml:space="preserve">zpět e-mailem </w:t>
      </w:r>
      <w:r w:rsidRPr="000A0840">
        <w:rPr>
          <w:rFonts w:cstheme="minorHAnsi"/>
        </w:rPr>
        <w:lastRenderedPageBreak/>
        <w:t>Zákazníkovi, a to bez zbytečného odkladu poté, co obdrží od Zákazníka oznámení o změně dle odst. 2.2. nebo 2.3.</w:t>
      </w:r>
      <w:r w:rsidRPr="00F82AEB">
        <w:rPr>
          <w:rFonts w:cstheme="minorHAnsi"/>
        </w:rPr>
        <w:t xml:space="preserve"> této Smlouvy.</w:t>
      </w:r>
      <w:r w:rsidR="00480CC1">
        <w:rPr>
          <w:rFonts w:cstheme="minorHAnsi"/>
        </w:rPr>
        <w:t xml:space="preserve"> Dodavatel se zavazuje i pro případy změn množství odběrných míst garantovat cenu dle</w:t>
      </w:r>
      <w:r w:rsidR="001A6C49">
        <w:rPr>
          <w:rFonts w:cstheme="minorHAnsi"/>
        </w:rPr>
        <w:t xml:space="preserve"> čl. VI. této Smlouvy</w:t>
      </w:r>
      <w:r w:rsidR="00480CC1">
        <w:rPr>
          <w:rFonts w:cstheme="minorHAnsi"/>
        </w:rPr>
        <w:t>.</w:t>
      </w:r>
      <w:bookmarkStart w:id="7" w:name="_Hlk37577327"/>
      <w:r w:rsidR="00C60CE5" w:rsidRPr="00C60CE5">
        <w:rPr>
          <w:rFonts w:cstheme="minorHAnsi"/>
        </w:rPr>
        <w:t xml:space="preserve"> </w:t>
      </w:r>
      <w:r w:rsidR="00C60CE5">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bookmarkEnd w:id="7"/>
    </w:p>
    <w:p w14:paraId="4FABB53E" w14:textId="77777777" w:rsidR="00D37210" w:rsidRPr="00D37210" w:rsidRDefault="00D37210" w:rsidP="00D37210">
      <w:pPr>
        <w:pStyle w:val="Odstavecseseznamem"/>
        <w:rPr>
          <w:rFonts w:cstheme="minorHAnsi"/>
        </w:rPr>
      </w:pPr>
    </w:p>
    <w:p w14:paraId="5B3DEEEA" w14:textId="0063327C" w:rsidR="00EB0CAC" w:rsidRPr="00D37210" w:rsidRDefault="00EB0CAC" w:rsidP="000067FF">
      <w:pPr>
        <w:pStyle w:val="Odstavecseseznamem"/>
        <w:numPr>
          <w:ilvl w:val="1"/>
          <w:numId w:val="7"/>
        </w:numPr>
        <w:spacing w:after="12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104EA451" w14:textId="77777777" w:rsidR="00C47C6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1B0991">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1B0991">
      <w:pPr>
        <w:pStyle w:val="Odstavecseseznamem"/>
        <w:spacing w:after="0" w:line="360" w:lineRule="auto"/>
        <w:ind w:left="567"/>
        <w:jc w:val="both"/>
        <w:rPr>
          <w:rFonts w:cstheme="minorHAnsi"/>
        </w:rPr>
      </w:pPr>
    </w:p>
    <w:p w14:paraId="386882BB" w14:textId="4E377DAC" w:rsidR="00EB0CAC" w:rsidRPr="00C47C67" w:rsidRDefault="00EB0CAC" w:rsidP="000067FF">
      <w:pPr>
        <w:pStyle w:val="Odstavecseseznamem"/>
        <w:numPr>
          <w:ilvl w:val="1"/>
          <w:numId w:val="8"/>
        </w:numPr>
        <w:spacing w:after="12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31E906C3" w:rsidR="00D37210" w:rsidRDefault="00EB0CAC" w:rsidP="000067FF">
      <w:pPr>
        <w:pStyle w:val="Odstavecseseznamem"/>
        <w:numPr>
          <w:ilvl w:val="1"/>
          <w:numId w:val="9"/>
        </w:numPr>
        <w:spacing w:after="12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r w:rsidR="001A6C49">
        <w:rPr>
          <w:rFonts w:cstheme="minorHAnsi"/>
        </w:rPr>
        <w:t xml:space="preserve">Za sjednané množství dodávek zemního plynu se považuje skutečně odebrané množství dle údajů vyplývajících z měření. </w:t>
      </w:r>
    </w:p>
    <w:p w14:paraId="66E6CF0E" w14:textId="77777777" w:rsidR="00F6535D" w:rsidRPr="00F6535D" w:rsidRDefault="00F6535D" w:rsidP="00F6535D">
      <w:pPr>
        <w:pStyle w:val="Odstavecseseznamem"/>
        <w:spacing w:after="120" w:line="360" w:lineRule="auto"/>
        <w:ind w:left="567"/>
        <w:jc w:val="both"/>
        <w:rPr>
          <w:rFonts w:cstheme="minorHAnsi"/>
        </w:rPr>
      </w:pPr>
    </w:p>
    <w:p w14:paraId="6BB8D3C8" w14:textId="0D56B329" w:rsidR="00D55FD3" w:rsidRDefault="00EB0CAC"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2.2.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D37210">
      <w:pPr>
        <w:pStyle w:val="Odstavecseseznamem"/>
        <w:spacing w:after="120" w:line="360" w:lineRule="auto"/>
        <w:ind w:left="567"/>
        <w:jc w:val="both"/>
        <w:rPr>
          <w:rFonts w:cstheme="minorHAnsi"/>
        </w:rPr>
      </w:pPr>
    </w:p>
    <w:p w14:paraId="7A2E96E9" w14:textId="6ACFF0BF" w:rsidR="00C60CE5" w:rsidRDefault="00D55FD3" w:rsidP="000067FF">
      <w:pPr>
        <w:pStyle w:val="Odstavecseseznamem"/>
        <w:numPr>
          <w:ilvl w:val="1"/>
          <w:numId w:val="9"/>
        </w:numPr>
        <w:spacing w:after="12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C60CE5">
        <w:rPr>
          <w:rFonts w:cstheme="minorHAnsi"/>
        </w:rPr>
        <w:t>:</w:t>
      </w:r>
    </w:p>
    <w:p w14:paraId="68606A58" w14:textId="77777777" w:rsidR="00C60CE5" w:rsidRPr="00C60CE5" w:rsidRDefault="00C60CE5" w:rsidP="00C60CE5">
      <w:pPr>
        <w:pStyle w:val="Odstavecseseznamem"/>
        <w:rPr>
          <w:rFonts w:cstheme="minorHAnsi"/>
        </w:rPr>
      </w:pPr>
    </w:p>
    <w:p w14:paraId="3F340AC2" w14:textId="1467529C" w:rsidR="00C60CE5" w:rsidRDefault="000A0840" w:rsidP="00C60CE5">
      <w:pPr>
        <w:pStyle w:val="Odstavecseseznamem"/>
        <w:numPr>
          <w:ilvl w:val="0"/>
          <w:numId w:val="32"/>
        </w:numPr>
        <w:spacing w:after="120" w:line="360" w:lineRule="auto"/>
        <w:jc w:val="both"/>
        <w:rPr>
          <w:rFonts w:cstheme="minorHAnsi"/>
        </w:rPr>
      </w:pPr>
      <w:r w:rsidRPr="00EC2D78">
        <w:rPr>
          <w:rFonts w:cstheme="minorHAnsi"/>
        </w:rPr>
        <w:lastRenderedPageBreak/>
        <w:t xml:space="preserve">při zohlednění míst, která byla Zákazníkem </w:t>
      </w:r>
      <w:r w:rsidR="00C60CE5">
        <w:rPr>
          <w:rFonts w:cstheme="minorHAnsi"/>
        </w:rPr>
        <w:t>ze seznamu odběrných míst vyřazena</w:t>
      </w:r>
      <w:r w:rsidR="00EC2D78">
        <w:rPr>
          <w:rFonts w:cstheme="minorHAnsi"/>
        </w:rPr>
        <w:t xml:space="preserve"> ve smyslu ustanovení čl. II. odst. 2.3. </w:t>
      </w:r>
      <w:r w:rsidR="00C60CE5">
        <w:rPr>
          <w:rFonts w:cstheme="minorHAnsi"/>
        </w:rPr>
        <w:t xml:space="preserve">této </w:t>
      </w:r>
      <w:r w:rsidR="00EC2D78">
        <w:rPr>
          <w:rFonts w:cstheme="minorHAnsi"/>
        </w:rPr>
        <w:t>Smlouvy</w:t>
      </w:r>
      <w:r w:rsidR="00D55FD3" w:rsidRPr="00EC2D78">
        <w:rPr>
          <w:rFonts w:cstheme="minorHAnsi"/>
        </w:rPr>
        <w:t xml:space="preserve"> a </w:t>
      </w:r>
    </w:p>
    <w:p w14:paraId="258BBB2E" w14:textId="48510B26" w:rsidR="00E81DBF" w:rsidRDefault="00D55FD3" w:rsidP="00C60CE5">
      <w:pPr>
        <w:pStyle w:val="Odstavecseseznamem"/>
        <w:numPr>
          <w:ilvl w:val="0"/>
          <w:numId w:val="32"/>
        </w:numPr>
        <w:spacing w:after="120" w:line="360" w:lineRule="auto"/>
        <w:jc w:val="both"/>
        <w:rPr>
          <w:rFonts w:cstheme="minorHAnsi"/>
        </w:rPr>
      </w:pPr>
      <w:r w:rsidRPr="00EC2D78">
        <w:rPr>
          <w:rFonts w:cstheme="minorHAnsi"/>
        </w:rPr>
        <w:t>včetně odběr</w:t>
      </w:r>
      <w:r w:rsidRPr="000A0840">
        <w:rPr>
          <w:rFonts w:cstheme="minorHAnsi"/>
        </w:rPr>
        <w:t xml:space="preserve">ných míst zařazených do seznamu odběrných míst Zákazníkem </w:t>
      </w:r>
      <w:r w:rsidR="00EC2D78">
        <w:rPr>
          <w:rFonts w:cstheme="minorHAnsi"/>
        </w:rPr>
        <w:t xml:space="preserve">ve smyslu ustanovení čl. II. odst. 2.2. </w:t>
      </w:r>
      <w:r w:rsidR="00C60CE5">
        <w:rPr>
          <w:rFonts w:cstheme="minorHAnsi"/>
        </w:rPr>
        <w:t xml:space="preserve">této </w:t>
      </w:r>
      <w:r w:rsidR="00EC2D78">
        <w:rPr>
          <w:rFonts w:cstheme="minorHAnsi"/>
        </w:rPr>
        <w:t xml:space="preserve">Smlouvy </w:t>
      </w:r>
      <w:r w:rsidR="00C60CE5">
        <w:rPr>
          <w:rFonts w:cstheme="minorHAnsi"/>
        </w:rPr>
        <w:t xml:space="preserve">kdykoli po uzavření této </w:t>
      </w:r>
      <w:r w:rsidRPr="000A0840">
        <w:rPr>
          <w:rFonts w:cstheme="minorHAnsi"/>
        </w:rPr>
        <w:t>Smlouvy</w:t>
      </w:r>
      <w:r w:rsidR="004527BF">
        <w:rPr>
          <w:rFonts w:cstheme="minorHAnsi"/>
        </w:rPr>
        <w:t xml:space="preserve"> až </w:t>
      </w:r>
      <w:r w:rsidR="00C60CE5">
        <w:rPr>
          <w:rFonts w:cstheme="minorHAnsi"/>
        </w:rPr>
        <w:t xml:space="preserve">do dne 31. 12. </w:t>
      </w:r>
      <w:r w:rsidR="004527BF">
        <w:rPr>
          <w:rFonts w:cstheme="minorHAnsi"/>
        </w:rPr>
        <w:t>2023</w:t>
      </w:r>
      <w:r w:rsidR="00C60CE5">
        <w:rPr>
          <w:rFonts w:cstheme="minorHAnsi"/>
        </w:rPr>
        <w:t xml:space="preserve"> včetně</w:t>
      </w:r>
      <w:r w:rsidRPr="000A0840">
        <w:rPr>
          <w:rFonts w:cstheme="minorHAnsi"/>
        </w:rPr>
        <w:t xml:space="preserve">, </w:t>
      </w:r>
    </w:p>
    <w:p w14:paraId="2CA19585" w14:textId="580DD405" w:rsidR="00D55FD3" w:rsidRPr="00E81DBF" w:rsidRDefault="00D55FD3" w:rsidP="001B0991">
      <w:pPr>
        <w:spacing w:after="0" w:line="360" w:lineRule="auto"/>
        <w:ind w:left="567"/>
        <w:jc w:val="both"/>
        <w:rPr>
          <w:rFonts w:cstheme="minorHAnsi"/>
        </w:rPr>
      </w:pPr>
      <w:r w:rsidRPr="00E81DBF">
        <w:rPr>
          <w:rFonts w:cstheme="minorHAnsi"/>
        </w:rPr>
        <w:t>od doby zahájení dodávky do těchto odběrných míst.</w:t>
      </w:r>
    </w:p>
    <w:p w14:paraId="586BABD9" w14:textId="77777777" w:rsidR="00D37210" w:rsidRDefault="00D37210" w:rsidP="001B0991">
      <w:pPr>
        <w:pStyle w:val="Odstavecseseznamem"/>
        <w:spacing w:after="0" w:line="360" w:lineRule="auto"/>
        <w:ind w:left="567"/>
        <w:jc w:val="both"/>
        <w:rPr>
          <w:rFonts w:cstheme="minorHAnsi"/>
        </w:rPr>
      </w:pPr>
    </w:p>
    <w:p w14:paraId="4DF1DE84" w14:textId="427782A5" w:rsidR="00D55FD3" w:rsidRDefault="00D55FD3" w:rsidP="001B0991">
      <w:pPr>
        <w:pStyle w:val="Odstavecseseznamem"/>
        <w:numPr>
          <w:ilvl w:val="1"/>
          <w:numId w:val="9"/>
        </w:numPr>
        <w:spacing w:after="0" w:line="360" w:lineRule="auto"/>
        <w:ind w:left="567" w:hanging="567"/>
        <w:jc w:val="both"/>
        <w:rPr>
          <w:rFonts w:cstheme="minorHAnsi"/>
        </w:rPr>
      </w:pPr>
      <w:r w:rsidRPr="00E81DBF">
        <w:rPr>
          <w:rFonts w:cstheme="minorHAnsi"/>
        </w:rPr>
        <w:t xml:space="preserve">Dodávka </w:t>
      </w:r>
      <w:r w:rsidR="00EC2D78" w:rsidRPr="00E81DBF">
        <w:rPr>
          <w:rFonts w:cstheme="minorHAnsi"/>
        </w:rPr>
        <w:t xml:space="preserve">zemního </w:t>
      </w:r>
      <w:r w:rsidRPr="00E81DBF">
        <w:rPr>
          <w:rFonts w:cstheme="minorHAnsi"/>
        </w:rPr>
        <w:t>plynu do jednotlivých odběrných míst bude vyhodnocena v souladu s energetickým zákonem na základě údajů předaných provozovatele</w:t>
      </w:r>
      <w:r w:rsidR="00EC2D78" w:rsidRPr="00E81DBF">
        <w:rPr>
          <w:rFonts w:cstheme="minorHAnsi"/>
        </w:rPr>
        <w:t>m</w:t>
      </w:r>
      <w:r w:rsidRPr="00E81DBF">
        <w:rPr>
          <w:rFonts w:cstheme="minorHAnsi"/>
        </w:rPr>
        <w:t xml:space="preserve"> distribuční soustavy (dále jen </w:t>
      </w:r>
      <w:r w:rsidR="00EC2D78" w:rsidRPr="00E81DBF">
        <w:rPr>
          <w:rFonts w:cstheme="minorHAnsi"/>
        </w:rPr>
        <w:t xml:space="preserve">pod označením </w:t>
      </w:r>
      <w:r w:rsidRPr="00E81DBF">
        <w:rPr>
          <w:rFonts w:cstheme="minorHAnsi"/>
          <w:b/>
          <w:i/>
        </w:rPr>
        <w:t>„PDS“</w:t>
      </w:r>
      <w:r w:rsidRPr="00E81DBF">
        <w:rPr>
          <w:rFonts w:cstheme="minorHAnsi"/>
        </w:rPr>
        <w:t xml:space="preserve">). Za dodané množství se považují skutečné hodnoty spotřeby </w:t>
      </w:r>
      <w:r w:rsidR="00EC2D78" w:rsidRPr="00E81DBF">
        <w:rPr>
          <w:rFonts w:cstheme="minorHAnsi"/>
        </w:rPr>
        <w:t xml:space="preserve">zemního </w:t>
      </w:r>
      <w:r w:rsidRPr="00E81DBF">
        <w:rPr>
          <w:rFonts w:cstheme="minorHAnsi"/>
        </w:rPr>
        <w:t>plynu dodané Zákazníkovi a uvedené ve fakturách za distribuci plynu od PDS za odběrná místa Zákazníka.</w:t>
      </w:r>
    </w:p>
    <w:p w14:paraId="7DDBCC34" w14:textId="77777777" w:rsidR="00E81DBF" w:rsidRDefault="00E81DBF" w:rsidP="00E81DBF">
      <w:pPr>
        <w:pStyle w:val="Odstavecseseznamem"/>
        <w:spacing w:after="120" w:line="360" w:lineRule="auto"/>
        <w:ind w:left="360"/>
        <w:jc w:val="both"/>
        <w:rPr>
          <w:rFonts w:cstheme="minorHAnsi"/>
        </w:rPr>
      </w:pPr>
    </w:p>
    <w:p w14:paraId="0F360D26" w14:textId="7AAFA3D6" w:rsidR="008C5EF5" w:rsidRPr="00E81DBF" w:rsidRDefault="008C5EF5" w:rsidP="00E81DBF">
      <w:pPr>
        <w:pStyle w:val="Odstavecseseznamem"/>
        <w:numPr>
          <w:ilvl w:val="1"/>
          <w:numId w:val="9"/>
        </w:numPr>
        <w:spacing w:after="120" w:line="360" w:lineRule="auto"/>
        <w:ind w:left="567" w:hanging="567"/>
        <w:jc w:val="both"/>
        <w:rPr>
          <w:rFonts w:cstheme="minorHAnsi"/>
        </w:rPr>
      </w:pPr>
      <w:r w:rsidRPr="0036774F">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w:t>
      </w:r>
      <w:r w:rsidRPr="00217E75">
        <w:t>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8C5EF5">
      <w:pPr>
        <w:pStyle w:val="Odstavecseseznamem"/>
        <w:rPr>
          <w:rFonts w:cstheme="minorHAnsi"/>
        </w:rPr>
      </w:pPr>
    </w:p>
    <w:p w14:paraId="52F24791" w14:textId="284D1B85" w:rsidR="00D55FD3" w:rsidRDefault="00154F0E" w:rsidP="000067FF">
      <w:pPr>
        <w:pStyle w:val="Odstavecseseznamem"/>
        <w:numPr>
          <w:ilvl w:val="1"/>
          <w:numId w:val="9"/>
        </w:numPr>
        <w:spacing w:after="12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E81DBF">
        <w:rPr>
          <w:rFonts w:cstheme="minorHAnsi"/>
        </w:rPr>
        <w:t>, a to v</w:t>
      </w:r>
      <w:r w:rsidR="00E5037F">
        <w:rPr>
          <w:rFonts w:cstheme="minorHAnsi"/>
        </w:rPr>
        <w:t>e</w:t>
      </w:r>
      <w:r w:rsidR="00E81DBF">
        <w:rPr>
          <w:rFonts w:cstheme="minorHAnsi"/>
        </w:rPr>
        <w:t xml:space="preser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E81DBF">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E81DBF">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480CC1">
      <w:pPr>
        <w:pStyle w:val="Odstavecseseznamem"/>
        <w:rPr>
          <w:rFonts w:cstheme="minorHAnsi"/>
        </w:rPr>
      </w:pPr>
    </w:p>
    <w:p w14:paraId="2E9AD79F" w14:textId="68257CB4" w:rsidR="00480CC1" w:rsidRDefault="00480CC1" w:rsidP="000067FF">
      <w:pPr>
        <w:pStyle w:val="Odstavecseseznamem"/>
        <w:numPr>
          <w:ilvl w:val="1"/>
          <w:numId w:val="9"/>
        </w:numPr>
        <w:spacing w:after="120" w:line="360" w:lineRule="auto"/>
        <w:ind w:left="567" w:hanging="567"/>
        <w:jc w:val="both"/>
        <w:rPr>
          <w:rFonts w:cstheme="minorHAnsi"/>
        </w:rPr>
      </w:pPr>
      <w:r>
        <w:rPr>
          <w:rFonts w:cstheme="minorHAnsi"/>
        </w:rPr>
        <w:t xml:space="preserve">Dodavatel </w:t>
      </w:r>
      <w:r w:rsidR="00E81DBF">
        <w:rPr>
          <w:rFonts w:cstheme="minorHAnsi"/>
        </w:rPr>
        <w:t xml:space="preserve">není oprávněn </w:t>
      </w:r>
      <w:r>
        <w:rPr>
          <w:rFonts w:cstheme="minorHAnsi"/>
        </w:rPr>
        <w:t>si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D37210">
      <w:pPr>
        <w:pStyle w:val="Odstavecseseznamem"/>
        <w:spacing w:after="120" w:line="360" w:lineRule="auto"/>
        <w:ind w:left="567"/>
        <w:jc w:val="both"/>
        <w:rPr>
          <w:rFonts w:cstheme="minorHAnsi"/>
        </w:rPr>
      </w:pPr>
    </w:p>
    <w:p w14:paraId="33B068CF" w14:textId="267E43C9" w:rsidR="00D55FD3"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lastRenderedPageBreak/>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D37210">
      <w:pPr>
        <w:pStyle w:val="Odstavecseseznamem"/>
        <w:spacing w:after="120" w:line="360" w:lineRule="auto"/>
        <w:ind w:left="567"/>
        <w:jc w:val="both"/>
        <w:rPr>
          <w:rFonts w:cstheme="minorHAnsi"/>
        </w:rPr>
      </w:pPr>
    </w:p>
    <w:p w14:paraId="11B18C97" w14:textId="00942E80" w:rsidR="00D30EE1" w:rsidRDefault="00D55FD3"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r w:rsidR="00CD1685">
        <w:rPr>
          <w:rFonts w:cstheme="minorHAnsi"/>
        </w:rPr>
        <w:t>35.000.000</w:t>
      </w:r>
      <w:r w:rsidR="00305CAE">
        <w:rPr>
          <w:rFonts w:cstheme="minorHAnsi"/>
        </w:rPr>
        <w:t>,-Kč</w:t>
      </w:r>
      <w:r w:rsidRPr="00007B5D">
        <w:rPr>
          <w:rFonts w:cstheme="minorHAnsi"/>
        </w:rPr>
        <w:t xml:space="preserve"> (slovy: </w:t>
      </w:r>
      <w:r w:rsidR="00CD1685">
        <w:rPr>
          <w:rFonts w:cstheme="minorHAnsi"/>
        </w:rPr>
        <w:t>třicet pět milionů</w:t>
      </w:r>
      <w:r w:rsidRPr="00007B5D">
        <w:rPr>
          <w:rFonts w:cstheme="minorHAnsi"/>
        </w:rPr>
        <w:t xml:space="preserve"> korun českých). Dodavatel se zavazuje zajistit, že pojištění</w:t>
      </w:r>
      <w:r w:rsidRPr="00EC2D78">
        <w:rPr>
          <w:rFonts w:cstheme="minorHAnsi"/>
        </w:rPr>
        <w:t xml:space="preserve"> zůstane v uvedeném rozsahu platné po celou dobu účinnosti této Smlouvy. Současn</w:t>
      </w:r>
      <w:r w:rsidR="00E5037F">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D37210">
      <w:pPr>
        <w:pStyle w:val="Odstavecseseznamem"/>
        <w:spacing w:after="120" w:line="360" w:lineRule="auto"/>
        <w:ind w:left="567"/>
        <w:jc w:val="both"/>
        <w:rPr>
          <w:rFonts w:cstheme="minorHAnsi"/>
        </w:rPr>
      </w:pPr>
    </w:p>
    <w:p w14:paraId="636B49F4" w14:textId="07C956D1" w:rsidR="00D30EE1" w:rsidRDefault="00D30EE1" w:rsidP="000067FF">
      <w:pPr>
        <w:pStyle w:val="Odstavecseseznamem"/>
        <w:numPr>
          <w:ilvl w:val="1"/>
          <w:numId w:val="9"/>
        </w:numPr>
        <w:spacing w:after="12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D37210">
      <w:pPr>
        <w:pStyle w:val="Odstavecseseznamem"/>
        <w:spacing w:after="120" w:line="360" w:lineRule="auto"/>
        <w:ind w:left="567"/>
        <w:jc w:val="both"/>
        <w:rPr>
          <w:rFonts w:cstheme="minorHAnsi"/>
        </w:rPr>
      </w:pPr>
    </w:p>
    <w:p w14:paraId="4517E95C" w14:textId="62EA4D6D" w:rsidR="00A46E70" w:rsidRPr="0000592F" w:rsidRDefault="00A46E70" w:rsidP="000067FF">
      <w:pPr>
        <w:pStyle w:val="Odstavecseseznamem"/>
        <w:numPr>
          <w:ilvl w:val="1"/>
          <w:numId w:val="9"/>
        </w:numPr>
        <w:spacing w:after="12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CD1685">
        <w:rPr>
          <w:rFonts w:cstheme="minorHAnsi"/>
        </w:rPr>
        <w:t>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00592F">
      <w:pPr>
        <w:pStyle w:val="Odstavecseseznamem"/>
        <w:rPr>
          <w:rFonts w:cstheme="minorHAnsi"/>
          <w:highlight w:val="yellow"/>
        </w:rPr>
      </w:pPr>
    </w:p>
    <w:p w14:paraId="6F456AAD" w14:textId="2A560C39"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0067FF">
      <w:pPr>
        <w:pStyle w:val="Odstavecseseznamem"/>
        <w:numPr>
          <w:ilvl w:val="0"/>
          <w:numId w:val="14"/>
        </w:numPr>
        <w:spacing w:after="12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rsidP="00E81DB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11ECF7C5" w:rsidR="00953FE5" w:rsidRDefault="00953FE5" w:rsidP="00953FE5">
      <w:pPr>
        <w:spacing w:after="120" w:line="360" w:lineRule="auto"/>
        <w:ind w:left="567"/>
        <w:jc w:val="both"/>
        <w:rPr>
          <w:rFonts w:cstheme="minorHAnsi"/>
        </w:rPr>
      </w:pPr>
    </w:p>
    <w:p w14:paraId="4AE9FBD6" w14:textId="7F49D988" w:rsidR="00953FE5" w:rsidRDefault="00953FE5" w:rsidP="00953FE5">
      <w:pPr>
        <w:spacing w:after="120" w:line="360" w:lineRule="auto"/>
        <w:ind w:left="567"/>
        <w:jc w:val="both"/>
        <w:rPr>
          <w:rFonts w:cstheme="minorHAnsi"/>
        </w:rPr>
      </w:pPr>
      <w:r>
        <w:rPr>
          <w:rFonts w:cstheme="minorHAnsi"/>
        </w:rPr>
        <w:t xml:space="preserve">Pokud účastník zadávacího řízení, který se dle výsledku hodnocení umístil jako druhý v pořadí, odmítne poskytovat plnění namísto Dodavatele za podmínek uvedených výše, je Zákazník </w:t>
      </w:r>
      <w:r>
        <w:rPr>
          <w:rFonts w:cstheme="minorHAnsi"/>
        </w:rPr>
        <w:lastRenderedPageBreak/>
        <w:t>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137335D9" w14:textId="77777777" w:rsidR="00E5037F" w:rsidRDefault="00E5037F" w:rsidP="008C5EF5">
      <w:pPr>
        <w:spacing w:after="0" w:line="360" w:lineRule="auto"/>
        <w:jc w:val="center"/>
        <w:rPr>
          <w:b/>
        </w:rPr>
      </w:pPr>
    </w:p>
    <w:p w14:paraId="265B3695" w14:textId="2D7F9B3D" w:rsidR="008C5EF5" w:rsidRPr="008C5EF5" w:rsidRDefault="008C5EF5" w:rsidP="008C5EF5">
      <w:pPr>
        <w:spacing w:after="0" w:line="360" w:lineRule="auto"/>
        <w:jc w:val="center"/>
        <w:rPr>
          <w:b/>
        </w:rPr>
      </w:pPr>
      <w:r w:rsidRPr="008C5EF5">
        <w:rPr>
          <w:b/>
        </w:rPr>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1B0991">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1B0991">
      <w:pPr>
        <w:spacing w:after="0" w:line="360" w:lineRule="auto"/>
        <w:ind w:left="567"/>
        <w:contextualSpacing/>
        <w:jc w:val="both"/>
      </w:pPr>
    </w:p>
    <w:p w14:paraId="50983AD2" w14:textId="29383E03" w:rsidR="008C5EF5" w:rsidRPr="008C5EF5" w:rsidRDefault="008C5EF5" w:rsidP="001B0991">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1B0991">
      <w:pPr>
        <w:spacing w:after="0" w:line="256" w:lineRule="auto"/>
        <w:ind w:left="720"/>
        <w:contextualSpacing/>
        <w:jc w:val="both"/>
      </w:pPr>
    </w:p>
    <w:p w14:paraId="7D6A4645" w14:textId="68D5776E" w:rsidR="008C5EF5" w:rsidRPr="008C5EF5" w:rsidRDefault="008C5EF5" w:rsidP="001B0991">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1B0991">
      <w:pPr>
        <w:spacing w:after="0" w:line="256" w:lineRule="auto"/>
        <w:ind w:left="720"/>
        <w:contextualSpacing/>
        <w:jc w:val="both"/>
      </w:pPr>
    </w:p>
    <w:p w14:paraId="12587148" w14:textId="1112F992" w:rsidR="008C5EF5" w:rsidRPr="008C5EF5" w:rsidRDefault="008C5EF5" w:rsidP="001B0991">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1B0991">
      <w:pPr>
        <w:spacing w:after="0" w:line="256" w:lineRule="auto"/>
        <w:ind w:left="720"/>
        <w:contextualSpacing/>
        <w:jc w:val="both"/>
      </w:pPr>
    </w:p>
    <w:p w14:paraId="7191F517" w14:textId="3DC98EB2" w:rsidR="008C5EF5" w:rsidRPr="008C5EF5" w:rsidRDefault="008C5EF5" w:rsidP="001B0991">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1B0991">
      <w:pPr>
        <w:spacing w:after="0" w:line="256" w:lineRule="auto"/>
        <w:ind w:left="720"/>
        <w:contextualSpacing/>
        <w:jc w:val="both"/>
      </w:pPr>
    </w:p>
    <w:p w14:paraId="167FA95C" w14:textId="77777777" w:rsidR="008C5EF5" w:rsidRPr="008C5EF5" w:rsidRDefault="008C5EF5" w:rsidP="001B0991">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1B0991">
      <w:pPr>
        <w:spacing w:after="0" w:line="256" w:lineRule="auto"/>
        <w:ind w:left="720"/>
        <w:contextualSpacing/>
        <w:jc w:val="both"/>
      </w:pPr>
    </w:p>
    <w:p w14:paraId="62FAA8F1" w14:textId="77777777" w:rsidR="008C5EF5" w:rsidRPr="008C5EF5" w:rsidRDefault="008C5EF5" w:rsidP="001B0991">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8C5EF5">
      <w:pPr>
        <w:spacing w:line="256" w:lineRule="auto"/>
        <w:ind w:left="720"/>
        <w:contextualSpacing/>
      </w:pPr>
    </w:p>
    <w:p w14:paraId="2C6113E1" w14:textId="77777777" w:rsidR="001B0991" w:rsidRDefault="001B0991" w:rsidP="003F2249">
      <w:pPr>
        <w:spacing w:after="0" w:line="360" w:lineRule="auto"/>
        <w:jc w:val="center"/>
        <w:rPr>
          <w:rFonts w:cstheme="minorHAnsi"/>
          <w:b/>
        </w:rPr>
      </w:pPr>
    </w:p>
    <w:p w14:paraId="467981B3" w14:textId="0F4D87D8"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24166315" w14:textId="6C643D33" w:rsidR="00D30EE1" w:rsidRPr="005710E1" w:rsidRDefault="00D30EE1" w:rsidP="001B0991">
      <w:pPr>
        <w:pStyle w:val="Odstavecseseznamem"/>
        <w:numPr>
          <w:ilvl w:val="1"/>
          <w:numId w:val="21"/>
        </w:numPr>
        <w:spacing w:after="0" w:line="360" w:lineRule="auto"/>
        <w:ind w:left="567" w:hanging="567"/>
        <w:jc w:val="both"/>
        <w:rPr>
          <w:rFonts w:cstheme="minorHAnsi"/>
        </w:rPr>
      </w:pPr>
      <w:r w:rsidRPr="005710E1">
        <w:rPr>
          <w:rFonts w:cstheme="minorHAnsi"/>
        </w:rPr>
        <w:t xml:space="preserve">Cena sdružené služby dodávky </w:t>
      </w:r>
      <w:r w:rsidR="00C61887" w:rsidRPr="005710E1">
        <w:rPr>
          <w:rFonts w:cstheme="minorHAnsi"/>
        </w:rPr>
        <w:t xml:space="preserve">zemního </w:t>
      </w:r>
      <w:r w:rsidRPr="005710E1">
        <w:rPr>
          <w:rFonts w:cstheme="minorHAnsi"/>
        </w:rPr>
        <w:t>plynu se skládá ze dvou složek:</w:t>
      </w:r>
    </w:p>
    <w:p w14:paraId="09E3E0BE" w14:textId="0CF1856E" w:rsidR="00D30EE1" w:rsidRPr="00693BBB" w:rsidRDefault="0016676D">
      <w:pPr>
        <w:pStyle w:val="Odstavecseseznamem"/>
        <w:numPr>
          <w:ilvl w:val="0"/>
          <w:numId w:val="4"/>
        </w:numPr>
        <w:spacing w:after="0" w:line="360" w:lineRule="auto"/>
        <w:ind w:left="924" w:hanging="357"/>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dodávku </w:t>
      </w:r>
      <w:r w:rsidR="00C61887">
        <w:rPr>
          <w:rFonts w:cstheme="minorHAnsi"/>
        </w:rPr>
        <w:t xml:space="preserve">zemního </w:t>
      </w:r>
      <w:r w:rsidR="003E4B0D" w:rsidRPr="00693BBB">
        <w:rPr>
          <w:rFonts w:cstheme="minorHAnsi"/>
        </w:rPr>
        <w:t>plynu</w:t>
      </w:r>
      <w:r w:rsidR="00E81DBF">
        <w:rPr>
          <w:rFonts w:cstheme="minorHAnsi"/>
        </w:rPr>
        <w:t xml:space="preserve"> dle čl. VII. této Smlouvy</w:t>
      </w:r>
      <w:r w:rsidR="003E4B0D" w:rsidRPr="00693BBB">
        <w:rPr>
          <w:rFonts w:cstheme="minorHAnsi"/>
        </w:rPr>
        <w:t>;</w:t>
      </w:r>
    </w:p>
    <w:p w14:paraId="063190C6" w14:textId="0181C2BB" w:rsidR="004F1108" w:rsidRDefault="0016676D" w:rsidP="001B0991">
      <w:pPr>
        <w:pStyle w:val="Odstavecseseznamem"/>
        <w:numPr>
          <w:ilvl w:val="0"/>
          <w:numId w:val="4"/>
        </w:numPr>
        <w:spacing w:after="0" w:line="360" w:lineRule="auto"/>
        <w:contextualSpacing w:val="0"/>
        <w:jc w:val="both"/>
        <w:rPr>
          <w:rFonts w:cstheme="minorHAnsi"/>
        </w:rPr>
      </w:pPr>
      <w:r>
        <w:rPr>
          <w:rFonts w:cstheme="minorHAnsi"/>
        </w:rPr>
        <w:t>c</w:t>
      </w:r>
      <w:r w:rsidR="003E4B0D" w:rsidRPr="00693BBB">
        <w:rPr>
          <w:rFonts w:cstheme="minorHAnsi"/>
        </w:rPr>
        <w:t>en</w:t>
      </w:r>
      <w:r>
        <w:rPr>
          <w:rFonts w:cstheme="minorHAnsi"/>
        </w:rPr>
        <w:t>y</w:t>
      </w:r>
      <w:r w:rsidR="003E4B0D" w:rsidRPr="00693BBB">
        <w:rPr>
          <w:rFonts w:cstheme="minorHAnsi"/>
        </w:rPr>
        <w:t xml:space="preserve"> za do</w:t>
      </w:r>
      <w:r w:rsidR="00C61887">
        <w:rPr>
          <w:rFonts w:cstheme="minorHAnsi"/>
        </w:rPr>
        <w:t>pravu</w:t>
      </w:r>
      <w:r w:rsidR="003E4B0D" w:rsidRPr="00693BBB">
        <w:rPr>
          <w:rFonts w:cstheme="minorHAnsi"/>
        </w:rPr>
        <w:t xml:space="preserve"> </w:t>
      </w:r>
      <w:r w:rsidR="00C61887">
        <w:rPr>
          <w:rFonts w:cstheme="minorHAnsi"/>
        </w:rPr>
        <w:t xml:space="preserve">zemního </w:t>
      </w:r>
      <w:r w:rsidR="003E4B0D" w:rsidRPr="00693BBB">
        <w:rPr>
          <w:rFonts w:cstheme="minorHAnsi"/>
        </w:rPr>
        <w:t>plynu a související služby</w:t>
      </w:r>
      <w:r w:rsidR="007A76AC">
        <w:rPr>
          <w:rFonts w:cstheme="minorHAnsi"/>
        </w:rPr>
        <w:t>, která sestává zejména z ceny za distribuci zemního plynu složené z pevné ceny za odebraný plyn v Kč/</w:t>
      </w:r>
      <w:proofErr w:type="spellStart"/>
      <w:r w:rsidR="007A76AC">
        <w:rPr>
          <w:rFonts w:cstheme="minorHAnsi"/>
        </w:rPr>
        <w:t>MWh</w:t>
      </w:r>
      <w:proofErr w:type="spellEnd"/>
      <w:r w:rsidR="007A76AC">
        <w:rPr>
          <w:rFonts w:cstheme="minorHAnsi"/>
        </w:rPr>
        <w:t xml:space="preserve"> a z pevné roční ceny za denní rezervovanou pevnou distribuční kapacitu v Kč/tis. m3 nebo stálého měsíčního platu za přistavenou kapacitu v Kč/</w:t>
      </w:r>
      <w:proofErr w:type="spellStart"/>
      <w:r w:rsidR="007A76AC">
        <w:rPr>
          <w:rFonts w:cstheme="minorHAnsi"/>
        </w:rPr>
        <w:t>měs</w:t>
      </w:r>
      <w:proofErr w:type="spellEnd"/>
      <w:r w:rsidR="007A76AC">
        <w:rPr>
          <w:rFonts w:cstheme="minorHAnsi"/>
        </w:rPr>
        <w:t>. a z ceny za činnost OTE</w:t>
      </w:r>
      <w:r w:rsidR="001B0991">
        <w:rPr>
          <w:rFonts w:cstheme="minorHAnsi"/>
        </w:rPr>
        <w:t>.</w:t>
      </w:r>
    </w:p>
    <w:p w14:paraId="4A8BDED1" w14:textId="77777777" w:rsidR="00D37210" w:rsidRPr="00693BBB" w:rsidRDefault="00D37210">
      <w:pPr>
        <w:pStyle w:val="Odstavecseseznamem"/>
        <w:spacing w:after="0" w:line="360" w:lineRule="auto"/>
        <w:ind w:left="567"/>
        <w:contextualSpacing w:val="0"/>
        <w:jc w:val="both"/>
        <w:rPr>
          <w:rFonts w:cstheme="minorHAnsi"/>
        </w:rPr>
      </w:pPr>
    </w:p>
    <w:p w14:paraId="28A3F125" w14:textId="193A5CFC" w:rsidR="003E4B0D" w:rsidRPr="005710E1" w:rsidRDefault="003E4B0D">
      <w:pPr>
        <w:pStyle w:val="Odstavecseseznamem"/>
        <w:numPr>
          <w:ilvl w:val="1"/>
          <w:numId w:val="21"/>
        </w:numPr>
        <w:spacing w:after="0" w:line="360" w:lineRule="auto"/>
        <w:ind w:left="567" w:hanging="567"/>
        <w:jc w:val="both"/>
        <w:rPr>
          <w:rFonts w:cstheme="minorHAnsi"/>
        </w:rPr>
      </w:pPr>
      <w:r w:rsidRPr="005710E1">
        <w:rPr>
          <w:rFonts w:cstheme="minorHAnsi"/>
        </w:rPr>
        <w:t xml:space="preserve">Cena za dopravu </w:t>
      </w:r>
      <w:r w:rsidR="00C61887" w:rsidRPr="005710E1">
        <w:rPr>
          <w:rFonts w:cstheme="minorHAnsi"/>
        </w:rPr>
        <w:t xml:space="preserve">zemního </w:t>
      </w:r>
      <w:r w:rsidRPr="005710E1">
        <w:rPr>
          <w:rFonts w:cstheme="minorHAnsi"/>
        </w:rPr>
        <w:t>plynu a související služby je stanovena dle cenového rozhodnutí Energetického regulačního úřadu (</w:t>
      </w:r>
      <w:r w:rsidR="005763EF" w:rsidRPr="005710E1">
        <w:rPr>
          <w:rFonts w:cstheme="minorHAnsi"/>
        </w:rPr>
        <w:t xml:space="preserve">dále jen pod označením </w:t>
      </w:r>
      <w:r w:rsidR="005763EF" w:rsidRPr="005710E1">
        <w:rPr>
          <w:rFonts w:cstheme="minorHAnsi"/>
          <w:b/>
          <w:i/>
        </w:rPr>
        <w:t>„</w:t>
      </w:r>
      <w:r w:rsidRPr="005710E1">
        <w:rPr>
          <w:rFonts w:cstheme="minorHAnsi"/>
          <w:b/>
          <w:i/>
        </w:rPr>
        <w:t>ERÚ</w:t>
      </w:r>
      <w:r w:rsidR="005763EF" w:rsidRPr="005710E1">
        <w:rPr>
          <w:rFonts w:cstheme="minorHAnsi"/>
          <w:b/>
          <w:i/>
        </w:rPr>
        <w:t>“</w:t>
      </w:r>
      <w:r w:rsidRPr="005710E1">
        <w:rPr>
          <w:rFonts w:cstheme="minorHAnsi"/>
        </w:rPr>
        <w:t xml:space="preserve">) platného v období dodávky </w:t>
      </w:r>
      <w:r w:rsidR="00C61887" w:rsidRPr="005710E1">
        <w:rPr>
          <w:rFonts w:cstheme="minorHAnsi"/>
        </w:rPr>
        <w:t xml:space="preserve">zemního </w:t>
      </w:r>
      <w:r w:rsidRPr="005710E1">
        <w:rPr>
          <w:rFonts w:cstheme="minorHAnsi"/>
        </w:rPr>
        <w:t>plynu.</w:t>
      </w:r>
    </w:p>
    <w:p w14:paraId="77154970" w14:textId="77777777" w:rsidR="00D37210" w:rsidRPr="00C61887" w:rsidRDefault="00D37210">
      <w:pPr>
        <w:pStyle w:val="Odstavecseseznamem"/>
        <w:spacing w:after="0" w:line="360" w:lineRule="auto"/>
        <w:ind w:left="567"/>
        <w:contextualSpacing w:val="0"/>
        <w:jc w:val="both"/>
        <w:rPr>
          <w:rFonts w:cstheme="minorHAnsi"/>
        </w:rPr>
      </w:pPr>
    </w:p>
    <w:p w14:paraId="3466D5A9" w14:textId="3B36BF9D"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K cenám uvedeným v</w:t>
      </w:r>
      <w:r w:rsidR="00C61887">
        <w:rPr>
          <w:rFonts w:cstheme="minorHAnsi"/>
        </w:rPr>
        <w:t> čl. V</w:t>
      </w:r>
      <w:r w:rsidR="005710E1">
        <w:rPr>
          <w:rFonts w:cstheme="minorHAnsi"/>
        </w:rPr>
        <w:t>I</w:t>
      </w:r>
      <w:r w:rsidR="00C61887">
        <w:rPr>
          <w:rFonts w:cstheme="minorHAnsi"/>
        </w:rPr>
        <w:t xml:space="preserve">., </w:t>
      </w:r>
      <w:r w:rsidRPr="00693BBB">
        <w:rPr>
          <w:rFonts w:cstheme="minorHAnsi"/>
        </w:rPr>
        <w:t xml:space="preserve">odst. </w:t>
      </w:r>
      <w:r w:rsidR="005710E1">
        <w:rPr>
          <w:rFonts w:cstheme="minorHAnsi"/>
        </w:rPr>
        <w:t>6</w:t>
      </w:r>
      <w:r w:rsidRPr="00693BBB">
        <w:rPr>
          <w:rFonts w:cstheme="minorHAnsi"/>
        </w:rPr>
        <w:t>.</w:t>
      </w:r>
      <w:r w:rsidR="00953FE5">
        <w:rPr>
          <w:rFonts w:cstheme="minorHAnsi"/>
        </w:rPr>
        <w:t>1</w:t>
      </w:r>
      <w:r w:rsidRPr="00693BBB">
        <w:rPr>
          <w:rFonts w:cstheme="minorHAnsi"/>
        </w:rPr>
        <w:t>.</w:t>
      </w:r>
      <w:r w:rsidR="00953FE5">
        <w:rPr>
          <w:rFonts w:cstheme="minorHAnsi"/>
        </w:rPr>
        <w:t xml:space="preserve"> písm. a) a čl. V</w:t>
      </w:r>
      <w:r w:rsidR="005710E1">
        <w:rPr>
          <w:rFonts w:cstheme="minorHAnsi"/>
        </w:rPr>
        <w:t>I</w:t>
      </w:r>
      <w:r w:rsidR="00953FE5">
        <w:rPr>
          <w:rFonts w:cstheme="minorHAnsi"/>
        </w:rPr>
        <w:t xml:space="preserve">. odst. </w:t>
      </w:r>
      <w:r w:rsidR="005710E1">
        <w:rPr>
          <w:rFonts w:cstheme="minorHAnsi"/>
        </w:rPr>
        <w:t>6</w:t>
      </w:r>
      <w:r w:rsidR="00953FE5">
        <w:rPr>
          <w:rFonts w:cstheme="minorHAnsi"/>
        </w:rPr>
        <w:t xml:space="preserve">.1. písm. b) </w:t>
      </w:r>
      <w:r w:rsidRPr="00693BBB">
        <w:rPr>
          <w:rFonts w:cstheme="minorHAnsi"/>
        </w:rPr>
        <w:t>této Smlouvy bude připočtena DPH ve výši stanovené zvláštním právním předpisem.</w:t>
      </w:r>
    </w:p>
    <w:p w14:paraId="1EC05AC9" w14:textId="77777777" w:rsidR="00D37210" w:rsidRPr="00693BBB" w:rsidRDefault="00D37210">
      <w:pPr>
        <w:pStyle w:val="Odstavecseseznamem"/>
        <w:spacing w:after="0" w:line="360" w:lineRule="auto"/>
        <w:ind w:left="567"/>
        <w:contextualSpacing w:val="0"/>
        <w:jc w:val="both"/>
        <w:rPr>
          <w:rFonts w:cstheme="minorHAnsi"/>
        </w:rPr>
      </w:pPr>
    </w:p>
    <w:p w14:paraId="681F773A" w14:textId="05FD5520" w:rsidR="003E4B0D"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dále vyúčtuje Zákazníkovi </w:t>
      </w:r>
      <w:r w:rsidR="00E81DBF">
        <w:rPr>
          <w:rFonts w:cstheme="minorHAnsi"/>
        </w:rPr>
        <w:t xml:space="preserve">případnou </w:t>
      </w:r>
      <w:r w:rsidRPr="00693BBB">
        <w:rPr>
          <w:rFonts w:cstheme="minorHAnsi"/>
        </w:rPr>
        <w:t>daň z plynu dle zvláštního právního předpisu.</w:t>
      </w:r>
    </w:p>
    <w:p w14:paraId="50465F59" w14:textId="77777777" w:rsidR="00BF7924" w:rsidRPr="00BF7924" w:rsidRDefault="00BF7924" w:rsidP="001B0991">
      <w:pPr>
        <w:pStyle w:val="Odstavecseseznamem"/>
        <w:spacing w:after="0"/>
        <w:rPr>
          <w:rFonts w:cstheme="minorHAnsi"/>
        </w:rPr>
      </w:pPr>
    </w:p>
    <w:p w14:paraId="1A2DED2D" w14:textId="3DE6C66F" w:rsidR="00D30EE1" w:rsidRPr="00693BBB" w:rsidRDefault="003E4B0D">
      <w:pPr>
        <w:pStyle w:val="Odstavecseseznamem"/>
        <w:numPr>
          <w:ilvl w:val="1"/>
          <w:numId w:val="21"/>
        </w:numPr>
        <w:spacing w:after="0" w:line="360" w:lineRule="auto"/>
        <w:ind w:left="567" w:hanging="567"/>
        <w:contextualSpacing w:val="0"/>
        <w:jc w:val="both"/>
        <w:rPr>
          <w:rFonts w:cstheme="minorHAnsi"/>
        </w:rPr>
      </w:pPr>
      <w:r w:rsidRPr="00693BBB">
        <w:rPr>
          <w:rFonts w:cstheme="minorHAnsi"/>
        </w:rPr>
        <w:t xml:space="preserve">Dodavatel prohlašuje, že jím stanovena cena za sdružené služby dodávky plynu plně pokrývá veškeré jeho náklady spojené s dodávkou </w:t>
      </w:r>
      <w:r w:rsidR="00C61887">
        <w:rPr>
          <w:rFonts w:cstheme="minorHAnsi"/>
        </w:rPr>
        <w:t xml:space="preserve">zemního </w:t>
      </w:r>
      <w:r w:rsidRPr="00693BBB">
        <w:rPr>
          <w:rFonts w:cstheme="minorHAnsi"/>
        </w:rPr>
        <w:t>plynu</w:t>
      </w:r>
      <w:r w:rsidR="00C61887">
        <w:rPr>
          <w:rFonts w:cstheme="minorHAnsi"/>
        </w:rPr>
        <w:t>, dopravou zemního plynu</w:t>
      </w:r>
      <w:r w:rsidRPr="00693BBB">
        <w:rPr>
          <w:rFonts w:cstheme="minorHAnsi"/>
        </w:rPr>
        <w:t xml:space="preserve"> a ostatními službami poskytovanými Zákazníkovi. Dodavatel nebude Zákazníkovi účtovat žádné další poplatky (např. poplatek za odběrné místo, poplatek za zřízení odběrného místa</w:t>
      </w:r>
      <w:r w:rsidR="00953FE5">
        <w:rPr>
          <w:rFonts w:cstheme="minorHAnsi"/>
        </w:rPr>
        <w:t>, poplatek za ukončení dodávky do odběrného místa</w:t>
      </w:r>
      <w:r w:rsidR="00E81DBF">
        <w:rPr>
          <w:rFonts w:cstheme="minorHAnsi"/>
        </w:rPr>
        <w:t>, poplatek za administrativu</w:t>
      </w:r>
      <w:r w:rsidRPr="00693BBB">
        <w:rPr>
          <w:rFonts w:cstheme="minorHAnsi"/>
        </w:rPr>
        <w:t xml:space="preserve"> a</w:t>
      </w:r>
      <w:r w:rsidR="0016676D">
        <w:rPr>
          <w:rFonts w:cstheme="minorHAnsi"/>
        </w:rPr>
        <w:t>pod.).</w:t>
      </w: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3F2620C9"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r w:rsidR="00502985">
        <w:rPr>
          <w:rFonts w:ascii="Calibri" w:hAnsi="Calibri" w:cstheme="minorHAnsi"/>
        </w:rPr>
        <w:t xml:space="preserve"> zajišťovaným pro Zákazníka Centrálním zadavatelem, a to v souladu s příslušnou smlouvou o centralizovaném zadávání</w:t>
      </w:r>
      <w:r w:rsidRPr="005710E1">
        <w:rPr>
          <w:rFonts w:ascii="Calibri" w:hAnsi="Calibri" w:cstheme="minorHAnsi"/>
        </w:rPr>
        <w:t>.</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0DF8C545" w:rsidR="009E4414" w:rsidRPr="00552C33" w:rsidRDefault="009E4414" w:rsidP="00217E75">
      <w:pPr>
        <w:pStyle w:val="Odstavecseseznamem"/>
        <w:numPr>
          <w:ilvl w:val="1"/>
          <w:numId w:val="22"/>
        </w:numPr>
        <w:spacing w:after="0" w:line="360" w:lineRule="auto"/>
        <w:ind w:left="567" w:hanging="567"/>
        <w:jc w:val="both"/>
        <w:rPr>
          <w:rFonts w:ascii="Calibri" w:hAnsi="Calibri" w:cstheme="minorHAnsi"/>
        </w:rPr>
      </w:pPr>
      <w:r w:rsidRPr="00217E75">
        <w:rPr>
          <w:rFonts w:ascii="Calibri" w:hAnsi="Calibri" w:cstheme="minorHAnsi"/>
        </w:rPr>
        <w:t xml:space="preserve">Postupný nákup zemního plynu bude realizován na základě příkazů </w:t>
      </w:r>
      <w:r w:rsidR="00502985">
        <w:rPr>
          <w:rFonts w:ascii="Calibri" w:hAnsi="Calibri" w:cstheme="minorHAnsi"/>
        </w:rPr>
        <w:t>Centrálního zadavatele</w:t>
      </w:r>
      <w:r w:rsidR="00502985" w:rsidRPr="00217E75">
        <w:rPr>
          <w:rFonts w:ascii="Calibri" w:hAnsi="Calibri" w:cstheme="minorHAnsi"/>
        </w:rPr>
        <w:t xml:space="preserve"> </w:t>
      </w:r>
      <w:r w:rsidRPr="00217E75">
        <w:rPr>
          <w:rFonts w:ascii="Calibri" w:hAnsi="Calibri" w:cstheme="minorHAnsi"/>
        </w:rPr>
        <w:t xml:space="preserve">k nákupu jednotlivých velkoobchodních </w:t>
      </w:r>
      <w:r w:rsidRPr="00217E75">
        <w:rPr>
          <w:rFonts w:ascii="Calibri" w:hAnsi="Calibri" w:cstheme="minorHAnsi"/>
          <w:b/>
        </w:rPr>
        <w:t xml:space="preserve">ročních </w:t>
      </w:r>
      <w:r w:rsidRPr="00217E75">
        <w:rPr>
          <w:rFonts w:ascii="Calibri" w:hAnsi="Calibri" w:cstheme="minorHAnsi"/>
        </w:rPr>
        <w:t xml:space="preserve">produktů na </w:t>
      </w:r>
      <w:bookmarkStart w:id="8" w:name="_Hlk519788579"/>
      <w:r w:rsidRPr="00552C33">
        <w:rPr>
          <w:rFonts w:ascii="Calibri" w:hAnsi="Calibri" w:cstheme="minorHAnsi"/>
        </w:rPr>
        <w:t xml:space="preserve">burze </w:t>
      </w:r>
      <w:bookmarkStart w:id="9" w:name="_Hlk29910530"/>
      <w:r w:rsidR="005710E1" w:rsidRPr="00552C33">
        <w:rPr>
          <w:rFonts w:ascii="Calibri" w:hAnsi="Calibri" w:cstheme="minorHAnsi"/>
        </w:rPr>
        <w:t>EEX NATURAL GAS MARKETS – Futures market data – platforma NCG</w:t>
      </w:r>
      <w:r w:rsidR="00953FE5" w:rsidRPr="00552C33">
        <w:rPr>
          <w:rFonts w:ascii="Calibri" w:hAnsi="Calibri" w:cstheme="minorHAnsi"/>
        </w:rPr>
        <w:t xml:space="preserve"> (</w:t>
      </w:r>
      <w:r w:rsidR="0074307A">
        <w:rPr>
          <w:rFonts w:ascii="Calibri" w:hAnsi="Calibri" w:cstheme="minorHAnsi"/>
        </w:rPr>
        <w:t xml:space="preserve">ke dni podpisu této Smlouvy dostupné na </w:t>
      </w:r>
      <w:hyperlink r:id="rId8" w:history="1">
        <w:r w:rsidR="0074307A" w:rsidRPr="0074307A">
          <w:rPr>
            <w:rStyle w:val="Hypertextovodkaz"/>
            <w:rFonts w:ascii="Calibri" w:hAnsi="Calibri" w:cstheme="minorHAnsi"/>
          </w:rPr>
          <w:t>https://www.powernext.com/fut</w:t>
        </w:r>
        <w:r w:rsidR="0074307A" w:rsidRPr="007F4D96">
          <w:rPr>
            <w:rStyle w:val="Hypertextovodkaz"/>
            <w:rFonts w:ascii="Calibri" w:hAnsi="Calibri" w:cstheme="minorHAnsi"/>
          </w:rPr>
          <w:t>ures-market-data</w:t>
        </w:r>
      </w:hyperlink>
      <w:r w:rsidR="00953FE5" w:rsidRPr="00217E75">
        <w:rPr>
          <w:rFonts w:ascii="Calibri" w:hAnsi="Calibri" w:cstheme="minorHAnsi"/>
        </w:rPr>
        <w:t>)</w:t>
      </w:r>
      <w:bookmarkEnd w:id="9"/>
      <w:r w:rsidRPr="00217E75">
        <w:rPr>
          <w:rFonts w:ascii="Calibri" w:hAnsi="Calibri" w:cstheme="minorHAnsi"/>
        </w:rPr>
        <w:t xml:space="preserve">. </w:t>
      </w:r>
      <w:bookmarkEnd w:id="8"/>
      <w:r w:rsidRPr="00217E75">
        <w:rPr>
          <w:rFonts w:ascii="Calibri" w:hAnsi="Calibri" w:cstheme="minorHAnsi"/>
        </w:rPr>
        <w:t xml:space="preserve">V příkazu </w:t>
      </w:r>
      <w:r w:rsidR="00B1396D">
        <w:rPr>
          <w:rFonts w:ascii="Calibri" w:hAnsi="Calibri" w:cstheme="minorHAnsi"/>
        </w:rPr>
        <w:t>Centrální zadavatel</w:t>
      </w:r>
      <w:r w:rsidR="00B1396D" w:rsidRPr="00217E75">
        <w:rPr>
          <w:rFonts w:ascii="Calibri" w:hAnsi="Calibri" w:cstheme="minorHAnsi"/>
        </w:rPr>
        <w:t xml:space="preserve"> </w:t>
      </w:r>
      <w:r w:rsidRPr="00217E75">
        <w:rPr>
          <w:rFonts w:ascii="Calibri" w:hAnsi="Calibri" w:cstheme="minorHAnsi"/>
        </w:rPr>
        <w:t xml:space="preserve">určí, kolik komodity v % (slovy: procentech) </w:t>
      </w:r>
      <w:r w:rsidRPr="00552C33">
        <w:rPr>
          <w:rFonts w:ascii="Calibri" w:hAnsi="Calibri" w:cstheme="minorHAnsi"/>
          <w:b/>
        </w:rPr>
        <w:t>z předpokládaného ročního množství</w:t>
      </w:r>
      <w:r w:rsidRPr="00552C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0" w:name="_Hlk29880818"/>
      <w:r w:rsidR="00953FE5" w:rsidRPr="005710E1">
        <w:rPr>
          <w:rFonts w:cstheme="minorHAnsi"/>
          <w:b/>
          <w:bCs/>
        </w:rPr>
        <w:t>25</w:t>
      </w:r>
      <w:r w:rsidRPr="005710E1">
        <w:rPr>
          <w:rFonts w:ascii="Calibri" w:hAnsi="Calibri" w:cstheme="minorHAnsi"/>
          <w:b/>
        </w:rPr>
        <w:t> </w:t>
      </w:r>
      <w:bookmarkEnd w:id="10"/>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ročního množství</w:t>
      </w:r>
      <w:r w:rsidRPr="005710E1">
        <w:rPr>
          <w:rFonts w:ascii="Calibri" w:hAnsi="Calibri" w:cstheme="minorHAnsi"/>
        </w:rPr>
        <w:t xml:space="preserve"> - nákup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6C6C11D9"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lastRenderedPageBreak/>
        <w:t xml:space="preserve">Postupný nákup bude realizován formou nákupu velkoobchodních produktů před začátkem dodávky daného roku. </w:t>
      </w:r>
      <w:r w:rsidR="00502985">
        <w:rPr>
          <w:rFonts w:ascii="Calibri" w:hAnsi="Calibri" w:cstheme="minorHAnsi"/>
          <w:b/>
        </w:rPr>
        <w:t>Centrální zadavatel</w:t>
      </w:r>
      <w:r w:rsidR="00502985" w:rsidRPr="005710E1">
        <w:rPr>
          <w:rFonts w:ascii="Calibri" w:hAnsi="Calibri" w:cstheme="minorHAnsi"/>
          <w:b/>
        </w:rPr>
        <w:t xml:space="preserve"> </w:t>
      </w:r>
      <w:r w:rsidRPr="005710E1">
        <w:rPr>
          <w:rFonts w:ascii="Calibri" w:hAnsi="Calibri" w:cstheme="minorHAnsi"/>
          <w:b/>
        </w:rPr>
        <w:t xml:space="preserve">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před 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w:t>
      </w:r>
      <w:r w:rsidR="00502985">
        <w:rPr>
          <w:rFonts w:ascii="Calibri" w:hAnsi="Calibri" w:cstheme="minorHAnsi"/>
        </w:rPr>
        <w:t>Centrální zadavatel</w:t>
      </w:r>
      <w:r w:rsidR="00502985" w:rsidRPr="005710E1">
        <w:rPr>
          <w:rFonts w:ascii="Calibri" w:hAnsi="Calibri" w:cstheme="minorHAnsi"/>
        </w:rPr>
        <w:t xml:space="preserve"> </w:t>
      </w:r>
      <w:r w:rsidRPr="005710E1">
        <w:rPr>
          <w:rFonts w:ascii="Calibri" w:hAnsi="Calibri" w:cstheme="minorHAnsi"/>
        </w:rPr>
        <w:t xml:space="preserve">s Dodavatelem nedohodnou jinak. Jednotlivé nákupy budou stvrzeny oboustranně podepsanou konfirmací, jež bude podepsaná </w:t>
      </w:r>
      <w:r w:rsidR="00502985">
        <w:rPr>
          <w:rFonts w:ascii="Calibri" w:hAnsi="Calibri" w:cstheme="minorHAnsi"/>
        </w:rPr>
        <w:t>Centrálním zadavatelem</w:t>
      </w:r>
      <w:r w:rsidR="00502985" w:rsidRPr="005710E1">
        <w:rPr>
          <w:rFonts w:ascii="Calibri" w:hAnsi="Calibri" w:cstheme="minorHAnsi"/>
        </w:rPr>
        <w:t xml:space="preserve"> </w:t>
      </w:r>
      <w:r w:rsidRPr="005710E1">
        <w:rPr>
          <w:rFonts w:ascii="Calibri" w:hAnsi="Calibri" w:cstheme="minorHAnsi"/>
        </w:rPr>
        <w:t xml:space="preserve">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6639304E"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Cena účtovaná Dodavatelem </w:t>
      </w:r>
      <w:r w:rsidR="00502985">
        <w:rPr>
          <w:rFonts w:ascii="Calibri" w:hAnsi="Calibri" w:cstheme="minorHAnsi"/>
          <w:b/>
        </w:rPr>
        <w:t xml:space="preserve">Centrálnímu zadavateli, respektive </w:t>
      </w:r>
      <w:r w:rsidRPr="005710E1">
        <w:rPr>
          <w:rFonts w:ascii="Calibri" w:hAnsi="Calibri" w:cstheme="minorHAnsi"/>
          <w:b/>
        </w:rPr>
        <w:t>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Futures market data – platforma NCG (</w:t>
      </w:r>
      <w:r w:rsidR="0074307A">
        <w:rPr>
          <w:rFonts w:ascii="Calibri" w:hAnsi="Calibri" w:cstheme="minorHAnsi"/>
        </w:rPr>
        <w:t xml:space="preserve">ke dni podpisu této Smlouvy dostupné na </w:t>
      </w:r>
      <w:hyperlink r:id="rId9" w:history="1">
        <w:r w:rsidR="0074307A" w:rsidRPr="0074307A">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703DE5">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 xml:space="preserve">Cena nákupu v CZK  =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Futures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daného ročního produktu</w:t>
      </w:r>
      <w:r w:rsidRPr="005710E1">
        <w:rPr>
          <w:rFonts w:ascii="Calibri" w:hAnsi="Calibri" w:cstheme="minorHAnsi"/>
          <w:b/>
        </w:rPr>
        <w:t xml:space="preserve">   x   koeficient   x   kurz (CZK/EUR)</w:t>
      </w:r>
    </w:p>
    <w:p w14:paraId="62FDCC57" w14:textId="77777777" w:rsidR="009E4414" w:rsidRPr="009E4414" w:rsidRDefault="009E4414" w:rsidP="009E4414">
      <w:pPr>
        <w:ind w:left="720"/>
        <w:contextualSpacing/>
        <w:rPr>
          <w:rFonts w:ascii="Calibri" w:hAnsi="Calibri" w:cstheme="minorHAnsi"/>
        </w:rPr>
      </w:pPr>
    </w:p>
    <w:p w14:paraId="3D951600" w14:textId="3C7F0CAF"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B80A00" w:rsidRPr="00E855AC">
        <w:rPr>
          <w:rFonts w:ascii="Calibri" w:hAnsi="Calibri" w:cstheme="minorHAnsi"/>
          <w:highlight w:val="yellow"/>
        </w:rPr>
        <w:t>1,142.</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14BA38D0"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1"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r w:rsidR="000067FF">
        <w:rPr>
          <w:rFonts w:ascii="Calibri" w:hAnsi="Calibri" w:cstheme="minorHAnsi"/>
        </w:rPr>
        <w:t>EEX -NATURAL GAS MARKETS</w:t>
      </w:r>
      <w:r w:rsidR="00442F9D">
        <w:rPr>
          <w:rFonts w:ascii="Calibri" w:hAnsi="Calibri" w:cstheme="minorHAnsi"/>
        </w:rPr>
        <w:t xml:space="preserve"> – Futures market data – platforma NCG (</w:t>
      </w:r>
      <w:r w:rsidR="0074307A">
        <w:rPr>
          <w:rFonts w:ascii="Calibri" w:hAnsi="Calibri" w:cstheme="minorHAnsi"/>
        </w:rPr>
        <w:t xml:space="preserve">ke dni podpisu této Smlouvy dostupné na </w:t>
      </w:r>
      <w:hyperlink r:id="rId10" w:history="1">
        <w:r w:rsidR="0081296A" w:rsidRPr="0081296A">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w:t>
      </w:r>
      <w:r w:rsidR="00A139D8">
        <w:rPr>
          <w:rFonts w:ascii="Calibri" w:hAnsi="Calibri" w:cstheme="minorHAnsi"/>
        </w:rPr>
        <w:t xml:space="preserve">či z jeho pověření Centrálním zadavatelem </w:t>
      </w:r>
      <w:r w:rsidRPr="007D74CC">
        <w:rPr>
          <w:rFonts w:ascii="Calibri" w:hAnsi="Calibri" w:cstheme="minorHAnsi"/>
        </w:rPr>
        <w:t xml:space="preserve">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1"/>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C6186B4"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 xml:space="preserve">Koeficient pro postupný nákup obsahuje veškeré náklady na obstarání a dodávku </w:t>
      </w:r>
      <w:r w:rsidR="00040B67">
        <w:rPr>
          <w:rFonts w:ascii="Calibri" w:hAnsi="Calibri" w:cstheme="minorHAnsi"/>
        </w:rPr>
        <w:t xml:space="preserve">komodity </w:t>
      </w:r>
      <w:r w:rsidR="00C06C62">
        <w:rPr>
          <w:rFonts w:ascii="Calibri" w:hAnsi="Calibri" w:cstheme="minorHAnsi"/>
        </w:rPr>
        <w:t>zemního plynu</w:t>
      </w:r>
      <w:r w:rsidR="005710E1">
        <w:rPr>
          <w:rFonts w:ascii="Calibri" w:hAnsi="Calibri" w:cstheme="minorHAnsi"/>
        </w:rPr>
        <w:t>,</w:t>
      </w:r>
      <w:r w:rsidR="00221D39">
        <w:rPr>
          <w:rFonts w:ascii="Calibri" w:hAnsi="Calibri" w:cstheme="minorHAnsi"/>
        </w:rPr>
        <w:t xml:space="preserve"> </w:t>
      </w:r>
      <w:r w:rsidR="00040B67">
        <w:rPr>
          <w:rFonts w:ascii="Calibri" w:hAnsi="Calibri" w:cstheme="minorHAnsi"/>
        </w:rPr>
        <w:t xml:space="preserve">přepravy a strukturování, </w:t>
      </w:r>
      <w:r w:rsidRPr="009E4414">
        <w:rPr>
          <w:rFonts w:ascii="Calibri" w:hAnsi="Calibri" w:cstheme="minorHAnsi"/>
        </w:rPr>
        <w:t xml:space="preserve">tj. Dodavatel není oprávněn v obchodní (neregulované) části fakturovat jakékoli další poplatky. </w:t>
      </w: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bookmarkStart w:id="12" w:name="_Hlk38027712"/>
    </w:p>
    <w:p w14:paraId="58361503" w14:textId="77777777" w:rsidR="009E4414" w:rsidRPr="00E5037F"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použité pro jednotlivý nákup dle čl. VI. odst. 6.2, 6.3.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bookmarkEnd w:id="12"/>
    <w:p w14:paraId="7E1DAF9D" w14:textId="53E7125E" w:rsidR="009E4414" w:rsidRDefault="009E4414" w:rsidP="003F2249">
      <w:pPr>
        <w:spacing w:after="0" w:line="360" w:lineRule="auto"/>
        <w:jc w:val="center"/>
        <w:rPr>
          <w:rFonts w:cstheme="minorHAnsi"/>
          <w:b/>
        </w:rPr>
      </w:pPr>
    </w:p>
    <w:p w14:paraId="62B8958F" w14:textId="59577673" w:rsidR="009E4414" w:rsidRPr="00693BBB" w:rsidRDefault="00C06C62" w:rsidP="003F2249">
      <w:pPr>
        <w:spacing w:after="0" w:line="360" w:lineRule="auto"/>
        <w:jc w:val="center"/>
        <w:rPr>
          <w:rFonts w:cstheme="minorHAnsi"/>
          <w:b/>
        </w:rPr>
      </w:pPr>
      <w:r>
        <w:rPr>
          <w:rFonts w:cstheme="minorHAnsi"/>
          <w:b/>
        </w:rPr>
        <w:t>Článek VII</w:t>
      </w:r>
      <w:r w:rsidR="00703DE5">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1B0991">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1B0991">
      <w:pPr>
        <w:pStyle w:val="Odstavecseseznamem"/>
        <w:spacing w:after="0" w:line="360" w:lineRule="auto"/>
        <w:ind w:left="567"/>
        <w:jc w:val="both"/>
      </w:pPr>
    </w:p>
    <w:p w14:paraId="4DF223E8" w14:textId="51D9C0B8" w:rsidR="00C06C62" w:rsidRDefault="00C06C62" w:rsidP="001B0991">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Faktura a zálohový předpis musí dále obsahovat identifikaci odběrného místa, kterého se </w:t>
      </w:r>
      <w:r w:rsidRPr="001B5C03">
        <w:lastRenderedPageBreak/>
        <w:t>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1B0991">
      <w:pPr>
        <w:pStyle w:val="Odstavecseseznamem"/>
        <w:spacing w:after="0"/>
      </w:pPr>
    </w:p>
    <w:p w14:paraId="5D49492C" w14:textId="793229D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1B0991">
      <w:pPr>
        <w:pStyle w:val="Odstavecseseznamem"/>
        <w:spacing w:after="0"/>
      </w:pPr>
    </w:p>
    <w:p w14:paraId="283D629D" w14:textId="30525504"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1B0991">
      <w:pPr>
        <w:pStyle w:val="Odstavecseseznamem"/>
        <w:spacing w:after="0"/>
      </w:pPr>
    </w:p>
    <w:p w14:paraId="56D431F2" w14:textId="5514A052" w:rsidR="00065AE1" w:rsidRPr="00065AE1" w:rsidRDefault="00065AE1" w:rsidP="001B0991">
      <w:pPr>
        <w:pStyle w:val="Odstavecseseznamem"/>
        <w:numPr>
          <w:ilvl w:val="1"/>
          <w:numId w:val="23"/>
        </w:numPr>
        <w:spacing w:after="0" w:line="360" w:lineRule="auto"/>
        <w:ind w:left="567" w:hanging="567"/>
        <w:jc w:val="both"/>
      </w:pPr>
      <w:r w:rsidRPr="00065AE1">
        <w:rPr>
          <w:rFonts w:ascii="Calibri" w:hAnsi="Calibri" w:cstheme="minorHAnsi"/>
        </w:rPr>
        <w:t>Zákazník bude na úhradu odebrané</w:t>
      </w:r>
      <w:r>
        <w:rPr>
          <w:rFonts w:ascii="Calibri" w:hAnsi="Calibri" w:cstheme="minorHAnsi"/>
        </w:rPr>
        <w:t>ho</w:t>
      </w:r>
      <w:r w:rsidRPr="00065AE1">
        <w:rPr>
          <w:rFonts w:ascii="Calibri" w:hAnsi="Calibri" w:cstheme="minorHAnsi"/>
        </w:rPr>
        <w:t>, ale dosud nevyfakturované</w:t>
      </w:r>
      <w:r>
        <w:rPr>
          <w:rFonts w:ascii="Calibri" w:hAnsi="Calibri" w:cstheme="minorHAnsi"/>
        </w:rPr>
        <w:t>ho zemního plynu</w:t>
      </w:r>
      <w:r w:rsidRPr="00065AE1">
        <w:rPr>
          <w:rFonts w:ascii="Calibri" w:hAnsi="Calibri" w:cstheme="minorHAnsi"/>
        </w:rPr>
        <w:t xml:space="preserve">,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w:t>
      </w:r>
      <w:r>
        <w:rPr>
          <w:rFonts w:ascii="Calibri" w:hAnsi="Calibri" w:cstheme="minorHAnsi"/>
        </w:rPr>
        <w:t>zemního plynu</w:t>
      </w:r>
      <w:r w:rsidRPr="00065AE1">
        <w:rPr>
          <w:rFonts w:ascii="Calibri" w:hAnsi="Calibri" w:cstheme="minorHAnsi"/>
        </w:rPr>
        <w:t xml:space="preserve"> ve frekvenci a se splatností stanovenou Příloze č. 1 – Seznam odběrných míst. Předpokládaná roční platba je stanovena Dodavatelem na základě:</w:t>
      </w:r>
    </w:p>
    <w:p w14:paraId="258D044E" w14:textId="77777777" w:rsidR="00065AE1" w:rsidRPr="00065AE1" w:rsidRDefault="00065AE1" w:rsidP="001B0991">
      <w:pPr>
        <w:spacing w:after="0" w:line="256" w:lineRule="auto"/>
        <w:ind w:left="720"/>
        <w:contextualSpacing/>
        <w:rPr>
          <w:rFonts w:ascii="Calibri" w:hAnsi="Calibri" w:cstheme="minorHAnsi"/>
        </w:rPr>
      </w:pPr>
    </w:p>
    <w:p w14:paraId="2DEAF3B0"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předpokládané spotřeby konkrétního odběrného místa, </w:t>
      </w:r>
    </w:p>
    <w:p w14:paraId="29936820" w14:textId="753E47B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 xml:space="preserve">již výsledné ceny nákupu pro daný rok určené dle čl. </w:t>
      </w:r>
      <w:r>
        <w:rPr>
          <w:rFonts w:ascii="Calibri" w:hAnsi="Calibri" w:cstheme="minorHAnsi"/>
        </w:rPr>
        <w:t>V</w:t>
      </w:r>
      <w:r w:rsidR="003A36DE">
        <w:rPr>
          <w:rFonts w:ascii="Calibri" w:hAnsi="Calibri" w:cstheme="minorHAnsi"/>
        </w:rPr>
        <w:t>I</w:t>
      </w:r>
      <w:r w:rsidRPr="00065AE1">
        <w:rPr>
          <w:rFonts w:ascii="Calibri" w:hAnsi="Calibri" w:cstheme="minorHAnsi"/>
        </w:rPr>
        <w:t xml:space="preserve">I. odst. </w:t>
      </w:r>
      <w:r w:rsidR="003A36DE">
        <w:rPr>
          <w:rFonts w:ascii="Calibri" w:hAnsi="Calibri" w:cstheme="minorHAnsi"/>
        </w:rPr>
        <w:t>7</w:t>
      </w:r>
      <w:r w:rsidRPr="00065AE1">
        <w:rPr>
          <w:rFonts w:ascii="Calibri" w:hAnsi="Calibri" w:cstheme="minorHAnsi"/>
        </w:rPr>
        <w:t>.1</w:t>
      </w:r>
      <w:r w:rsidR="003A36DE">
        <w:rPr>
          <w:rFonts w:ascii="Calibri" w:hAnsi="Calibri" w:cstheme="minorHAnsi"/>
        </w:rPr>
        <w:t>0</w:t>
      </w:r>
      <w:r w:rsidRPr="00065AE1">
        <w:rPr>
          <w:rFonts w:ascii="Calibri" w:hAnsi="Calibri" w:cstheme="minorHAnsi"/>
        </w:rPr>
        <w:t xml:space="preserve">. této Smlouvy a </w:t>
      </w:r>
    </w:p>
    <w:p w14:paraId="170E6E84" w14:textId="77777777" w:rsidR="00065AE1" w:rsidRPr="00065AE1" w:rsidRDefault="00065AE1" w:rsidP="001B0991">
      <w:pPr>
        <w:numPr>
          <w:ilvl w:val="0"/>
          <w:numId w:val="14"/>
        </w:numPr>
        <w:spacing w:after="0" w:line="360" w:lineRule="auto"/>
        <w:contextualSpacing/>
        <w:jc w:val="both"/>
        <w:rPr>
          <w:rFonts w:ascii="Calibri" w:hAnsi="Calibri" w:cstheme="minorHAnsi"/>
        </w:rPr>
      </w:pPr>
      <w:r w:rsidRPr="00065AE1">
        <w:rPr>
          <w:rFonts w:ascii="Calibri" w:hAnsi="Calibri" w:cstheme="minorHAnsi"/>
        </w:rPr>
        <w:t>regulované ceny dle technické specifikace konkrétního odběrného místa.</w:t>
      </w:r>
    </w:p>
    <w:p w14:paraId="7EC1622E" w14:textId="77777777" w:rsidR="00B9031D" w:rsidRDefault="00B9031D" w:rsidP="001B0991">
      <w:pPr>
        <w:pStyle w:val="Odstavecseseznamem"/>
        <w:spacing w:after="0"/>
      </w:pPr>
    </w:p>
    <w:p w14:paraId="33EC07B9" w14:textId="0687DD14"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doplatku vyúčtování činí 21 (slovy: dvacet jedna) kalendářních dnů ode dne vystavení řádného daňového dokladu (faktury). Splatnost přeplatku vyúčtování činí </w:t>
      </w:r>
      <w:r w:rsidR="001B0991">
        <w:rPr>
          <w:rFonts w:ascii="Calibri" w:hAnsi="Calibri" w:cstheme="minorHAnsi"/>
        </w:rPr>
        <w:t>21</w:t>
      </w:r>
      <w:r w:rsidRPr="003A36DE">
        <w:rPr>
          <w:rFonts w:ascii="Calibri" w:hAnsi="Calibri" w:cstheme="minorHAnsi"/>
        </w:rPr>
        <w:t xml:space="preserve"> (slovy: </w:t>
      </w:r>
      <w:r w:rsidR="001B0991">
        <w:rPr>
          <w:rFonts w:ascii="Calibri" w:hAnsi="Calibri" w:cstheme="minorHAnsi"/>
        </w:rPr>
        <w:t>dvacet jedna</w:t>
      </w:r>
      <w:r w:rsidRPr="003A36DE">
        <w:rPr>
          <w:rFonts w:ascii="Calibri" w:hAnsi="Calibri" w:cstheme="minorHAnsi"/>
        </w:rPr>
        <w:t>) kalendářních dnů ode dne vystavení daňového dokladu. Úhrada daňových dokladů (faktur) i záloh bude prováděna formou bezhotovostního převodu.</w:t>
      </w:r>
    </w:p>
    <w:p w14:paraId="00F120D3" w14:textId="77777777" w:rsidR="003A36DE" w:rsidRPr="003A36DE" w:rsidRDefault="003A36DE" w:rsidP="001B0991">
      <w:pPr>
        <w:spacing w:after="0" w:line="360" w:lineRule="auto"/>
        <w:ind w:left="567"/>
        <w:contextualSpacing/>
        <w:jc w:val="both"/>
        <w:rPr>
          <w:rFonts w:ascii="Calibri" w:hAnsi="Calibri" w:cstheme="minorHAnsi"/>
        </w:rPr>
      </w:pPr>
    </w:p>
    <w:p w14:paraId="2D754E41" w14:textId="4EC54FA5" w:rsidR="003A36DE" w:rsidRPr="00E855AC" w:rsidRDefault="003A36DE" w:rsidP="00E855AC">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 xml:space="preserve">Dodavatel bude Zákazníkovi daňové doklady (faktury) zasílat ve fakturačním období (viz. čl. VIII. odst. </w:t>
      </w:r>
      <w:proofErr w:type="gramStart"/>
      <w:r w:rsidRPr="003A36DE">
        <w:rPr>
          <w:rFonts w:ascii="Calibri" w:hAnsi="Calibri" w:cstheme="minorHAnsi"/>
        </w:rPr>
        <w:t>8.1</w:t>
      </w:r>
      <w:proofErr w:type="gramEnd"/>
      <w:r w:rsidRPr="003A36DE">
        <w:rPr>
          <w:rFonts w:ascii="Calibri" w:hAnsi="Calibri" w:cstheme="minorHAnsi"/>
        </w:rPr>
        <w:t>., 8.2.</w:t>
      </w:r>
      <w:r w:rsidR="00CD1685">
        <w:rPr>
          <w:rFonts w:ascii="Calibri" w:hAnsi="Calibri" w:cstheme="minorHAnsi"/>
        </w:rPr>
        <w:t>,</w:t>
      </w:r>
      <w:r w:rsidRPr="003A36DE">
        <w:rPr>
          <w:rFonts w:ascii="Calibri" w:hAnsi="Calibri" w:cstheme="minorHAnsi"/>
        </w:rPr>
        <w:t xml:space="preserve"> 8.5.</w:t>
      </w:r>
      <w:r w:rsidR="00CD1685">
        <w:rPr>
          <w:rFonts w:ascii="Calibri" w:hAnsi="Calibri" w:cstheme="minorHAnsi"/>
        </w:rPr>
        <w:t>a 8.10.</w:t>
      </w:r>
      <w:r w:rsidRPr="003A36DE">
        <w:rPr>
          <w:rFonts w:ascii="Calibri" w:hAnsi="Calibri" w:cstheme="minorHAnsi"/>
        </w:rPr>
        <w:t xml:space="preserve"> této Smlouvy) zasílat způsobem uvedeným v Příloze č. 1 této Smlouvy u každého odběrného místa.</w:t>
      </w:r>
    </w:p>
    <w:p w14:paraId="0847D4CE" w14:textId="6F0FC27F" w:rsidR="003A36DE" w:rsidRDefault="003A36DE" w:rsidP="001B0991">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lastRenderedPageBreak/>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1B0991">
      <w:pPr>
        <w:pStyle w:val="Odstavecseseznamem"/>
        <w:spacing w:after="0"/>
        <w:rPr>
          <w:rFonts w:ascii="Calibri" w:hAnsi="Calibri" w:cstheme="minorHAnsi"/>
        </w:rPr>
      </w:pPr>
    </w:p>
    <w:p w14:paraId="2AC3E095" w14:textId="11272531" w:rsidR="00B9031D" w:rsidRPr="003A36DE" w:rsidRDefault="003A36DE" w:rsidP="001B0991">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r>
        <w:t>csv</w:t>
      </w:r>
      <w:proofErr w:type="spellEnd"/>
      <w:r>
        <w:t>, .</w:t>
      </w:r>
      <w:proofErr w:type="spellStart"/>
      <w:r>
        <w:t>xls</w:t>
      </w:r>
      <w:proofErr w:type="spellEnd"/>
      <w:r>
        <w:t xml:space="preserve">, případně </w:t>
      </w:r>
      <w:r w:rsidR="00AA759F">
        <w:t>POF</w:t>
      </w:r>
      <w:r>
        <w:t xml:space="preserve">, a to ke všem odběrným místům v elektronické podobě. Dodavatel se zavazuje tato data zasílat e-mailovou adresu: </w:t>
      </w:r>
      <w:hyperlink r:id="rId11" w:history="1">
        <w:r w:rsidR="00CD1685" w:rsidRPr="005A3081">
          <w:rPr>
            <w:rStyle w:val="Hypertextovodkaz"/>
            <w:b/>
            <w:bCs/>
          </w:rPr>
          <w:t>import@energybroker.cz</w:t>
        </w:r>
      </w:hyperlink>
      <w:r w:rsidR="00CD1685">
        <w:t xml:space="preserve"> </w:t>
      </w:r>
      <w:r w:rsidRPr="003A36DE">
        <w:rPr>
          <w:rFonts w:cstheme="minorHAnsi"/>
        </w:rPr>
        <w:t>, případně na mezi Stranami dohodnuté datové úložiště vždy 1x měsíčně. Data budou způsobem popsaným v předchozí větě zaslána vždy nejpozději do 25. 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1B0991">
      <w:pPr>
        <w:pStyle w:val="Odstavecseseznamem"/>
        <w:spacing w:after="0"/>
        <w:rPr>
          <w:bCs/>
        </w:rPr>
      </w:pPr>
    </w:p>
    <w:p w14:paraId="05155D62" w14:textId="6C4F1BB4" w:rsidR="007443B9" w:rsidRDefault="003C3728" w:rsidP="001B0991">
      <w:pPr>
        <w:pStyle w:val="Odstavecseseznamem"/>
        <w:numPr>
          <w:ilvl w:val="0"/>
          <w:numId w:val="18"/>
        </w:numPr>
        <w:spacing w:after="0" w:line="360" w:lineRule="auto"/>
        <w:jc w:val="both"/>
        <w:rPr>
          <w:bCs/>
        </w:rPr>
      </w:pPr>
      <w:r>
        <w:rPr>
          <w:bCs/>
        </w:rPr>
        <w:t xml:space="preserve">číselný kód odběrného místa - </w:t>
      </w:r>
      <w:r w:rsidR="007443B9">
        <w:rPr>
          <w:bCs/>
        </w:rPr>
        <w:t>EIC</w:t>
      </w:r>
    </w:p>
    <w:p w14:paraId="430248AA" w14:textId="7E146CD0" w:rsidR="007443B9" w:rsidRDefault="007443B9" w:rsidP="001B0991">
      <w:pPr>
        <w:pStyle w:val="Odstavecseseznamem"/>
        <w:numPr>
          <w:ilvl w:val="0"/>
          <w:numId w:val="18"/>
        </w:numPr>
        <w:spacing w:after="0" w:line="360" w:lineRule="auto"/>
        <w:jc w:val="both"/>
        <w:rPr>
          <w:bCs/>
        </w:rPr>
      </w:pPr>
      <w:r>
        <w:rPr>
          <w:bCs/>
        </w:rPr>
        <w:t>IČO</w:t>
      </w:r>
    </w:p>
    <w:p w14:paraId="709F546E" w14:textId="576AEFBD" w:rsidR="007443B9" w:rsidRDefault="007443B9" w:rsidP="001B0991">
      <w:pPr>
        <w:pStyle w:val="Odstavecseseznamem"/>
        <w:numPr>
          <w:ilvl w:val="0"/>
          <w:numId w:val="18"/>
        </w:numPr>
        <w:spacing w:after="0" w:line="360" w:lineRule="auto"/>
        <w:jc w:val="both"/>
        <w:rPr>
          <w:bCs/>
        </w:rPr>
      </w:pPr>
      <w:r>
        <w:rPr>
          <w:bCs/>
        </w:rPr>
        <w:t>číslo faktury</w:t>
      </w:r>
    </w:p>
    <w:p w14:paraId="74009F94" w14:textId="2C9BFCAD" w:rsidR="007443B9" w:rsidRDefault="007443B9" w:rsidP="001B0991">
      <w:pPr>
        <w:pStyle w:val="Odstavecseseznamem"/>
        <w:numPr>
          <w:ilvl w:val="0"/>
          <w:numId w:val="18"/>
        </w:numPr>
        <w:spacing w:after="0" w:line="360" w:lineRule="auto"/>
        <w:jc w:val="both"/>
        <w:rPr>
          <w:bCs/>
        </w:rPr>
      </w:pPr>
      <w:r>
        <w:rPr>
          <w:bCs/>
        </w:rPr>
        <w:t>zúčtovací období (od – do)</w:t>
      </w:r>
    </w:p>
    <w:p w14:paraId="773944BF" w14:textId="794B66E8" w:rsidR="007443B9" w:rsidRDefault="007443B9" w:rsidP="001B0991">
      <w:pPr>
        <w:pStyle w:val="Odstavecseseznamem"/>
        <w:numPr>
          <w:ilvl w:val="0"/>
          <w:numId w:val="18"/>
        </w:numPr>
        <w:spacing w:after="0" w:line="360" w:lineRule="auto"/>
        <w:jc w:val="both"/>
        <w:rPr>
          <w:bCs/>
        </w:rPr>
      </w:pPr>
      <w:r>
        <w:rPr>
          <w:bCs/>
        </w:rPr>
        <w:t>spotřeba zemního plynu v </w:t>
      </w:r>
      <w:proofErr w:type="spellStart"/>
      <w:r>
        <w:rPr>
          <w:bCs/>
        </w:rPr>
        <w:t>MWh</w:t>
      </w:r>
      <w:proofErr w:type="spellEnd"/>
      <w:r>
        <w:rPr>
          <w:bCs/>
        </w:rPr>
        <w:t xml:space="preserve"> (kWh)</w:t>
      </w:r>
    </w:p>
    <w:p w14:paraId="5CB7D2DB" w14:textId="45D6AF5F" w:rsidR="007443B9" w:rsidRDefault="008B4C7F" w:rsidP="001B0991">
      <w:pPr>
        <w:pStyle w:val="Odstavecseseznamem"/>
        <w:numPr>
          <w:ilvl w:val="0"/>
          <w:numId w:val="18"/>
        </w:numPr>
        <w:spacing w:after="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12A19FBB" w14:textId="21B0755A" w:rsidR="007443B9" w:rsidRDefault="007443B9" w:rsidP="001B0991">
      <w:pPr>
        <w:pStyle w:val="Odstavecseseznamem"/>
        <w:numPr>
          <w:ilvl w:val="0"/>
          <w:numId w:val="18"/>
        </w:numPr>
        <w:spacing w:after="0" w:line="360" w:lineRule="auto"/>
        <w:jc w:val="both"/>
        <w:rPr>
          <w:bCs/>
        </w:rPr>
      </w:pPr>
      <w:r>
        <w:rPr>
          <w:bCs/>
        </w:rPr>
        <w:t>spalné teplo objemové, objemový koeficient</w:t>
      </w:r>
    </w:p>
    <w:p w14:paraId="0992C585" w14:textId="6E98355F" w:rsidR="007443B9" w:rsidRDefault="007443B9" w:rsidP="001B0991">
      <w:pPr>
        <w:pStyle w:val="Odstavecseseznamem"/>
        <w:numPr>
          <w:ilvl w:val="0"/>
          <w:numId w:val="18"/>
        </w:numPr>
        <w:spacing w:after="0" w:line="360" w:lineRule="auto"/>
        <w:jc w:val="both"/>
        <w:rPr>
          <w:bCs/>
        </w:rPr>
      </w:pPr>
      <w:r>
        <w:rPr>
          <w:bCs/>
        </w:rPr>
        <w:t>přepočtená roční spotřeba v </w:t>
      </w:r>
      <w:proofErr w:type="spellStart"/>
      <w:r>
        <w:rPr>
          <w:bCs/>
        </w:rPr>
        <w:t>MWh</w:t>
      </w:r>
      <w:proofErr w:type="spellEnd"/>
      <w:r>
        <w:rPr>
          <w:bCs/>
        </w:rPr>
        <w:t xml:space="preserve"> (KWh), pro zařazení do pásma odběru</w:t>
      </w:r>
    </w:p>
    <w:p w14:paraId="604479E4" w14:textId="3149BFEC" w:rsidR="007443B9" w:rsidRDefault="007443B9" w:rsidP="001B0991">
      <w:pPr>
        <w:pStyle w:val="Odstavecseseznamem"/>
        <w:numPr>
          <w:ilvl w:val="0"/>
          <w:numId w:val="18"/>
        </w:numPr>
        <w:spacing w:after="0" w:line="360" w:lineRule="auto"/>
        <w:jc w:val="both"/>
        <w:rPr>
          <w:bCs/>
        </w:rPr>
      </w:pPr>
      <w:r>
        <w:rPr>
          <w:bCs/>
        </w:rPr>
        <w:t xml:space="preserve">obchodní cena, tj. cena za odebraný zemní plyn </w:t>
      </w:r>
      <w:r w:rsidR="00703DE5">
        <w:rPr>
          <w:bCs/>
        </w:rPr>
        <w:t>v</w:t>
      </w:r>
      <w:r>
        <w:rPr>
          <w:bCs/>
        </w:rPr>
        <w:t xml:space="preserve"> CZK/1 </w:t>
      </w:r>
      <w:proofErr w:type="spellStart"/>
      <w:r>
        <w:rPr>
          <w:bCs/>
        </w:rPr>
        <w:t>MWh</w:t>
      </w:r>
      <w:proofErr w:type="spellEnd"/>
      <w:r>
        <w:rPr>
          <w:bCs/>
        </w:rPr>
        <w:t xml:space="preserve"> (kWh) bez DPH</w:t>
      </w:r>
    </w:p>
    <w:p w14:paraId="7FA9CC94" w14:textId="5539297B" w:rsidR="007443B9" w:rsidRDefault="007443B9" w:rsidP="001B0991">
      <w:pPr>
        <w:pStyle w:val="Odstavecseseznamem"/>
        <w:numPr>
          <w:ilvl w:val="0"/>
          <w:numId w:val="18"/>
        </w:numPr>
        <w:spacing w:after="0" w:line="360" w:lineRule="auto"/>
        <w:jc w:val="both"/>
        <w:rPr>
          <w:bCs/>
        </w:rPr>
      </w:pPr>
      <w:r>
        <w:rPr>
          <w:bCs/>
        </w:rPr>
        <w:t>poplatek za mimořádnou fakturaci účtovaný distributorem</w:t>
      </w:r>
    </w:p>
    <w:p w14:paraId="0CF92702" w14:textId="231569C4" w:rsidR="007443B9" w:rsidRDefault="007443B9" w:rsidP="001B0991">
      <w:pPr>
        <w:pStyle w:val="Odstavecseseznamem"/>
        <w:numPr>
          <w:ilvl w:val="0"/>
          <w:numId w:val="18"/>
        </w:numPr>
        <w:spacing w:after="0" w:line="360" w:lineRule="auto"/>
        <w:jc w:val="both"/>
        <w:rPr>
          <w:bCs/>
        </w:rPr>
      </w:pPr>
      <w:r>
        <w:rPr>
          <w:bCs/>
        </w:rPr>
        <w:t>cena celkem bez DPH, cena celkem s DPH</w:t>
      </w:r>
    </w:p>
    <w:p w14:paraId="225E3ACD" w14:textId="77777777" w:rsidR="003E51CB" w:rsidRDefault="003E51CB" w:rsidP="001B0991">
      <w:pPr>
        <w:pStyle w:val="Odstavecseseznamem"/>
        <w:spacing w:after="0"/>
      </w:pPr>
    </w:p>
    <w:p w14:paraId="09DB9FF2" w14:textId="2B23277F" w:rsidR="003A36DE" w:rsidRPr="003A36DE" w:rsidRDefault="003A36DE" w:rsidP="001B0991">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V případě, že bude Zákazník u některých odběrných míst specifikovaných v Příloze č. 1 k této Smlouvě vyžadovat mimořádnou 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w:t>
      </w:r>
    </w:p>
    <w:p w14:paraId="36C65373" w14:textId="77777777" w:rsidR="00E5037F" w:rsidRDefault="00E5037F" w:rsidP="003F2249">
      <w:pPr>
        <w:spacing w:after="0" w:line="360" w:lineRule="auto"/>
        <w:jc w:val="center"/>
        <w:rPr>
          <w:rFonts w:cstheme="minorHAnsi"/>
          <w:b/>
        </w:rPr>
      </w:pPr>
    </w:p>
    <w:p w14:paraId="1DBEA931" w14:textId="77777777" w:rsidR="001B0991" w:rsidRDefault="001B0991" w:rsidP="003F2249">
      <w:pPr>
        <w:spacing w:after="0" w:line="360" w:lineRule="auto"/>
        <w:jc w:val="center"/>
        <w:rPr>
          <w:rFonts w:cstheme="minorHAnsi"/>
          <w:b/>
        </w:rPr>
      </w:pPr>
    </w:p>
    <w:p w14:paraId="3E74829F" w14:textId="717C277C" w:rsidR="004F1108" w:rsidRPr="00693BBB" w:rsidRDefault="004F1108" w:rsidP="003F2249">
      <w:pPr>
        <w:spacing w:after="0" w:line="360" w:lineRule="auto"/>
        <w:jc w:val="center"/>
        <w:rPr>
          <w:rFonts w:cstheme="minorHAnsi"/>
          <w:b/>
        </w:rPr>
      </w:pPr>
      <w:r w:rsidRPr="00693BBB">
        <w:rPr>
          <w:rFonts w:cstheme="minorHAnsi"/>
          <w:b/>
        </w:rPr>
        <w:lastRenderedPageBreak/>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1B0991">
      <w:pPr>
        <w:pStyle w:val="Odstavecseseznamem"/>
        <w:spacing w:after="0" w:line="360" w:lineRule="auto"/>
        <w:ind w:left="567"/>
        <w:jc w:val="both"/>
        <w:rPr>
          <w:rFonts w:cstheme="minorHAnsi"/>
        </w:rPr>
      </w:pPr>
    </w:p>
    <w:p w14:paraId="0E969E44" w14:textId="2E3D5948"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E81DBF">
        <w:rPr>
          <w:rFonts w:cstheme="minorHAnsi"/>
        </w:rPr>
        <w:t>21</w:t>
      </w:r>
      <w:r w:rsidRPr="00B9031D">
        <w:rPr>
          <w:rFonts w:cstheme="minorHAnsi"/>
        </w:rPr>
        <w:t xml:space="preserve"> </w:t>
      </w:r>
      <w:r w:rsidR="00B32625" w:rsidRPr="00B9031D">
        <w:rPr>
          <w:rFonts w:cstheme="minorHAnsi"/>
        </w:rPr>
        <w:t xml:space="preserve">(slovy: </w:t>
      </w:r>
      <w:r w:rsidR="00E81DB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7AC48924" w14:textId="77777777" w:rsidR="00552C33" w:rsidRPr="00552C33" w:rsidRDefault="00552C33" w:rsidP="001B0991">
      <w:pPr>
        <w:pStyle w:val="Odstavecseseznamem"/>
        <w:spacing w:after="0"/>
        <w:rPr>
          <w:rFonts w:cstheme="minorHAnsi"/>
        </w:rPr>
      </w:pPr>
    </w:p>
    <w:p w14:paraId="43425DCF" w14:textId="67169E8B" w:rsidR="002D4AFF"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E5037F">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1B0991">
      <w:pPr>
        <w:pStyle w:val="Odstavecseseznamem"/>
        <w:spacing w:after="0"/>
        <w:rPr>
          <w:rFonts w:cstheme="minorHAnsi"/>
        </w:rPr>
      </w:pPr>
    </w:p>
    <w:p w14:paraId="6415B67F" w14:textId="013AB7BD" w:rsidR="002D4AFF" w:rsidRPr="00B9031D" w:rsidRDefault="002D4AFF" w:rsidP="001B0991">
      <w:pPr>
        <w:pStyle w:val="Odstavecseseznamem"/>
        <w:numPr>
          <w:ilvl w:val="1"/>
          <w:numId w:val="24"/>
        </w:numPr>
        <w:spacing w:after="0" w:line="360" w:lineRule="auto"/>
        <w:ind w:left="567" w:hanging="567"/>
        <w:jc w:val="both"/>
        <w:rPr>
          <w:rFonts w:cstheme="minorHAnsi"/>
        </w:rPr>
      </w:pPr>
      <w:r w:rsidRPr="00B9031D">
        <w:rPr>
          <w:rFonts w:cstheme="minorHAnsi"/>
        </w:rPr>
        <w:t xml:space="preserve">V případě podstatného porušení </w:t>
      </w:r>
      <w:r w:rsidR="00E81DBF">
        <w:rPr>
          <w:rFonts w:cstheme="minorHAnsi"/>
        </w:rPr>
        <w:t xml:space="preserve">této </w:t>
      </w:r>
      <w:r w:rsidRPr="00B9031D">
        <w:rPr>
          <w:rFonts w:cstheme="minorHAnsi"/>
        </w:rPr>
        <w:t>Smlouvy ze strany Dodavatele, zejména v případě nedodán</w:t>
      </w:r>
      <w:r w:rsidR="00E5037F">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E5037F">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B9031D">
      <w:pPr>
        <w:pStyle w:val="Odstavecseseznamem"/>
        <w:numPr>
          <w:ilvl w:val="1"/>
          <w:numId w:val="25"/>
        </w:numPr>
        <w:spacing w:after="12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B9031D">
      <w:pPr>
        <w:pStyle w:val="Odstavecseseznamem"/>
        <w:spacing w:after="120" w:line="360" w:lineRule="auto"/>
        <w:ind w:left="567"/>
        <w:jc w:val="both"/>
        <w:rPr>
          <w:rFonts w:cstheme="minorHAnsi"/>
        </w:rPr>
      </w:pPr>
    </w:p>
    <w:p w14:paraId="4E276844" w14:textId="025177DE" w:rsidR="001B0991" w:rsidRPr="001B0991" w:rsidRDefault="001B0991" w:rsidP="001B0991">
      <w:pPr>
        <w:pStyle w:val="Odstavecseseznamem"/>
        <w:numPr>
          <w:ilvl w:val="1"/>
          <w:numId w:val="25"/>
        </w:numPr>
        <w:spacing w:after="120" w:line="360" w:lineRule="auto"/>
        <w:ind w:left="567" w:hanging="567"/>
        <w:jc w:val="both"/>
        <w:rPr>
          <w:rFonts w:cstheme="minorHAnsi"/>
        </w:rPr>
      </w:pPr>
      <w:r w:rsidRPr="001B0991">
        <w:rPr>
          <w:rFonts w:ascii="Calibri" w:hAnsi="Calibri" w:cs="Calibri"/>
        </w:rPr>
        <w:t xml:space="preserve">V případě neoprávněného přerušení či omezení dodávky zemního plynu ze strany Dodavatele má Zákazník nárok na smluvní pokutu ve výši </w:t>
      </w:r>
      <w:r w:rsidRPr="00E855AC">
        <w:rPr>
          <w:rFonts w:ascii="Calibri" w:hAnsi="Calibri" w:cs="Calibri"/>
          <w:highlight w:val="yellow"/>
        </w:rPr>
        <w:t>25 %</w:t>
      </w:r>
      <w:r w:rsidRPr="001B0991">
        <w:rPr>
          <w:rFonts w:ascii="Calibri" w:hAnsi="Calibri" w:cs="Calibri"/>
        </w:rPr>
        <w:t xml:space="preserve"> (slovy: </w:t>
      </w:r>
      <w:r>
        <w:rPr>
          <w:rFonts w:ascii="Calibri" w:hAnsi="Calibri" w:cs="Calibri"/>
        </w:rPr>
        <w:t>dvacet pět</w:t>
      </w:r>
      <w:r w:rsidRPr="001B0991">
        <w:rPr>
          <w:rFonts w:ascii="Calibri" w:hAnsi="Calibri" w:cs="Calibri"/>
        </w:rPr>
        <w:t xml:space="preserve"> procent) denní ceny za dodávku zemního plynu daného odběrného místa, a to za každý den trvání takového přerušení či omezení ze strany Dodavatele. </w:t>
      </w:r>
      <w:r>
        <w:rPr>
          <w:rFonts w:ascii="Calibri" w:hAnsi="Calibri" w:cs="Calibri"/>
        </w:rPr>
        <w:t>D</w:t>
      </w:r>
      <w:r w:rsidRPr="001B0991">
        <w:rPr>
          <w:rFonts w:ascii="Calibri" w:hAnsi="Calibri" w:cs="Calibri"/>
        </w:rPr>
        <w:t>enní cena za dodávku zemního plynu daného odběrného místa se určí následovně:</w:t>
      </w:r>
    </w:p>
    <w:p w14:paraId="6B250B1F" w14:textId="5DAEA428" w:rsidR="001B0991" w:rsidRPr="001B0991" w:rsidRDefault="001B0991" w:rsidP="001B0991">
      <w:pPr>
        <w:spacing w:line="360" w:lineRule="auto"/>
        <w:ind w:left="384"/>
        <w:contextualSpacing/>
        <w:jc w:val="both"/>
        <w:rPr>
          <w:rFonts w:cstheme="minorHAnsi"/>
          <w:b/>
          <w:bCs/>
        </w:rPr>
      </w:pPr>
      <m:oMathPara>
        <m:oMath>
          <m:r>
            <m:rPr>
              <m:sty m:val="b"/>
            </m:rPr>
            <w:rPr>
              <w:rFonts w:ascii="Cambria Math" w:hAnsi="Cambria Math" w:cstheme="minorHAnsi"/>
            </w:rPr>
            <w:lastRenderedPageBreak/>
            <m:t>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14:paraId="3C122839" w14:textId="0976FC8C" w:rsidR="001B0991" w:rsidRPr="001B0991" w:rsidRDefault="001B0991" w:rsidP="001B0991">
      <w:pPr>
        <w:spacing w:line="360" w:lineRule="auto"/>
        <w:ind w:firstLine="567"/>
        <w:jc w:val="both"/>
        <w:rPr>
          <w:rFonts w:cstheme="minorHAnsi"/>
          <w:u w:val="single"/>
        </w:rPr>
      </w:pPr>
      <w:r w:rsidRPr="001B0991">
        <w:rPr>
          <w:rFonts w:cstheme="minorHAnsi"/>
          <w:u w:val="single"/>
        </w:rPr>
        <w:t>Legenda:</w:t>
      </w:r>
    </w:p>
    <w:p w14:paraId="1F9DEE92" w14:textId="4F0B85A6" w:rsidR="001B0991" w:rsidRPr="001B0991" w:rsidRDefault="001B0991" w:rsidP="001B0991">
      <w:pPr>
        <w:spacing w:line="360" w:lineRule="auto"/>
        <w:ind w:left="2835" w:hanging="2268"/>
        <w:jc w:val="both"/>
        <w:rPr>
          <w:rFonts w:cstheme="minorHAnsi"/>
        </w:rPr>
      </w:pPr>
      <w:r w:rsidRPr="001B0991">
        <w:rPr>
          <w:rFonts w:cstheme="minorHAnsi"/>
          <w:b/>
          <w:bCs/>
        </w:rPr>
        <w:t>DC  </w:t>
      </w:r>
      <w:r w:rsidRPr="001B0991">
        <w:rPr>
          <w:rFonts w:cstheme="minorHAnsi"/>
        </w:rPr>
        <w:t>                   </w:t>
      </w:r>
      <w:r>
        <w:rPr>
          <w:rFonts w:cstheme="minorHAnsi"/>
        </w:rPr>
        <w:t>-</w:t>
      </w:r>
      <w:r w:rsidRPr="001B0991">
        <w:rPr>
          <w:rFonts w:cstheme="minorHAnsi"/>
        </w:rPr>
        <w:t>                 denní cena za dodávku zemního plynu daného odběrného místa</w:t>
      </w:r>
    </w:p>
    <w:p w14:paraId="08D6250B" w14:textId="360B5C1A" w:rsidR="001B0991" w:rsidRPr="001B0991" w:rsidRDefault="001B0991" w:rsidP="001B0991">
      <w:pPr>
        <w:spacing w:line="360" w:lineRule="auto"/>
        <w:ind w:left="2835" w:hanging="2268"/>
        <w:jc w:val="both"/>
        <w:rPr>
          <w:rFonts w:cstheme="minorHAnsi"/>
        </w:rPr>
      </w:pPr>
      <w:r w:rsidRPr="001B0991">
        <w:rPr>
          <w:rFonts w:cstheme="minorHAnsi"/>
          <w:b/>
          <w:bCs/>
        </w:rPr>
        <w:t>R     </w:t>
      </w:r>
      <w:r w:rsidRPr="001B0991">
        <w:rPr>
          <w:rFonts w:cstheme="minorHAnsi"/>
        </w:rPr>
        <w:t>                  </w:t>
      </w:r>
      <w:r>
        <w:rPr>
          <w:rFonts w:cstheme="minorHAnsi"/>
        </w:rPr>
        <w:t>-</w:t>
      </w:r>
      <w:r w:rsidRPr="001B0991">
        <w:rPr>
          <w:rFonts w:cstheme="minorHAnsi"/>
        </w:rPr>
        <w:t>                  </w:t>
      </w:r>
      <w:r>
        <w:rPr>
          <w:rFonts w:cstheme="minorHAnsi"/>
        </w:rPr>
        <w:t>c</w:t>
      </w:r>
      <w:r w:rsidRPr="001B0991">
        <w:rPr>
          <w:rFonts w:cstheme="minorHAnsi"/>
        </w:rPr>
        <w:t>ena za dodávku zemního plynu daného odběrného místa v předchozím zúčtovacím období</w:t>
      </w:r>
    </w:p>
    <w:p w14:paraId="4087D2E1" w14:textId="77777777" w:rsidR="00C4420D" w:rsidRPr="00C4420D" w:rsidRDefault="00C4420D" w:rsidP="00C4420D">
      <w:pPr>
        <w:pStyle w:val="Odstavecseseznamem"/>
        <w:rPr>
          <w:rFonts w:cstheme="minorHAnsi"/>
        </w:rPr>
      </w:pPr>
    </w:p>
    <w:p w14:paraId="1F936E9F" w14:textId="1EA675AF" w:rsidR="00B70777" w:rsidRPr="00561BC2" w:rsidRDefault="00AD368A" w:rsidP="001B0991">
      <w:pPr>
        <w:spacing w:after="0" w:line="360" w:lineRule="auto"/>
        <w:ind w:left="567"/>
        <w:jc w:val="both"/>
        <w:rPr>
          <w:rFonts w:cstheme="minorHAnsi"/>
        </w:rPr>
      </w:pPr>
      <w:r w:rsidRPr="00561BC2">
        <w:rPr>
          <w:rFonts w:cstheme="minorHAnsi"/>
        </w:rPr>
        <w:t xml:space="preserve">Za neoprávněné přerušení či omezení </w:t>
      </w:r>
      <w:r w:rsidR="00B70777" w:rsidRPr="00561BC2">
        <w:rPr>
          <w:rFonts w:cstheme="minorHAnsi"/>
        </w:rPr>
        <w:t>dodá</w:t>
      </w:r>
      <w:r w:rsidRPr="00561BC2">
        <w:rPr>
          <w:rFonts w:cstheme="minorHAnsi"/>
        </w:rPr>
        <w:t xml:space="preserve">vky </w:t>
      </w:r>
      <w:r w:rsidR="00B32625" w:rsidRPr="00561BC2">
        <w:rPr>
          <w:rFonts w:cstheme="minorHAnsi"/>
        </w:rPr>
        <w:t xml:space="preserve">zemního </w:t>
      </w:r>
      <w:r w:rsidRPr="00561BC2">
        <w:rPr>
          <w:rFonts w:cstheme="minorHAnsi"/>
        </w:rPr>
        <w:t>plynu se považuje k</w:t>
      </w:r>
      <w:r w:rsidR="00B70777" w:rsidRPr="00561BC2">
        <w:rPr>
          <w:rFonts w:cstheme="minorHAnsi"/>
        </w:rPr>
        <w:t>aždé přerušení či omezen</w:t>
      </w:r>
      <w:r w:rsidR="00E5037F">
        <w:rPr>
          <w:rFonts w:cstheme="minorHAnsi"/>
        </w:rPr>
        <w:t>í</w:t>
      </w:r>
      <w:r w:rsidR="00B70777" w:rsidRPr="00561BC2">
        <w:rPr>
          <w:rFonts w:cstheme="minorHAnsi"/>
        </w:rPr>
        <w:t xml:space="preserve"> dodávky, které</w:t>
      </w:r>
      <w:r w:rsidRPr="00561BC2">
        <w:rPr>
          <w:rFonts w:cstheme="minorHAnsi"/>
        </w:rPr>
        <w:t xml:space="preserve"> není učiněno v souladu s čl. </w:t>
      </w:r>
      <w:r w:rsidR="00B9031D" w:rsidRPr="00561BC2">
        <w:rPr>
          <w:rFonts w:cstheme="minorHAnsi"/>
        </w:rPr>
        <w:t>IX.</w:t>
      </w:r>
      <w:r w:rsidRPr="00561BC2">
        <w:rPr>
          <w:rFonts w:cstheme="minorHAnsi"/>
        </w:rPr>
        <w:t xml:space="preserve"> této Smlouvy.</w:t>
      </w:r>
      <w:r w:rsidR="00B70777" w:rsidRPr="00561BC2">
        <w:rPr>
          <w:rFonts w:cstheme="minorHAnsi"/>
        </w:rPr>
        <w:t xml:space="preserve"> </w:t>
      </w:r>
    </w:p>
    <w:p w14:paraId="1E3A506C" w14:textId="77777777" w:rsidR="00552C33" w:rsidRPr="00552C33" w:rsidRDefault="00552C33" w:rsidP="001B0991">
      <w:pPr>
        <w:pStyle w:val="Odstavecseseznamem"/>
        <w:spacing w:after="0"/>
        <w:rPr>
          <w:rFonts w:cstheme="minorHAnsi"/>
        </w:rPr>
      </w:pPr>
    </w:p>
    <w:p w14:paraId="0A84A854" w14:textId="162DFEBC" w:rsidR="00552C33" w:rsidRPr="00552C33" w:rsidRDefault="00552C33" w:rsidP="001B0991">
      <w:pPr>
        <w:pStyle w:val="Odstavecseseznamem"/>
        <w:numPr>
          <w:ilvl w:val="1"/>
          <w:numId w:val="25"/>
        </w:numPr>
        <w:spacing w:after="0" w:line="360" w:lineRule="auto"/>
        <w:ind w:left="567" w:hanging="567"/>
        <w:jc w:val="both"/>
        <w:rPr>
          <w:rFonts w:cstheme="minorHAnsi"/>
        </w:rPr>
      </w:pPr>
      <w:r>
        <w:t xml:space="preserve">Zaplacením smluvní pokuty není dotčen nárok </w:t>
      </w:r>
      <w:r w:rsidR="0065543A">
        <w:t xml:space="preserve">Zákazníka </w:t>
      </w:r>
      <w:r>
        <w:t>na náhradu škody, pokud z příslušného ujednání o smluvní pokutě v</w:t>
      </w:r>
      <w:r w:rsidR="0065543A">
        <w:t xml:space="preserve"> této</w:t>
      </w:r>
      <w:r>
        <w:t xml:space="preserve"> </w:t>
      </w:r>
      <w:r w:rsidR="0065543A">
        <w:t>S</w:t>
      </w:r>
      <w:r>
        <w:t>mlouvě nevyplývá jiný způsob řešení.</w:t>
      </w:r>
    </w:p>
    <w:p w14:paraId="3BDC69AD" w14:textId="77777777" w:rsidR="00B9031D" w:rsidRPr="00B9031D" w:rsidRDefault="00B9031D" w:rsidP="001B0991">
      <w:pPr>
        <w:pStyle w:val="Odstavecseseznamem"/>
        <w:spacing w:after="0"/>
        <w:rPr>
          <w:rFonts w:cstheme="minorHAnsi"/>
        </w:rPr>
      </w:pPr>
    </w:p>
    <w:p w14:paraId="76078673" w14:textId="67A30E64" w:rsidR="00AD368A" w:rsidRDefault="00B70777" w:rsidP="001B0991">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19BDEEED" w14:textId="77777777" w:rsidR="002D4AFF" w:rsidRPr="00693BBB" w:rsidRDefault="002D4AFF" w:rsidP="003F2249">
      <w:pPr>
        <w:spacing w:after="120" w:line="360" w:lineRule="auto"/>
        <w:rPr>
          <w:rFonts w:cstheme="minorHAnsi"/>
          <w:b/>
        </w:rPr>
      </w:pPr>
    </w:p>
    <w:p w14:paraId="6D3CC52A" w14:textId="77777777" w:rsidR="00E5037F" w:rsidRDefault="00E5037F" w:rsidP="003F2249">
      <w:pPr>
        <w:spacing w:after="0" w:line="360" w:lineRule="auto"/>
        <w:jc w:val="center"/>
        <w:rPr>
          <w:rFonts w:cstheme="minorHAnsi"/>
          <w:b/>
        </w:rPr>
      </w:pPr>
    </w:p>
    <w:p w14:paraId="53069054" w14:textId="77777777" w:rsidR="007031F4" w:rsidRDefault="007031F4" w:rsidP="007031F4">
      <w:pPr>
        <w:spacing w:after="0" w:line="360" w:lineRule="auto"/>
        <w:jc w:val="center"/>
        <w:rPr>
          <w:rFonts w:cstheme="minorHAnsi"/>
          <w:b/>
        </w:rPr>
      </w:pPr>
      <w:r>
        <w:rPr>
          <w:rFonts w:cstheme="minorHAnsi"/>
          <w:b/>
        </w:rPr>
        <w:t>Článek XI.</w:t>
      </w:r>
    </w:p>
    <w:p w14:paraId="3DDBCA78" w14:textId="77777777" w:rsidR="007031F4" w:rsidRDefault="007031F4" w:rsidP="007031F4">
      <w:pPr>
        <w:spacing w:after="120" w:line="360" w:lineRule="auto"/>
        <w:jc w:val="center"/>
        <w:rPr>
          <w:rFonts w:cstheme="minorHAnsi"/>
          <w:b/>
        </w:rPr>
      </w:pPr>
      <w:r>
        <w:rPr>
          <w:rFonts w:cstheme="minorHAnsi"/>
          <w:b/>
        </w:rPr>
        <w:t>Oznámení</w:t>
      </w:r>
    </w:p>
    <w:p w14:paraId="33F34346" w14:textId="77777777" w:rsidR="007031F4" w:rsidRDefault="007031F4" w:rsidP="007031F4">
      <w:pPr>
        <w:pStyle w:val="Odstavecseseznamem"/>
        <w:numPr>
          <w:ilvl w:val="1"/>
          <w:numId w:val="33"/>
        </w:numPr>
        <w:spacing w:after="120" w:line="360" w:lineRule="auto"/>
        <w:jc w:val="both"/>
        <w:rPr>
          <w:rFonts w:cstheme="minorHAnsi"/>
        </w:rPr>
      </w:pPr>
      <w:r>
        <w:rPr>
          <w:rFonts w:cstheme="minorHAnsi"/>
        </w:rPr>
        <w:t>Jakékoli oznámení, žádost či jiné sdělení, jež má být učiněno či dáno Smluvní straně dle této Smlouvy, bude učiněno či dáno písemně.</w:t>
      </w:r>
    </w:p>
    <w:p w14:paraId="16689A91" w14:textId="77777777" w:rsidR="007031F4" w:rsidRDefault="007031F4" w:rsidP="007031F4">
      <w:pPr>
        <w:pStyle w:val="Odstavecseseznamem"/>
        <w:spacing w:after="120" w:line="360" w:lineRule="auto"/>
        <w:ind w:left="567"/>
        <w:jc w:val="both"/>
        <w:rPr>
          <w:rFonts w:cstheme="minorHAnsi"/>
        </w:rPr>
      </w:pPr>
    </w:p>
    <w:p w14:paraId="45FE60C0" w14:textId="77777777" w:rsidR="007031F4" w:rsidRDefault="007031F4" w:rsidP="007031F4">
      <w:pPr>
        <w:pStyle w:val="Odstavecseseznamem"/>
        <w:numPr>
          <w:ilvl w:val="1"/>
          <w:numId w:val="33"/>
        </w:numPr>
        <w:spacing w:after="120" w:line="360" w:lineRule="auto"/>
        <w:jc w:val="both"/>
        <w:rPr>
          <w:rFonts w:cstheme="minorHAnsi"/>
        </w:rPr>
      </w:pPr>
      <w:bookmarkStart w:id="13" w:name="_Hlk38873652"/>
      <w:r>
        <w:rPr>
          <w:rFonts w:cstheme="minorHAnsi"/>
        </w:rPr>
        <w:t>Kontaktní osoba pro komunikaci ve věcech plnění této Smlouvy Zákazníka je uvedena v Příloze č.1.</w:t>
      </w:r>
      <w:bookmarkStart w:id="14" w:name="_Hlk38874739"/>
      <w:bookmarkEnd w:id="13"/>
    </w:p>
    <w:p w14:paraId="4AD288CE" w14:textId="77777777" w:rsidR="007031F4" w:rsidRDefault="007031F4" w:rsidP="007031F4">
      <w:pPr>
        <w:pStyle w:val="Odstavecseseznamem"/>
        <w:numPr>
          <w:ilvl w:val="1"/>
          <w:numId w:val="33"/>
        </w:numPr>
        <w:spacing w:after="120" w:line="360" w:lineRule="auto"/>
        <w:jc w:val="both"/>
        <w:rPr>
          <w:rFonts w:cstheme="minorHAnsi"/>
        </w:rPr>
      </w:pPr>
      <w:r>
        <w:rPr>
          <w:rFonts w:cstheme="minorHAnsi"/>
        </w:rPr>
        <w:t xml:space="preserve">Kontaktní osobou pro komunikaci ve věcech plnění této Smlouvy Dodavatele je: </w:t>
      </w:r>
    </w:p>
    <w:p w14:paraId="09D725A0" w14:textId="77777777" w:rsidR="007031F4" w:rsidRDefault="007031F4" w:rsidP="007031F4">
      <w:pPr>
        <w:pStyle w:val="Odstavecseseznamem"/>
        <w:rPr>
          <w:rFonts w:cstheme="minorHAnsi"/>
        </w:rPr>
      </w:pPr>
    </w:p>
    <w:p w14:paraId="1DCB15FD" w14:textId="7CD3ACB4" w:rsidR="007031F4" w:rsidRDefault="007031F4" w:rsidP="007031F4">
      <w:pPr>
        <w:pStyle w:val="Odstavecseseznamem"/>
        <w:spacing w:after="120" w:line="360" w:lineRule="auto"/>
        <w:ind w:left="567"/>
        <w:jc w:val="both"/>
        <w:rPr>
          <w:rFonts w:cstheme="minorHAnsi"/>
        </w:rPr>
      </w:pPr>
      <w:r>
        <w:rPr>
          <w:rFonts w:cstheme="minorHAnsi"/>
        </w:rPr>
        <w:t>Jméno a příjmení:</w:t>
      </w:r>
      <w:r>
        <w:rPr>
          <w:rFonts w:cstheme="minorHAnsi"/>
        </w:rPr>
        <w:tab/>
      </w:r>
      <w:r>
        <w:rPr>
          <w:rFonts w:cstheme="minorHAnsi"/>
        </w:rPr>
        <w:tab/>
      </w:r>
      <w:proofErr w:type="spellStart"/>
      <w:r w:rsidR="00E855AC">
        <w:rPr>
          <w:rFonts w:cstheme="minorHAnsi"/>
        </w:rPr>
        <w:t>xxxxxxxxxxxxxxx</w:t>
      </w:r>
      <w:proofErr w:type="spellEnd"/>
      <w:r>
        <w:rPr>
          <w:rFonts w:ascii="Calibri" w:hAnsi="Calibri" w:cstheme="minorHAnsi"/>
          <w:b/>
        </w:rPr>
        <w:t> </w:t>
      </w:r>
    </w:p>
    <w:p w14:paraId="13173A7E" w14:textId="77777777" w:rsidR="007031F4" w:rsidRDefault="007031F4" w:rsidP="007031F4">
      <w:pPr>
        <w:pStyle w:val="Odstavecseseznamem"/>
        <w:spacing w:after="120" w:line="360" w:lineRule="auto"/>
        <w:ind w:left="56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t>manažer pro veřejné zakázky a el. aukce</w:t>
      </w:r>
      <w:r>
        <w:rPr>
          <w:rFonts w:ascii="Calibri" w:hAnsi="Calibri" w:cstheme="minorHAnsi"/>
          <w:b/>
        </w:rPr>
        <w:t> </w:t>
      </w:r>
    </w:p>
    <w:p w14:paraId="7D2BB45C" w14:textId="77777777" w:rsidR="007031F4" w:rsidRDefault="007031F4" w:rsidP="007031F4">
      <w:pPr>
        <w:pStyle w:val="Odstavecseseznamem"/>
        <w:spacing w:after="0" w:line="360" w:lineRule="auto"/>
        <w:ind w:left="3537" w:hanging="2970"/>
        <w:jc w:val="both"/>
        <w:rPr>
          <w:rFonts w:cstheme="minorHAnsi"/>
        </w:rPr>
      </w:pPr>
      <w:r>
        <w:rPr>
          <w:rFonts w:cstheme="minorHAnsi"/>
        </w:rPr>
        <w:t>Adresa:</w:t>
      </w:r>
      <w:r>
        <w:rPr>
          <w:rFonts w:cstheme="minorHAnsi"/>
        </w:rPr>
        <w:tab/>
        <w:t>Praha 1 – Nové město, Národní 37, PSČ 110 00</w:t>
      </w:r>
      <w:r>
        <w:rPr>
          <w:rFonts w:ascii="Calibri" w:hAnsi="Calibri" w:cstheme="minorHAnsi"/>
          <w:b/>
        </w:rPr>
        <w:t> </w:t>
      </w:r>
    </w:p>
    <w:p w14:paraId="10B31D4B" w14:textId="059B3BAB" w:rsidR="007031F4" w:rsidRDefault="007031F4" w:rsidP="007031F4">
      <w:pPr>
        <w:pStyle w:val="Odstavecseseznamem"/>
        <w:spacing w:after="0" w:line="360" w:lineRule="auto"/>
        <w:ind w:left="567"/>
        <w:jc w:val="both"/>
        <w:rPr>
          <w:rFonts w:ascii="Calibri" w:hAnsi="Calibri" w:cstheme="minorHAnsi"/>
          <w:b/>
        </w:rPr>
      </w:pPr>
      <w:r>
        <w:rPr>
          <w:rFonts w:cstheme="minorHAnsi"/>
        </w:rPr>
        <w:t>E-mail:</w:t>
      </w:r>
      <w:r>
        <w:rPr>
          <w:rFonts w:cstheme="minorHAnsi"/>
        </w:rPr>
        <w:tab/>
      </w:r>
      <w:r>
        <w:rPr>
          <w:rFonts w:cstheme="minorHAnsi"/>
        </w:rPr>
        <w:tab/>
      </w:r>
      <w:r>
        <w:rPr>
          <w:rFonts w:cstheme="minorHAnsi"/>
        </w:rPr>
        <w:tab/>
      </w:r>
      <w:r>
        <w:rPr>
          <w:rFonts w:cstheme="minorHAnsi"/>
        </w:rPr>
        <w:tab/>
      </w:r>
      <w:proofErr w:type="spellStart"/>
      <w:r w:rsidR="00E855AC">
        <w:rPr>
          <w:rFonts w:cstheme="minorHAnsi"/>
        </w:rPr>
        <w:t>xxxxxxxxxxxxxxxxx</w:t>
      </w:r>
      <w:proofErr w:type="spellEnd"/>
      <w:r>
        <w:rPr>
          <w:rFonts w:ascii="Calibri" w:hAnsi="Calibri" w:cstheme="minorHAnsi"/>
          <w:b/>
        </w:rPr>
        <w:t> </w:t>
      </w:r>
    </w:p>
    <w:p w14:paraId="42778111" w14:textId="0ADA9418" w:rsidR="007031F4" w:rsidRDefault="007031F4" w:rsidP="007031F4">
      <w:pPr>
        <w:pStyle w:val="Odstavecseseznamem"/>
        <w:spacing w:after="0" w:line="360" w:lineRule="auto"/>
        <w:ind w:left="567"/>
        <w:jc w:val="both"/>
        <w:rPr>
          <w:rFonts w:cstheme="minorHAnsi"/>
        </w:rPr>
      </w:pPr>
      <w:r>
        <w:rPr>
          <w:rFonts w:ascii="Calibri" w:hAnsi="Calibri" w:cstheme="minorHAnsi"/>
          <w:b/>
        </w:rPr>
        <w:t>t</w:t>
      </w:r>
      <w:r>
        <w:rPr>
          <w:rFonts w:cstheme="minorHAnsi"/>
        </w:rPr>
        <w:t>el.:</w:t>
      </w:r>
      <w:r>
        <w:rPr>
          <w:rFonts w:cstheme="minorHAnsi"/>
        </w:rPr>
        <w:tab/>
      </w:r>
      <w:r>
        <w:rPr>
          <w:rFonts w:cstheme="minorHAnsi"/>
        </w:rPr>
        <w:tab/>
      </w:r>
      <w:r>
        <w:rPr>
          <w:rFonts w:cstheme="minorHAnsi"/>
        </w:rPr>
        <w:tab/>
      </w:r>
      <w:r>
        <w:rPr>
          <w:rFonts w:cstheme="minorHAnsi"/>
        </w:rPr>
        <w:tab/>
      </w:r>
      <w:proofErr w:type="spellStart"/>
      <w:r w:rsidR="00E855AC">
        <w:rPr>
          <w:rFonts w:cstheme="minorHAnsi"/>
        </w:rPr>
        <w:t>xxxxxxxxxxxxxxxxx</w:t>
      </w:r>
      <w:proofErr w:type="spellEnd"/>
      <w:r>
        <w:rPr>
          <w:rFonts w:ascii="Calibri" w:hAnsi="Calibri" w:cstheme="minorHAnsi"/>
          <w:b/>
        </w:rPr>
        <w:t> </w:t>
      </w:r>
    </w:p>
    <w:p w14:paraId="7D9F3334" w14:textId="77777777" w:rsidR="007031F4" w:rsidRDefault="007031F4" w:rsidP="007031F4">
      <w:pPr>
        <w:spacing w:after="0" w:line="276" w:lineRule="auto"/>
        <w:ind w:firstLine="567"/>
        <w:rPr>
          <w:rFonts w:cstheme="minorHAnsi"/>
        </w:rPr>
      </w:pPr>
      <w:r>
        <w:rPr>
          <w:rFonts w:cstheme="minorHAnsi"/>
          <w:lang w:eastAsia="cs-CZ"/>
        </w:rPr>
        <w:t>ID datové schránky:</w:t>
      </w:r>
      <w:r>
        <w:rPr>
          <w:rFonts w:cstheme="minorHAnsi"/>
          <w:lang w:eastAsia="cs-CZ"/>
        </w:rPr>
        <w:tab/>
      </w:r>
      <w:r>
        <w:rPr>
          <w:rFonts w:cstheme="minorHAnsi"/>
          <w:lang w:eastAsia="cs-CZ"/>
        </w:rPr>
        <w:tab/>
      </w:r>
      <w:r>
        <w:rPr>
          <w:rFonts w:cstheme="minorHAnsi"/>
        </w:rPr>
        <w:t>au7cgsv</w:t>
      </w:r>
    </w:p>
    <w:p w14:paraId="5F7C3D69" w14:textId="77777777" w:rsidR="007031F4" w:rsidRDefault="007031F4" w:rsidP="007031F4">
      <w:pPr>
        <w:pStyle w:val="Odstavecseseznamem"/>
        <w:rPr>
          <w:rFonts w:cstheme="minorHAnsi"/>
        </w:rPr>
      </w:pPr>
    </w:p>
    <w:p w14:paraId="3C4CD829" w14:textId="77777777" w:rsidR="007031F4" w:rsidRDefault="007031F4" w:rsidP="007031F4">
      <w:pPr>
        <w:pStyle w:val="Odstavecseseznamem"/>
        <w:rPr>
          <w:rFonts w:cstheme="minorHAnsi"/>
        </w:rPr>
      </w:pPr>
      <w:r>
        <w:rPr>
          <w:rFonts w:cstheme="minorHAnsi"/>
        </w:rPr>
        <w:t>Kontaktní osobou pro komunikaci ve věcech technických této Smlouvy Dodavatele je:</w:t>
      </w:r>
    </w:p>
    <w:p w14:paraId="6B0D6FC3" w14:textId="77777777" w:rsidR="007031F4" w:rsidRDefault="007031F4" w:rsidP="007031F4">
      <w:pPr>
        <w:pStyle w:val="Odstavecseseznamem"/>
        <w:rPr>
          <w:rFonts w:cstheme="minorHAnsi"/>
        </w:rPr>
      </w:pPr>
    </w:p>
    <w:p w14:paraId="7D8587FE" w14:textId="3056F6CC" w:rsidR="007031F4" w:rsidRDefault="007031F4" w:rsidP="007031F4">
      <w:pPr>
        <w:pStyle w:val="Odstavecseseznamem"/>
        <w:spacing w:after="120" w:line="360" w:lineRule="auto"/>
        <w:ind w:left="567"/>
        <w:jc w:val="both"/>
        <w:rPr>
          <w:rFonts w:cstheme="minorHAnsi"/>
        </w:rPr>
      </w:pPr>
      <w:r>
        <w:rPr>
          <w:rFonts w:cstheme="minorHAnsi"/>
        </w:rPr>
        <w:lastRenderedPageBreak/>
        <w:t>Jméno a příjmení:</w:t>
      </w:r>
      <w:r>
        <w:rPr>
          <w:rFonts w:cstheme="minorHAnsi"/>
        </w:rPr>
        <w:tab/>
      </w:r>
      <w:r>
        <w:rPr>
          <w:rFonts w:cstheme="minorHAnsi"/>
        </w:rPr>
        <w:tab/>
      </w:r>
      <w:proofErr w:type="spellStart"/>
      <w:r w:rsidR="00E855AC">
        <w:rPr>
          <w:rFonts w:cstheme="minorHAnsi"/>
        </w:rPr>
        <w:t>xxxxxxxxxxxxxxxxx</w:t>
      </w:r>
      <w:proofErr w:type="spellEnd"/>
      <w:r>
        <w:rPr>
          <w:rFonts w:cstheme="minorHAnsi"/>
        </w:rPr>
        <w:t xml:space="preserve"> </w:t>
      </w:r>
    </w:p>
    <w:p w14:paraId="06BF1ABB" w14:textId="77777777" w:rsidR="007031F4" w:rsidRDefault="007031F4" w:rsidP="007031F4">
      <w:pPr>
        <w:pStyle w:val="Odstavecseseznamem"/>
        <w:spacing w:after="120" w:line="360" w:lineRule="auto"/>
        <w:ind w:left="56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t>vedoucí oddělení podpory prodeje</w:t>
      </w:r>
    </w:p>
    <w:p w14:paraId="6C712A5C" w14:textId="77777777" w:rsidR="007031F4" w:rsidRDefault="007031F4" w:rsidP="007031F4">
      <w:pPr>
        <w:pStyle w:val="Odstavecseseznamem"/>
        <w:spacing w:after="120" w:line="360" w:lineRule="auto"/>
        <w:ind w:left="56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t xml:space="preserve">U Plynárny 500, 145 08 Praha 4 </w:t>
      </w:r>
    </w:p>
    <w:p w14:paraId="4C72EEA0" w14:textId="6A99BE85" w:rsidR="007031F4" w:rsidRDefault="007031F4" w:rsidP="007031F4">
      <w:pPr>
        <w:pStyle w:val="Odstavecseseznamem"/>
        <w:spacing w:after="120" w:line="360" w:lineRule="auto"/>
        <w:ind w:left="567"/>
        <w:jc w:val="both"/>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r>
      <w:proofErr w:type="spellStart"/>
      <w:r w:rsidR="00E855AC">
        <w:rPr>
          <w:rFonts w:cstheme="minorHAnsi"/>
        </w:rPr>
        <w:t>xxxxxxxxxxxxxxxxx</w:t>
      </w:r>
      <w:proofErr w:type="spellEnd"/>
      <w:r>
        <w:rPr>
          <w:rFonts w:cstheme="minorHAnsi"/>
        </w:rPr>
        <w:t xml:space="preserve"> </w:t>
      </w:r>
    </w:p>
    <w:p w14:paraId="70395CD8" w14:textId="241B2513" w:rsidR="007031F4" w:rsidRDefault="007031F4" w:rsidP="007031F4">
      <w:pPr>
        <w:pStyle w:val="Odstavecseseznamem"/>
        <w:spacing w:after="120" w:line="360" w:lineRule="auto"/>
        <w:ind w:left="567"/>
        <w:jc w:val="both"/>
        <w:rPr>
          <w:rFonts w:cstheme="minorHAnsi"/>
        </w:rPr>
      </w:pPr>
      <w:r>
        <w:rPr>
          <w:rFonts w:cstheme="minorHAnsi"/>
        </w:rPr>
        <w:t>tel.:</w:t>
      </w:r>
      <w:r>
        <w:rPr>
          <w:rFonts w:cstheme="minorHAnsi"/>
        </w:rPr>
        <w:tab/>
      </w:r>
      <w:r>
        <w:rPr>
          <w:rFonts w:cstheme="minorHAnsi"/>
        </w:rPr>
        <w:tab/>
      </w:r>
      <w:r>
        <w:rPr>
          <w:rFonts w:cstheme="minorHAnsi"/>
        </w:rPr>
        <w:tab/>
      </w:r>
      <w:r>
        <w:rPr>
          <w:rFonts w:cstheme="minorHAnsi"/>
        </w:rPr>
        <w:tab/>
      </w:r>
      <w:proofErr w:type="spellStart"/>
      <w:r w:rsidR="00E855AC">
        <w:rPr>
          <w:rFonts w:cstheme="minorHAnsi"/>
        </w:rPr>
        <w:t>xxxxxxxxxxxxxxxxx</w:t>
      </w:r>
      <w:proofErr w:type="spellEnd"/>
    </w:p>
    <w:p w14:paraId="63ABB9CF" w14:textId="77777777" w:rsidR="007031F4" w:rsidRDefault="007031F4" w:rsidP="007031F4">
      <w:pPr>
        <w:pStyle w:val="Odstavecseseznamem"/>
        <w:spacing w:after="120" w:line="360" w:lineRule="auto"/>
        <w:ind w:left="567"/>
        <w:jc w:val="both"/>
        <w:rPr>
          <w:rFonts w:cstheme="minorHAnsi"/>
        </w:rPr>
      </w:pPr>
      <w:r>
        <w:rPr>
          <w:rFonts w:cstheme="minorHAnsi"/>
        </w:rPr>
        <w:t>ID datové schránky:</w:t>
      </w:r>
      <w:r>
        <w:rPr>
          <w:rFonts w:cstheme="minorHAnsi"/>
        </w:rPr>
        <w:tab/>
      </w:r>
      <w:r>
        <w:rPr>
          <w:rFonts w:cstheme="minorHAnsi"/>
        </w:rPr>
        <w:tab/>
        <w:t xml:space="preserve">au7cgsv </w:t>
      </w:r>
      <w:bookmarkEnd w:id="14"/>
    </w:p>
    <w:p w14:paraId="4E043767" w14:textId="77777777" w:rsidR="007031F4" w:rsidRDefault="007031F4" w:rsidP="007031F4">
      <w:pPr>
        <w:spacing w:after="120" w:line="360" w:lineRule="auto"/>
        <w:rPr>
          <w:rFonts w:cstheme="minorHAnsi"/>
          <w:b/>
        </w:rPr>
      </w:pPr>
    </w:p>
    <w:p w14:paraId="12CE5844" w14:textId="77777777" w:rsidR="007031F4" w:rsidRDefault="007031F4" w:rsidP="007031F4">
      <w:pPr>
        <w:pStyle w:val="Odstavecseseznamem"/>
        <w:numPr>
          <w:ilvl w:val="1"/>
          <w:numId w:val="33"/>
        </w:numPr>
        <w:spacing w:after="120" w:line="360" w:lineRule="auto"/>
        <w:jc w:val="both"/>
        <w:rPr>
          <w:rFonts w:cstheme="minorHAnsi"/>
        </w:rPr>
      </w:pPr>
      <w:r>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111CE71F" w14:textId="77777777" w:rsidR="007031F4" w:rsidRDefault="007031F4" w:rsidP="007031F4">
      <w:pPr>
        <w:pStyle w:val="Odstavecseseznamem"/>
        <w:spacing w:after="120" w:line="360" w:lineRule="auto"/>
        <w:ind w:left="567"/>
        <w:jc w:val="both"/>
        <w:rPr>
          <w:rFonts w:cstheme="minorHAnsi"/>
        </w:rPr>
      </w:pPr>
    </w:p>
    <w:p w14:paraId="1CDB4F81" w14:textId="77777777" w:rsidR="007031F4" w:rsidRDefault="007031F4" w:rsidP="007031F4">
      <w:pPr>
        <w:pStyle w:val="Odstavecseseznamem"/>
        <w:numPr>
          <w:ilvl w:val="1"/>
          <w:numId w:val="33"/>
        </w:numPr>
        <w:spacing w:after="120" w:line="360" w:lineRule="auto"/>
        <w:jc w:val="both"/>
        <w:rPr>
          <w:rFonts w:cstheme="minorHAnsi"/>
        </w:rPr>
      </w:pPr>
      <w:r>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2485C708" w14:textId="77777777" w:rsidR="007031F4" w:rsidRDefault="007031F4" w:rsidP="007031F4">
      <w:pPr>
        <w:pStyle w:val="Odstavecseseznamem"/>
        <w:spacing w:after="0" w:line="360" w:lineRule="auto"/>
        <w:ind w:left="567"/>
        <w:jc w:val="both"/>
        <w:rPr>
          <w:rFonts w:cstheme="minorHAnsi"/>
        </w:rPr>
      </w:pPr>
    </w:p>
    <w:p w14:paraId="3B31361A" w14:textId="77777777" w:rsidR="007031F4" w:rsidRDefault="007031F4" w:rsidP="007031F4">
      <w:pPr>
        <w:pStyle w:val="Odstavecseseznamem"/>
        <w:numPr>
          <w:ilvl w:val="1"/>
          <w:numId w:val="33"/>
        </w:numPr>
        <w:spacing w:after="0" w:line="360" w:lineRule="auto"/>
        <w:jc w:val="both"/>
        <w:rPr>
          <w:rFonts w:cstheme="minorHAnsi"/>
        </w:rPr>
      </w:pPr>
      <w:r>
        <w:rPr>
          <w:rFonts w:cstheme="minorHAnsi"/>
        </w:rPr>
        <w:t>V případě odmítnutí převzetí zásilky od provozovatele poštovních služeb je za den doručení zásilky považován den, v němž k tomuto odmítnutí převzetí zásilky došlo.</w:t>
      </w:r>
    </w:p>
    <w:p w14:paraId="60253ACC" w14:textId="77777777" w:rsidR="001B0991" w:rsidRDefault="001B0991" w:rsidP="00B9031D">
      <w:pPr>
        <w:spacing w:after="0" w:line="360" w:lineRule="auto"/>
        <w:jc w:val="center"/>
        <w:rPr>
          <w:rFonts w:cstheme="minorHAnsi"/>
          <w:b/>
        </w:rPr>
      </w:pPr>
    </w:p>
    <w:p w14:paraId="2DB028F5" w14:textId="6CD91C72"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32B355F1" w:rsidR="00B9031D" w:rsidRDefault="00B9031D" w:rsidP="007D74CC">
      <w:pPr>
        <w:spacing w:after="0" w:line="360" w:lineRule="auto"/>
        <w:jc w:val="center"/>
        <w:rPr>
          <w:b/>
        </w:rPr>
      </w:pPr>
    </w:p>
    <w:p w14:paraId="24F4D29F" w14:textId="51D4455D" w:rsidR="00E855AC" w:rsidRDefault="00E855AC" w:rsidP="007D74CC">
      <w:pPr>
        <w:spacing w:after="0" w:line="360" w:lineRule="auto"/>
        <w:jc w:val="center"/>
        <w:rPr>
          <w:b/>
        </w:rPr>
      </w:pPr>
    </w:p>
    <w:p w14:paraId="5775EE08" w14:textId="77777777" w:rsidR="00E855AC" w:rsidRDefault="00E855AC" w:rsidP="007D74CC">
      <w:pPr>
        <w:spacing w:after="0" w:line="360" w:lineRule="auto"/>
        <w:jc w:val="center"/>
        <w:rPr>
          <w:b/>
        </w:rPr>
      </w:pPr>
      <w:bookmarkStart w:id="15" w:name="_GoBack"/>
      <w:bookmarkEnd w:id="15"/>
    </w:p>
    <w:p w14:paraId="11518BA6" w14:textId="7898DC3F" w:rsidR="007D74CC" w:rsidRPr="007D74CC" w:rsidRDefault="007D74CC" w:rsidP="007D74CC">
      <w:pPr>
        <w:spacing w:after="0" w:line="360" w:lineRule="auto"/>
        <w:jc w:val="center"/>
        <w:rPr>
          <w:rFonts w:cstheme="minorHAnsi"/>
        </w:rPr>
      </w:pPr>
      <w:r w:rsidRPr="007D74CC">
        <w:rPr>
          <w:b/>
        </w:rPr>
        <w:lastRenderedPageBreak/>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r>
        <w:t>13.1.</w:t>
      </w:r>
      <w:r>
        <w:tab/>
        <w:t>Smluvní strany sjednávají, že pro případ, kdy:</w:t>
      </w:r>
    </w:p>
    <w:p w14:paraId="0F0057F2" w14:textId="6E0BB65E"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Futures market data – platforma NCG (</w:t>
      </w:r>
      <w:r w:rsidR="00A76EA7">
        <w:rPr>
          <w:rFonts w:ascii="Calibri" w:hAnsi="Calibri" w:cstheme="minorHAnsi"/>
        </w:rPr>
        <w:t xml:space="preserve">ke dni uzavření této Smlouvy dostupné na </w:t>
      </w:r>
      <w:hyperlink r:id="rId12" w:history="1">
        <w:r w:rsidR="00F8335E" w:rsidRPr="00F8335E">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5743BD6B"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Futures market data – platforma NCG (</w:t>
      </w:r>
      <w:r w:rsidR="00CF2053">
        <w:rPr>
          <w:rFonts w:ascii="Calibri" w:hAnsi="Calibri" w:cstheme="minorHAnsi"/>
        </w:rPr>
        <w:t xml:space="preserve">ke dni uzavření této Smlouvy dostupné na </w:t>
      </w:r>
      <w:hyperlink r:id="rId13" w:history="1">
        <w:r w:rsidR="00FA40A0" w:rsidRPr="00FA40A0">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631B097E" w14:textId="50301453" w:rsidR="0065543A" w:rsidRPr="00C34EF5" w:rsidRDefault="007D74CC" w:rsidP="0065543A">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65543A"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0037A1D3" w14:textId="23878C9C" w:rsidR="00CE7140" w:rsidRDefault="003F0B7B" w:rsidP="0065543A">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17261F25" w14:textId="77777777" w:rsidR="0065543A" w:rsidRDefault="0065543A" w:rsidP="0065543A">
      <w:pPr>
        <w:pStyle w:val="Odstavecseseznamem"/>
        <w:spacing w:after="120" w:line="360" w:lineRule="auto"/>
        <w:ind w:left="567"/>
        <w:jc w:val="both"/>
        <w:rPr>
          <w:rFonts w:cstheme="minorHAnsi"/>
        </w:rPr>
      </w:pPr>
    </w:p>
    <w:p w14:paraId="0C26FA97" w14:textId="5F889E19" w:rsidR="00CE7140" w:rsidRPr="00CE7140" w:rsidRDefault="00CE7140" w:rsidP="00CE7140">
      <w:pPr>
        <w:pStyle w:val="Odstavecseseznamem"/>
        <w:numPr>
          <w:ilvl w:val="1"/>
          <w:numId w:val="28"/>
        </w:numPr>
        <w:spacing w:after="120" w:line="360" w:lineRule="auto"/>
        <w:ind w:left="567" w:hanging="567"/>
        <w:jc w:val="both"/>
        <w:rPr>
          <w:rFonts w:cstheme="minorHAnsi"/>
        </w:rPr>
      </w:pPr>
      <w:r w:rsidRPr="009F4203">
        <w:rPr>
          <w:rFonts w:cstheme="minorHAnsi"/>
        </w:rPr>
        <w:t>Dodavatel prohlašuje, že bude zachovávat mlčenlivost o všech skutečnostech, o nichž se dozvěděl v</w:t>
      </w:r>
      <w:r w:rsidRPr="00A375FD">
        <w:rPr>
          <w:rFonts w:cstheme="minorHAnsi"/>
        </w:rPr>
        <w:t xml:space="preserve"> </w:t>
      </w:r>
      <w:r w:rsidRPr="00507619">
        <w:rPr>
          <w:rFonts w:cstheme="minorHAnsi"/>
        </w:rPr>
        <w:t>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43E64AB4" w14:textId="7D327F78"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lastRenderedPageBreak/>
        <w:t xml:space="preserve">Smluvní strany souhlasí s uvedením této Smlouvy v Centrální evidenci smluv (CES) vedené </w:t>
      </w:r>
      <w:r w:rsidRPr="00550B5D">
        <w:rPr>
          <w:rFonts w:cstheme="minorHAnsi"/>
        </w:rPr>
        <w:br/>
        <w:t>hl. městem Prahou, která je veřejně přístupná a obsahuje informace o smluvních stranách, předmětu smlouvy, číselném označení smlouvy, datu jejího podpisu a její úplný text.</w:t>
      </w:r>
    </w:p>
    <w:p w14:paraId="647345B7" w14:textId="77777777" w:rsidR="00550B5D" w:rsidRPr="00550B5D" w:rsidRDefault="00550B5D" w:rsidP="00550B5D">
      <w:pPr>
        <w:pStyle w:val="Odstavecseseznamem"/>
        <w:rPr>
          <w:rFonts w:cstheme="minorHAnsi"/>
        </w:rPr>
      </w:pPr>
    </w:p>
    <w:p w14:paraId="74CCABF0" w14:textId="72FD7BC2"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5037F">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užiti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7D923880"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tímto bere na vědomí, že v souvislosti s plněním této Smlouvy je osobou povinnou spolupůsobit při výkonu finanční kontroly ve smyslu </w:t>
      </w:r>
      <w:r w:rsidR="00F90E98" w:rsidRPr="00550B5D">
        <w:rPr>
          <w:rFonts w:cstheme="minorHAnsi"/>
        </w:rPr>
        <w:t xml:space="preserve">ustanovení </w:t>
      </w:r>
      <w:r w:rsidRPr="00550B5D">
        <w:rPr>
          <w:rFonts w:cstheme="minorHAnsi"/>
        </w:rPr>
        <w:t>§ 2 písm. e) zákona č. 320/2001 Sb., o finanční kontrole ve veřejné správě a o změně některých zákonu (zákon o finanční kontrole), v</w:t>
      </w:r>
      <w:r w:rsidR="00F90E98" w:rsidRPr="00550B5D">
        <w:rPr>
          <w:rFonts w:cstheme="minorHAnsi"/>
        </w:rPr>
        <w:t xml:space="preserve">e znění pozdějších předpisů (dále jen pod označením </w:t>
      </w:r>
      <w:r w:rsidR="00F90E98" w:rsidRPr="00550B5D">
        <w:rPr>
          <w:rFonts w:cstheme="minorHAnsi"/>
          <w:b/>
          <w:i/>
        </w:rPr>
        <w:t>„</w:t>
      </w:r>
      <w:proofErr w:type="spellStart"/>
      <w:r w:rsidR="00F90E98" w:rsidRPr="00550B5D">
        <w:rPr>
          <w:rFonts w:cstheme="minorHAnsi"/>
          <w:b/>
          <w:i/>
        </w:rPr>
        <w:t>ZoFK</w:t>
      </w:r>
      <w:proofErr w:type="spellEnd"/>
      <w:r w:rsidR="00F90E98" w:rsidRPr="00550B5D">
        <w:rPr>
          <w:rFonts w:cstheme="minorHAnsi"/>
          <w:b/>
          <w:i/>
        </w:rPr>
        <w:t>“</w:t>
      </w:r>
      <w:r w:rsidR="00F90E98" w:rsidRPr="00550B5D">
        <w:rPr>
          <w:rFonts w:cstheme="minorHAnsi"/>
        </w:rPr>
        <w:t>)</w:t>
      </w:r>
      <w:r w:rsidRPr="00550B5D">
        <w:rPr>
          <w:rFonts w:cstheme="minorHAnsi"/>
        </w:rPr>
        <w:t xml:space="preserve">. Dodavatel se zavazuje poskytnout neprodleně veškerou součinnost jakémukoliv subjektu za účelem splnění povinností plynoucích ze </w:t>
      </w:r>
      <w:proofErr w:type="spellStart"/>
      <w:r w:rsidR="00F90E98" w:rsidRPr="00550B5D">
        <w:rPr>
          <w:rFonts w:cstheme="minorHAnsi"/>
        </w:rPr>
        <w:t>ZoFK</w:t>
      </w:r>
      <w:proofErr w:type="spellEnd"/>
      <w:r w:rsidRPr="00550B5D">
        <w:rPr>
          <w:rFonts w:cstheme="minorHAnsi"/>
        </w:rPr>
        <w:t>.</w:t>
      </w:r>
      <w:r w:rsidR="00877F3F">
        <w:rPr>
          <w:rFonts w:cstheme="minorHAnsi"/>
        </w:rPr>
        <w:t xml:space="preserve"> </w:t>
      </w:r>
      <w:r w:rsidR="00877F3F" w:rsidRPr="00EA4ADC">
        <w:rPr>
          <w:rFonts w:cstheme="minorHAnsi"/>
        </w:rPr>
        <w:t>Toto spolupůsobení je povinen</w:t>
      </w:r>
      <w:r w:rsidR="00877F3F">
        <w:rPr>
          <w:rFonts w:cstheme="minorHAnsi"/>
        </w:rPr>
        <w:t xml:space="preserve"> </w:t>
      </w:r>
      <w:r w:rsidR="00877F3F" w:rsidRPr="009F4203">
        <w:rPr>
          <w:rFonts w:cstheme="minorHAnsi"/>
        </w:rPr>
        <w:t xml:space="preserve">zajistit i u svých případných </w:t>
      </w:r>
      <w:r w:rsidR="0065543A">
        <w:rPr>
          <w:rFonts w:cstheme="minorHAnsi"/>
        </w:rPr>
        <w:t>pod</w:t>
      </w:r>
      <w:r w:rsidR="00877F3F"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78286118" w:rsidR="00F839E4" w:rsidRDefault="00F839E4"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w:t>
      </w:r>
      <w:r w:rsidR="00E5037F">
        <w:rPr>
          <w:rFonts w:cstheme="minorHAnsi"/>
        </w:rPr>
        <w:t>e</w:t>
      </w:r>
      <w:r w:rsidRPr="00550B5D">
        <w:rPr>
          <w:rFonts w:cstheme="minorHAnsi"/>
        </w:rPr>
        <w:t>né v této Smlouvě byly v souladu s citovaným zákonem poskytnuty třetím osobám, pokud tyto o ně požádají.</w:t>
      </w:r>
    </w:p>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lastRenderedPageBreak/>
        <w:t>obecné ani zvláštní zvyklosti nemají přednost před ustanoveními právních předpisů, od nichž se lze odchýlit.</w:t>
      </w:r>
    </w:p>
    <w:p w14:paraId="4D33E989" w14:textId="7DAE005C" w:rsidR="004A3655" w:rsidRDefault="004A3655"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43E96F6A" w14:textId="6DFB6DA4" w:rsidR="00693F43" w:rsidRPr="005664C5" w:rsidRDefault="00F128DB" w:rsidP="001010B9">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61AA176D" w14:textId="77777777" w:rsidR="005664C5" w:rsidRPr="005664C5" w:rsidRDefault="005664C5" w:rsidP="005664C5">
      <w:pPr>
        <w:pStyle w:val="Odstavecseseznamem"/>
        <w:spacing w:after="0" w:line="360" w:lineRule="auto"/>
        <w:ind w:left="567"/>
        <w:jc w:val="both"/>
        <w:rPr>
          <w:rFonts w:cstheme="minorHAnsi"/>
          <w:b/>
          <w:bCs/>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2ACEB82D" w14:textId="368679BB" w:rsidR="007925CB" w:rsidRPr="001010B9" w:rsidRDefault="00693F43" w:rsidP="001010B9">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5664C5">
        <w:rPr>
          <w:rFonts w:cstheme="minorHAnsi"/>
        </w:rPr>
        <w:t xml:space="preserve"> ustanovením </w:t>
      </w:r>
      <w:r w:rsidRPr="001010B9">
        <w:rPr>
          <w:rFonts w:cstheme="minorHAnsi"/>
        </w:rPr>
        <w:t>§</w:t>
      </w:r>
      <w:r w:rsidR="005664C5">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w:t>
      </w:r>
      <w:r w:rsidR="00F128DB" w:rsidRPr="001010B9">
        <w:rPr>
          <w:rFonts w:cstheme="minorHAnsi"/>
        </w:rPr>
        <w:t xml:space="preserve">Smlouvy bylo </w:t>
      </w:r>
      <w:bookmarkStart w:id="16" w:name="_Hlk50533673"/>
      <w:r w:rsidR="00421224">
        <w:rPr>
          <w:rFonts w:cstheme="minorHAnsi"/>
        </w:rPr>
        <w:t>schváleno usnesením Rady hlavního města Prahy č. 1744 ze dne 24.8.2020.</w:t>
      </w:r>
      <w:bookmarkEnd w:id="16"/>
    </w:p>
    <w:p w14:paraId="418FDACC" w14:textId="77777777" w:rsidR="00550B5D" w:rsidRPr="00550B5D" w:rsidRDefault="00550B5D" w:rsidP="00550B5D">
      <w:pPr>
        <w:pStyle w:val="Odstavecseseznamem"/>
        <w:rPr>
          <w:rFonts w:cstheme="minorHAnsi"/>
        </w:rPr>
      </w:pPr>
    </w:p>
    <w:p w14:paraId="13831581" w14:textId="24132A4E" w:rsidR="00550B5D" w:rsidRDefault="007925CB" w:rsidP="00EF011C">
      <w:pPr>
        <w:pStyle w:val="Odstavecseseznamem"/>
        <w:numPr>
          <w:ilvl w:val="1"/>
          <w:numId w:val="30"/>
        </w:numPr>
        <w:spacing w:after="0" w:line="360" w:lineRule="auto"/>
        <w:ind w:left="567" w:hanging="567"/>
        <w:jc w:val="both"/>
        <w:rPr>
          <w:rFonts w:cstheme="minorHAnsi"/>
        </w:rPr>
      </w:pPr>
      <w:r w:rsidRPr="004E4702">
        <w:rPr>
          <w:rFonts w:cstheme="minorHAnsi"/>
        </w:rPr>
        <w:t xml:space="preserve">Tato Smlouva nabývá platnosti dnem podpisu oběma Smluvními stranami a účinnosti dnem </w:t>
      </w:r>
      <w:r w:rsidR="00550B5D" w:rsidRPr="004E4702">
        <w:rPr>
          <w:rFonts w:cstheme="minorHAnsi"/>
        </w:rPr>
        <w:t>1. 1. 2021</w:t>
      </w:r>
      <w:r w:rsidR="009652ED" w:rsidRPr="004E4702">
        <w:rPr>
          <w:rFonts w:cstheme="minorHAnsi"/>
        </w:rPr>
        <w:t xml:space="preserve">; před tímto datem bude tato Smlouva </w:t>
      </w:r>
      <w:r w:rsidRPr="004E4702">
        <w:rPr>
          <w:rFonts w:cstheme="minorHAnsi"/>
        </w:rPr>
        <w:t>uveřejně</w:t>
      </w:r>
      <w:r w:rsidR="009652ED" w:rsidRPr="004E4702">
        <w:rPr>
          <w:rFonts w:cstheme="minorHAnsi"/>
        </w:rPr>
        <w:t>na</w:t>
      </w:r>
      <w:r w:rsidRPr="004E4702">
        <w:rPr>
          <w:rFonts w:cstheme="minorHAnsi"/>
        </w:rPr>
        <w:t xml:space="preserve"> v registru smluv dle ustanovení § 6 zák. č. 340/2015 Sb., o zvláštních podmínkách účinnosti některých smluv, uveřejňování těchto smluv a o registru smluv (zákon o registru smluv), ve znění pozdějších předpisů</w:t>
      </w:r>
      <w:r w:rsidR="009652ED" w:rsidRPr="004E4702">
        <w:rPr>
          <w:rFonts w:cstheme="minorHAnsi"/>
        </w:rPr>
        <w:t>.</w:t>
      </w:r>
      <w:r w:rsidRPr="004E4702">
        <w:rPr>
          <w:rFonts w:cstheme="minorHAnsi"/>
        </w:rPr>
        <w:t xml:space="preserve"> Uveřejnění v registru smluv zajistí Zákazník. </w:t>
      </w:r>
    </w:p>
    <w:p w14:paraId="0E4AAC69" w14:textId="77777777" w:rsidR="004E4702" w:rsidRPr="004E4702" w:rsidRDefault="004E4702" w:rsidP="004E4702">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7"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7"/>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670E6B49"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lastRenderedPageBreak/>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5664C5">
        <w:rPr>
          <w:rFonts w:cstheme="minorHAnsi"/>
        </w:rPr>
        <w:t>10</w:t>
      </w:r>
      <w:r w:rsidR="00626A1F">
        <w:rPr>
          <w:rFonts w:cstheme="minorHAnsi"/>
        </w:rPr>
        <w:t xml:space="preserve"> </w:t>
      </w:r>
      <w:r w:rsidR="003F0B7B" w:rsidRPr="00550B5D">
        <w:rPr>
          <w:rFonts w:cstheme="minorHAnsi"/>
        </w:rPr>
        <w:t xml:space="preserve">(slovy: </w:t>
      </w:r>
      <w:r w:rsidR="005664C5">
        <w:rPr>
          <w:rFonts w:cstheme="minorHAnsi"/>
        </w:rPr>
        <w:t>deseti</w:t>
      </w:r>
      <w:r w:rsidR="003F0B7B" w:rsidRPr="00550B5D">
        <w:rPr>
          <w:rFonts w:cstheme="minorHAnsi"/>
        </w:rPr>
        <w:t xml:space="preserve">)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70C2AB2A" w:rsidR="003545DB" w:rsidRPr="003F0B7B" w:rsidRDefault="003545DB" w:rsidP="000067FF">
      <w:pPr>
        <w:pStyle w:val="Odstavecseseznamem"/>
        <w:numPr>
          <w:ilvl w:val="0"/>
          <w:numId w:val="6"/>
        </w:numPr>
        <w:spacing w:after="0" w:line="360" w:lineRule="auto"/>
        <w:contextualSpacing w:val="0"/>
        <w:jc w:val="both"/>
        <w:rPr>
          <w:rFonts w:cstheme="minorHAnsi"/>
        </w:rPr>
      </w:pPr>
      <w:r w:rsidRPr="003F0B7B">
        <w:rPr>
          <w:rFonts w:cstheme="minorHAnsi"/>
        </w:rPr>
        <w:t>Příloha č. 1 - Seznam odběrných míst</w:t>
      </w:r>
      <w:r w:rsidR="005664C5">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45EF4E96"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6B9F86DF" w14:textId="4D748D9D" w:rsidR="002F0F33" w:rsidRDefault="00860983" w:rsidP="00860983">
      <w:pPr>
        <w:spacing w:after="0" w:line="360" w:lineRule="auto"/>
        <w:jc w:val="both"/>
        <w:rPr>
          <w:rFonts w:cstheme="minorHAnsi"/>
        </w:rPr>
      </w:pPr>
      <w:bookmarkStart w:id="18" w:name="_Hlk38875041"/>
      <w:r w:rsidRPr="00520686">
        <w:rPr>
          <w:rFonts w:cstheme="minorHAnsi"/>
        </w:rPr>
        <w:t>V Praze dne</w:t>
      </w:r>
      <w:r w:rsidR="000A74F5">
        <w:rPr>
          <w:rFonts w:cstheme="minorHAnsi"/>
        </w:rPr>
        <w:t xml:space="preserve"> </w:t>
      </w:r>
      <w:proofErr w:type="gramStart"/>
      <w:r w:rsidR="000A74F5">
        <w:rPr>
          <w:rFonts w:cstheme="minorHAnsi"/>
        </w:rPr>
        <w:t>29.10.2020</w:t>
      </w:r>
      <w:proofErr w:type="gramEnd"/>
    </w:p>
    <w:p w14:paraId="40BB96FA" w14:textId="4FA442B2" w:rsidR="00860983" w:rsidRDefault="00860983" w:rsidP="00860983">
      <w:pPr>
        <w:spacing w:after="0" w:line="360" w:lineRule="auto"/>
        <w:jc w:val="both"/>
        <w:rPr>
          <w:rFonts w:cstheme="minorHAnsi"/>
          <w:highlight w:val="yellow"/>
        </w:rPr>
      </w:pPr>
      <w:r>
        <w:rPr>
          <w:rFonts w:cstheme="minorHAnsi"/>
        </w:rPr>
        <w:tab/>
      </w:r>
      <w:r>
        <w:rPr>
          <w:rFonts w:cstheme="minorHAnsi"/>
        </w:rPr>
        <w:tab/>
      </w:r>
      <w:r>
        <w:rPr>
          <w:rFonts w:cstheme="minorHAnsi"/>
        </w:rPr>
        <w:tab/>
      </w:r>
      <w:r w:rsidR="00007B5D">
        <w:rPr>
          <w:rFonts w:cstheme="minorHAnsi"/>
        </w:rPr>
        <w:tab/>
      </w:r>
      <w:r w:rsidR="00007B5D">
        <w:rPr>
          <w:rFonts w:cstheme="minorHAnsi"/>
        </w:rPr>
        <w:tab/>
      </w:r>
      <w:r w:rsidR="003566A4">
        <w:rPr>
          <w:rFonts w:cstheme="minorHAnsi"/>
        </w:rPr>
        <w:tab/>
      </w:r>
      <w:r w:rsidR="003566A4">
        <w:rPr>
          <w:rFonts w:cstheme="minorHAnsi"/>
        </w:rPr>
        <w:tab/>
      </w:r>
      <w:r w:rsidR="00675DD8">
        <w:rPr>
          <w:rFonts w:cstheme="minorHAnsi"/>
        </w:rPr>
        <w:t xml:space="preserve"> </w:t>
      </w:r>
    </w:p>
    <w:p w14:paraId="7AF819D0" w14:textId="7D63360D" w:rsidR="00A21E30" w:rsidRDefault="00860983" w:rsidP="00277B12">
      <w:pPr>
        <w:pStyle w:val="Zkladntextodsazen"/>
        <w:spacing w:line="360" w:lineRule="auto"/>
        <w:ind w:left="567" w:hanging="567"/>
        <w:rPr>
          <w:rFonts w:cstheme="minorHAnsi"/>
        </w:rPr>
      </w:pPr>
      <w:r>
        <w:rPr>
          <w:rFonts w:cstheme="minorHAnsi"/>
        </w:rPr>
        <w:t>Zákazník</w:t>
      </w:r>
      <w:r w:rsidR="00F4634C">
        <w:rPr>
          <w:rFonts w:cstheme="minorHAnsi"/>
        </w:rPr>
        <w:t>:</w:t>
      </w:r>
      <w:r w:rsidR="00E132C3" w:rsidRPr="00E132C3">
        <w:t xml:space="preserve"> </w:t>
      </w:r>
      <w:r w:rsidR="00277B12" w:rsidRPr="00277B12">
        <w:rPr>
          <w:rFonts w:cstheme="minorHAnsi"/>
        </w:rPr>
        <w:t>Pražská konzervatoř, Praha 1, Na Rejdišti 1</w:t>
      </w:r>
      <w:r w:rsidR="008E595E">
        <w:rPr>
          <w:rFonts w:cstheme="minorHAnsi"/>
        </w:rPr>
        <w:tab/>
      </w:r>
      <w:r w:rsidR="008E595E">
        <w:rPr>
          <w:rFonts w:cstheme="minorHAnsi"/>
        </w:rPr>
        <w:tab/>
      </w:r>
      <w:r w:rsidR="008E595E">
        <w:rPr>
          <w:rFonts w:cstheme="minorHAnsi"/>
        </w:rPr>
        <w:tab/>
      </w:r>
      <w:r w:rsidR="00A21E30" w:rsidRPr="00520686">
        <w:rPr>
          <w:rFonts w:cstheme="minorHAnsi"/>
        </w:rPr>
        <w:t>……………………………………………</w:t>
      </w:r>
    </w:p>
    <w:p w14:paraId="77E1C2D5" w14:textId="4175D131" w:rsidR="00BC00F2" w:rsidRDefault="00BC00F2" w:rsidP="00F11A6E">
      <w:pPr>
        <w:pStyle w:val="Zkladntextodsazen"/>
        <w:spacing w:line="360" w:lineRule="auto"/>
        <w:ind w:left="567" w:hanging="567"/>
        <w:rPr>
          <w:rFonts w:cstheme="minorHAnsi"/>
        </w:rPr>
      </w:pPr>
    </w:p>
    <w:p w14:paraId="5FE71665" w14:textId="77777777" w:rsidR="006C086B" w:rsidRDefault="006C086B" w:rsidP="00F11A6E">
      <w:pPr>
        <w:pStyle w:val="Zkladntextodsazen"/>
        <w:spacing w:line="360" w:lineRule="auto"/>
        <w:ind w:left="567" w:hanging="567"/>
        <w:rPr>
          <w:rFonts w:cstheme="minorHAnsi"/>
        </w:rPr>
      </w:pPr>
    </w:p>
    <w:p w14:paraId="59AFFDB1" w14:textId="5009DF47" w:rsidR="002F0F33" w:rsidRDefault="00A21E30" w:rsidP="00F11A6E">
      <w:pPr>
        <w:pStyle w:val="Zkladntextodsazen"/>
        <w:spacing w:line="360" w:lineRule="auto"/>
        <w:ind w:left="567" w:hanging="567"/>
        <w:rPr>
          <w:rFonts w:cstheme="minorHAnsi"/>
        </w:rPr>
      </w:pPr>
      <w:r>
        <w:rPr>
          <w:rFonts w:cstheme="minorHAnsi"/>
        </w:rPr>
        <w:t>V Praze dne</w:t>
      </w:r>
      <w:r w:rsidR="000A74F5">
        <w:rPr>
          <w:rFonts w:cstheme="minorHAnsi"/>
        </w:rPr>
        <w:t xml:space="preserve"> </w:t>
      </w:r>
      <w:proofErr w:type="gramStart"/>
      <w:r w:rsidR="000A74F5">
        <w:rPr>
          <w:rFonts w:cstheme="minorHAnsi"/>
        </w:rPr>
        <w:t>22.09.2020</w:t>
      </w:r>
      <w:proofErr w:type="gramEnd"/>
      <w:r w:rsidR="0090650B">
        <w:rPr>
          <w:rFonts w:cstheme="minorHAnsi"/>
        </w:rPr>
        <w:tab/>
      </w:r>
      <w:r w:rsidR="00BE3229">
        <w:rPr>
          <w:rFonts w:cstheme="minorHAnsi"/>
        </w:rPr>
        <w:tab/>
      </w:r>
    </w:p>
    <w:p w14:paraId="24305452" w14:textId="20443955" w:rsidR="00860983" w:rsidRDefault="00A21E30" w:rsidP="00FF12F9">
      <w:pPr>
        <w:pStyle w:val="Zkladntextodsazen"/>
        <w:spacing w:line="360" w:lineRule="auto"/>
        <w:ind w:left="567" w:hanging="567"/>
        <w:rPr>
          <w:rFonts w:cstheme="minorHAnsi"/>
        </w:rPr>
      </w:pPr>
      <w:r w:rsidRPr="00F559A8">
        <w:rPr>
          <w:rFonts w:cstheme="minorHAnsi"/>
        </w:rPr>
        <w:t>Dodavatel: Pražská plynárenská, a.s.</w:t>
      </w:r>
      <w:r>
        <w:rPr>
          <w:rFonts w:cstheme="minorHAnsi"/>
        </w:rPr>
        <w:t xml:space="preserve">                                               </w:t>
      </w:r>
      <w:r w:rsidR="00F4634C">
        <w:rPr>
          <w:rFonts w:cstheme="minorHAnsi"/>
        </w:rPr>
        <w:tab/>
      </w:r>
      <w:r w:rsidR="00F4634C">
        <w:rPr>
          <w:rFonts w:cstheme="minorHAnsi"/>
        </w:rPr>
        <w:tab/>
      </w:r>
      <w:r w:rsidRPr="00520686">
        <w:rPr>
          <w:rFonts w:cstheme="minorHAnsi"/>
        </w:rPr>
        <w:t>……………………………………………</w:t>
      </w:r>
      <w:r>
        <w:rPr>
          <w:rFonts w:cstheme="minorHAnsi"/>
        </w:rPr>
        <w:t xml:space="preserve">   </w:t>
      </w:r>
      <w:bookmarkEnd w:id="18"/>
    </w:p>
    <w:sectPr w:rsidR="00860983" w:rsidSect="004F11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6D4F" w14:textId="77777777" w:rsidR="00F95397" w:rsidRDefault="00F95397" w:rsidP="00860983">
      <w:pPr>
        <w:spacing w:after="0" w:line="240" w:lineRule="auto"/>
      </w:pPr>
      <w:r>
        <w:separator/>
      </w:r>
    </w:p>
  </w:endnote>
  <w:endnote w:type="continuationSeparator" w:id="0">
    <w:p w14:paraId="7E82379C" w14:textId="77777777" w:rsidR="00F95397" w:rsidRDefault="00F95397"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44701"/>
      <w:docPartObj>
        <w:docPartGallery w:val="Page Numbers (Bottom of Page)"/>
        <w:docPartUnique/>
      </w:docPartObj>
    </w:sdtPr>
    <w:sdtEndPr/>
    <w:sdtContent>
      <w:p w14:paraId="11495879" w14:textId="11BA89BB" w:rsidR="003E51CB" w:rsidRDefault="003E51CB">
        <w:pPr>
          <w:pStyle w:val="Zpat"/>
          <w:jc w:val="center"/>
        </w:pPr>
        <w:r>
          <w:fldChar w:fldCharType="begin"/>
        </w:r>
        <w:r>
          <w:instrText>PAGE   \* MERGEFORMAT</w:instrText>
        </w:r>
        <w:r>
          <w:fldChar w:fldCharType="separate"/>
        </w:r>
        <w:r w:rsidR="00E855AC">
          <w:rPr>
            <w:noProof/>
          </w:rPr>
          <w:t>19</w:t>
        </w:r>
        <w:r>
          <w:fldChar w:fldCharType="end"/>
        </w:r>
      </w:p>
    </w:sdtContent>
  </w:sdt>
  <w:p w14:paraId="44CC65F2" w14:textId="77777777" w:rsidR="003E51CB" w:rsidRDefault="003E51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393E0" w14:textId="77777777" w:rsidR="00F95397" w:rsidRDefault="00F95397" w:rsidP="00860983">
      <w:pPr>
        <w:spacing w:after="0" w:line="240" w:lineRule="auto"/>
      </w:pPr>
      <w:r>
        <w:separator/>
      </w:r>
    </w:p>
  </w:footnote>
  <w:footnote w:type="continuationSeparator" w:id="0">
    <w:p w14:paraId="631F6C29" w14:textId="77777777" w:rsidR="00F95397" w:rsidRDefault="00F95397" w:rsidP="0086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1031B1"/>
    <w:multiLevelType w:val="hybridMultilevel"/>
    <w:tmpl w:val="CF34A272"/>
    <w:lvl w:ilvl="0" w:tplc="72407E60">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
  </w:num>
  <w:num w:numId="3">
    <w:abstractNumId w:val="13"/>
  </w:num>
  <w:num w:numId="4">
    <w:abstractNumId w:val="0"/>
  </w:num>
  <w:num w:numId="5">
    <w:abstractNumId w:val="8"/>
  </w:num>
  <w:num w:numId="6">
    <w:abstractNumId w:val="20"/>
  </w:num>
  <w:num w:numId="7">
    <w:abstractNumId w:val="14"/>
  </w:num>
  <w:num w:numId="8">
    <w:abstractNumId w:val="18"/>
  </w:num>
  <w:num w:numId="9">
    <w:abstractNumId w:val="5"/>
  </w:num>
  <w:num w:numId="10">
    <w:abstractNumId w:val="11"/>
  </w:num>
  <w:num w:numId="11">
    <w:abstractNumId w:val="21"/>
  </w:num>
  <w:num w:numId="12">
    <w:abstractNumId w:val="10"/>
  </w:num>
  <w:num w:numId="13">
    <w:abstractNumId w:val="28"/>
  </w:num>
  <w:num w:numId="14">
    <w:abstractNumId w:val="24"/>
  </w:num>
  <w:num w:numId="15">
    <w:abstractNumId w:val="19"/>
  </w:num>
  <w:num w:numId="16">
    <w:abstractNumId w:val="9"/>
  </w:num>
  <w:num w:numId="17">
    <w:abstractNumId w:val="2"/>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7"/>
  </w:num>
  <w:num w:numId="24">
    <w:abstractNumId w:val="3"/>
  </w:num>
  <w:num w:numId="25">
    <w:abstractNumId w:val="1"/>
  </w:num>
  <w:num w:numId="26">
    <w:abstractNumId w:val="16"/>
  </w:num>
  <w:num w:numId="27">
    <w:abstractNumId w:val="26"/>
  </w:num>
  <w:num w:numId="28">
    <w:abstractNumId w:val="17"/>
  </w:num>
  <w:num w:numId="29">
    <w:abstractNumId w:val="22"/>
  </w:num>
  <w:num w:numId="30">
    <w:abstractNumId w:val="12"/>
  </w:num>
  <w:num w:numId="31">
    <w:abstractNumId w:val="6"/>
  </w:num>
  <w:num w:numId="32">
    <w:abstractNumId w:val="15"/>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0D"/>
    <w:rsid w:val="00004E09"/>
    <w:rsid w:val="0000592F"/>
    <w:rsid w:val="000067FF"/>
    <w:rsid w:val="00006EE2"/>
    <w:rsid w:val="00007B5D"/>
    <w:rsid w:val="00012A04"/>
    <w:rsid w:val="000270AC"/>
    <w:rsid w:val="00040B67"/>
    <w:rsid w:val="00055CA6"/>
    <w:rsid w:val="000606D3"/>
    <w:rsid w:val="00065AE1"/>
    <w:rsid w:val="0007645E"/>
    <w:rsid w:val="000A0840"/>
    <w:rsid w:val="000A74F5"/>
    <w:rsid w:val="000C5E9C"/>
    <w:rsid w:val="000D1266"/>
    <w:rsid w:val="000F3B98"/>
    <w:rsid w:val="001010B9"/>
    <w:rsid w:val="001102F1"/>
    <w:rsid w:val="00116E13"/>
    <w:rsid w:val="001365ED"/>
    <w:rsid w:val="00154F0E"/>
    <w:rsid w:val="0016676D"/>
    <w:rsid w:val="001718BB"/>
    <w:rsid w:val="00181D63"/>
    <w:rsid w:val="00182DF3"/>
    <w:rsid w:val="001839F7"/>
    <w:rsid w:val="001A2A1D"/>
    <w:rsid w:val="001A2D31"/>
    <w:rsid w:val="001A6358"/>
    <w:rsid w:val="001A6C49"/>
    <w:rsid w:val="001B0991"/>
    <w:rsid w:val="001B7D46"/>
    <w:rsid w:val="001D47CD"/>
    <w:rsid w:val="001E0E2E"/>
    <w:rsid w:val="001E0F77"/>
    <w:rsid w:val="001F4D95"/>
    <w:rsid w:val="00211AFA"/>
    <w:rsid w:val="00213FEB"/>
    <w:rsid w:val="00217E75"/>
    <w:rsid w:val="00221D39"/>
    <w:rsid w:val="00246944"/>
    <w:rsid w:val="00277B12"/>
    <w:rsid w:val="00281A6A"/>
    <w:rsid w:val="00296CB0"/>
    <w:rsid w:val="002A2FF5"/>
    <w:rsid w:val="002A46E4"/>
    <w:rsid w:val="002D4AFF"/>
    <w:rsid w:val="002F0F33"/>
    <w:rsid w:val="0030237A"/>
    <w:rsid w:val="00305C99"/>
    <w:rsid w:val="00305CAE"/>
    <w:rsid w:val="00315551"/>
    <w:rsid w:val="0032714F"/>
    <w:rsid w:val="00335CAB"/>
    <w:rsid w:val="003545DB"/>
    <w:rsid w:val="003566A4"/>
    <w:rsid w:val="003628FF"/>
    <w:rsid w:val="0036774F"/>
    <w:rsid w:val="00385B28"/>
    <w:rsid w:val="003A36DE"/>
    <w:rsid w:val="003B6584"/>
    <w:rsid w:val="003C3728"/>
    <w:rsid w:val="003D6BDB"/>
    <w:rsid w:val="003E3A4C"/>
    <w:rsid w:val="003E4B0D"/>
    <w:rsid w:val="003E51CB"/>
    <w:rsid w:val="003F0B7B"/>
    <w:rsid w:val="003F2249"/>
    <w:rsid w:val="00410B8C"/>
    <w:rsid w:val="00421224"/>
    <w:rsid w:val="0044170D"/>
    <w:rsid w:val="00442F9D"/>
    <w:rsid w:val="00444137"/>
    <w:rsid w:val="004527BF"/>
    <w:rsid w:val="004737CE"/>
    <w:rsid w:val="00480CC1"/>
    <w:rsid w:val="004857FC"/>
    <w:rsid w:val="00491233"/>
    <w:rsid w:val="004A0EF7"/>
    <w:rsid w:val="004A3655"/>
    <w:rsid w:val="004B0F81"/>
    <w:rsid w:val="004B7009"/>
    <w:rsid w:val="004D3731"/>
    <w:rsid w:val="004E4702"/>
    <w:rsid w:val="004F1108"/>
    <w:rsid w:val="004F23CC"/>
    <w:rsid w:val="00502985"/>
    <w:rsid w:val="00504E32"/>
    <w:rsid w:val="00512D7D"/>
    <w:rsid w:val="005166B2"/>
    <w:rsid w:val="00521ED6"/>
    <w:rsid w:val="0054033B"/>
    <w:rsid w:val="00544017"/>
    <w:rsid w:val="00550B5D"/>
    <w:rsid w:val="00552C33"/>
    <w:rsid w:val="0055689F"/>
    <w:rsid w:val="00557E8F"/>
    <w:rsid w:val="00561BC2"/>
    <w:rsid w:val="005645AA"/>
    <w:rsid w:val="005664C5"/>
    <w:rsid w:val="005710E1"/>
    <w:rsid w:val="005763EF"/>
    <w:rsid w:val="005A1770"/>
    <w:rsid w:val="005A1A68"/>
    <w:rsid w:val="005A3081"/>
    <w:rsid w:val="005B0E2C"/>
    <w:rsid w:val="005C4496"/>
    <w:rsid w:val="005D2F51"/>
    <w:rsid w:val="00606112"/>
    <w:rsid w:val="0060671F"/>
    <w:rsid w:val="00611914"/>
    <w:rsid w:val="006179FE"/>
    <w:rsid w:val="00626A1F"/>
    <w:rsid w:val="00634D63"/>
    <w:rsid w:val="0065543A"/>
    <w:rsid w:val="00675DD8"/>
    <w:rsid w:val="006876E4"/>
    <w:rsid w:val="00693BBB"/>
    <w:rsid w:val="00693F43"/>
    <w:rsid w:val="006A4A2D"/>
    <w:rsid w:val="006B4927"/>
    <w:rsid w:val="006C086B"/>
    <w:rsid w:val="006F3E89"/>
    <w:rsid w:val="007031F4"/>
    <w:rsid w:val="00703DE5"/>
    <w:rsid w:val="00705045"/>
    <w:rsid w:val="00710EA5"/>
    <w:rsid w:val="007366CE"/>
    <w:rsid w:val="0074307A"/>
    <w:rsid w:val="007443B9"/>
    <w:rsid w:val="00750C05"/>
    <w:rsid w:val="00776B50"/>
    <w:rsid w:val="00786CB1"/>
    <w:rsid w:val="007925CB"/>
    <w:rsid w:val="00794AB2"/>
    <w:rsid w:val="007A76AC"/>
    <w:rsid w:val="007B6CE3"/>
    <w:rsid w:val="007D74CC"/>
    <w:rsid w:val="007F4E30"/>
    <w:rsid w:val="0081296A"/>
    <w:rsid w:val="00826F18"/>
    <w:rsid w:val="00837195"/>
    <w:rsid w:val="008377D5"/>
    <w:rsid w:val="0084074D"/>
    <w:rsid w:val="00853FE5"/>
    <w:rsid w:val="00856EA8"/>
    <w:rsid w:val="00860983"/>
    <w:rsid w:val="00875DBB"/>
    <w:rsid w:val="00877F3F"/>
    <w:rsid w:val="0088683D"/>
    <w:rsid w:val="0088718D"/>
    <w:rsid w:val="00891E2D"/>
    <w:rsid w:val="00896E2E"/>
    <w:rsid w:val="008A1FAE"/>
    <w:rsid w:val="008B3B3A"/>
    <w:rsid w:val="008B4C7F"/>
    <w:rsid w:val="008B7B5B"/>
    <w:rsid w:val="008C12C7"/>
    <w:rsid w:val="008C5EF5"/>
    <w:rsid w:val="008C628E"/>
    <w:rsid w:val="008D616D"/>
    <w:rsid w:val="008E595E"/>
    <w:rsid w:val="0090650B"/>
    <w:rsid w:val="00944BE6"/>
    <w:rsid w:val="00953FE5"/>
    <w:rsid w:val="00956CF7"/>
    <w:rsid w:val="009646B6"/>
    <w:rsid w:val="009652ED"/>
    <w:rsid w:val="0099469C"/>
    <w:rsid w:val="009A1B4F"/>
    <w:rsid w:val="009A5887"/>
    <w:rsid w:val="009C021D"/>
    <w:rsid w:val="009D12BE"/>
    <w:rsid w:val="009E4414"/>
    <w:rsid w:val="00A03E83"/>
    <w:rsid w:val="00A139D8"/>
    <w:rsid w:val="00A172B7"/>
    <w:rsid w:val="00A21E30"/>
    <w:rsid w:val="00A3627B"/>
    <w:rsid w:val="00A46E70"/>
    <w:rsid w:val="00A54B01"/>
    <w:rsid w:val="00A57090"/>
    <w:rsid w:val="00A61979"/>
    <w:rsid w:val="00A75DA2"/>
    <w:rsid w:val="00A76EA7"/>
    <w:rsid w:val="00A8389B"/>
    <w:rsid w:val="00A85EF1"/>
    <w:rsid w:val="00A934E4"/>
    <w:rsid w:val="00AA759F"/>
    <w:rsid w:val="00AC2C75"/>
    <w:rsid w:val="00AD368A"/>
    <w:rsid w:val="00AE6177"/>
    <w:rsid w:val="00B04D53"/>
    <w:rsid w:val="00B0720D"/>
    <w:rsid w:val="00B10010"/>
    <w:rsid w:val="00B1396D"/>
    <w:rsid w:val="00B1521D"/>
    <w:rsid w:val="00B32625"/>
    <w:rsid w:val="00B5634F"/>
    <w:rsid w:val="00B564A5"/>
    <w:rsid w:val="00B70777"/>
    <w:rsid w:val="00B80A00"/>
    <w:rsid w:val="00B9031D"/>
    <w:rsid w:val="00B92998"/>
    <w:rsid w:val="00BA1280"/>
    <w:rsid w:val="00BC00F2"/>
    <w:rsid w:val="00BD3EDC"/>
    <w:rsid w:val="00BE3229"/>
    <w:rsid w:val="00BF3CFC"/>
    <w:rsid w:val="00BF7924"/>
    <w:rsid w:val="00C06C62"/>
    <w:rsid w:val="00C13FEC"/>
    <w:rsid w:val="00C179D0"/>
    <w:rsid w:val="00C219BB"/>
    <w:rsid w:val="00C26567"/>
    <w:rsid w:val="00C4420D"/>
    <w:rsid w:val="00C47C67"/>
    <w:rsid w:val="00C60CE5"/>
    <w:rsid w:val="00C61887"/>
    <w:rsid w:val="00C64FA6"/>
    <w:rsid w:val="00CB47B8"/>
    <w:rsid w:val="00CD1685"/>
    <w:rsid w:val="00CE7140"/>
    <w:rsid w:val="00CF2053"/>
    <w:rsid w:val="00D04E3C"/>
    <w:rsid w:val="00D12D1C"/>
    <w:rsid w:val="00D30EE1"/>
    <w:rsid w:val="00D32ACD"/>
    <w:rsid w:val="00D3324B"/>
    <w:rsid w:val="00D37210"/>
    <w:rsid w:val="00D42DC1"/>
    <w:rsid w:val="00D4792B"/>
    <w:rsid w:val="00D513C2"/>
    <w:rsid w:val="00D55FD3"/>
    <w:rsid w:val="00D72E67"/>
    <w:rsid w:val="00D8006F"/>
    <w:rsid w:val="00D90FBB"/>
    <w:rsid w:val="00DD2573"/>
    <w:rsid w:val="00DD5194"/>
    <w:rsid w:val="00DE4504"/>
    <w:rsid w:val="00DE7D5C"/>
    <w:rsid w:val="00E04B3D"/>
    <w:rsid w:val="00E04D4B"/>
    <w:rsid w:val="00E132C3"/>
    <w:rsid w:val="00E13EED"/>
    <w:rsid w:val="00E21A89"/>
    <w:rsid w:val="00E33B8D"/>
    <w:rsid w:val="00E401C8"/>
    <w:rsid w:val="00E40AA7"/>
    <w:rsid w:val="00E5037F"/>
    <w:rsid w:val="00E70119"/>
    <w:rsid w:val="00E81DBF"/>
    <w:rsid w:val="00E855AC"/>
    <w:rsid w:val="00E93B2E"/>
    <w:rsid w:val="00EB0CAC"/>
    <w:rsid w:val="00EB34A3"/>
    <w:rsid w:val="00EC286A"/>
    <w:rsid w:val="00EC2D78"/>
    <w:rsid w:val="00ED4043"/>
    <w:rsid w:val="00F05F1B"/>
    <w:rsid w:val="00F11357"/>
    <w:rsid w:val="00F11A6E"/>
    <w:rsid w:val="00F128DB"/>
    <w:rsid w:val="00F247B0"/>
    <w:rsid w:val="00F422F9"/>
    <w:rsid w:val="00F44A0D"/>
    <w:rsid w:val="00F4634C"/>
    <w:rsid w:val="00F521D2"/>
    <w:rsid w:val="00F559A8"/>
    <w:rsid w:val="00F64296"/>
    <w:rsid w:val="00F6535D"/>
    <w:rsid w:val="00F66757"/>
    <w:rsid w:val="00F82AEB"/>
    <w:rsid w:val="00F8335E"/>
    <w:rsid w:val="00F839E4"/>
    <w:rsid w:val="00F90E98"/>
    <w:rsid w:val="00F95397"/>
    <w:rsid w:val="00FA40A0"/>
    <w:rsid w:val="00FA63C5"/>
    <w:rsid w:val="00FC44D9"/>
    <w:rsid w:val="00FE2EAE"/>
    <w:rsid w:val="00FF1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15:chartTrackingRefBased/>
  <w15:docId w15:val="{3B5CF55B-BE45-44C7-8F0B-4B6ECA4C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unhideWhenUsed/>
    <w:rsid w:val="00860983"/>
    <w:pPr>
      <w:spacing w:after="120"/>
      <w:ind w:left="283"/>
    </w:pPr>
  </w:style>
  <w:style w:type="character" w:customStyle="1" w:styleId="ZkladntextodsazenChar">
    <w:name w:val="Základní text odsazený Char"/>
    <w:basedOn w:val="Standardnpsmoodstavce"/>
    <w:link w:val="Zkladntextodsazen"/>
    <w:uiPriority w:val="99"/>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character" w:customStyle="1" w:styleId="Nevyeenzmnka2">
    <w:name w:val="Nevyřešená zmínka2"/>
    <w:basedOn w:val="Standardnpsmoodstavce"/>
    <w:uiPriority w:val="99"/>
    <w:semiHidden/>
    <w:unhideWhenUsed/>
    <w:rsid w:val="0074307A"/>
    <w:rPr>
      <w:color w:val="605E5C"/>
      <w:shd w:val="clear" w:color="auto" w:fill="E1DFDD"/>
    </w:rPr>
  </w:style>
  <w:style w:type="character" w:customStyle="1" w:styleId="UnresolvedMention">
    <w:name w:val="Unresolved Mention"/>
    <w:basedOn w:val="Standardnpsmoodstavce"/>
    <w:uiPriority w:val="99"/>
    <w:semiHidden/>
    <w:unhideWhenUsed/>
    <w:rsid w:val="00CD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510">
      <w:bodyDiv w:val="1"/>
      <w:marLeft w:val="0"/>
      <w:marRight w:val="0"/>
      <w:marTop w:val="0"/>
      <w:marBottom w:val="0"/>
      <w:divBdr>
        <w:top w:val="none" w:sz="0" w:space="0" w:color="auto"/>
        <w:left w:val="none" w:sz="0" w:space="0" w:color="auto"/>
        <w:bottom w:val="none" w:sz="0" w:space="0" w:color="auto"/>
        <w:right w:val="none" w:sz="0" w:space="0" w:color="auto"/>
      </w:divBdr>
    </w:div>
    <w:div w:id="146558047">
      <w:bodyDiv w:val="1"/>
      <w:marLeft w:val="0"/>
      <w:marRight w:val="0"/>
      <w:marTop w:val="0"/>
      <w:marBottom w:val="0"/>
      <w:divBdr>
        <w:top w:val="none" w:sz="0" w:space="0" w:color="auto"/>
        <w:left w:val="none" w:sz="0" w:space="0" w:color="auto"/>
        <w:bottom w:val="none" w:sz="0" w:space="0" w:color="auto"/>
        <w:right w:val="none" w:sz="0" w:space="0" w:color="auto"/>
      </w:divBdr>
    </w:div>
    <w:div w:id="238836064">
      <w:bodyDiv w:val="1"/>
      <w:marLeft w:val="0"/>
      <w:marRight w:val="0"/>
      <w:marTop w:val="0"/>
      <w:marBottom w:val="0"/>
      <w:divBdr>
        <w:top w:val="none" w:sz="0" w:space="0" w:color="auto"/>
        <w:left w:val="none" w:sz="0" w:space="0" w:color="auto"/>
        <w:bottom w:val="none" w:sz="0" w:space="0" w:color="auto"/>
        <w:right w:val="none" w:sz="0" w:space="0" w:color="auto"/>
      </w:divBdr>
    </w:div>
    <w:div w:id="397752254">
      <w:bodyDiv w:val="1"/>
      <w:marLeft w:val="0"/>
      <w:marRight w:val="0"/>
      <w:marTop w:val="0"/>
      <w:marBottom w:val="0"/>
      <w:divBdr>
        <w:top w:val="none" w:sz="0" w:space="0" w:color="auto"/>
        <w:left w:val="none" w:sz="0" w:space="0" w:color="auto"/>
        <w:bottom w:val="none" w:sz="0" w:space="0" w:color="auto"/>
        <w:right w:val="none" w:sz="0" w:space="0" w:color="auto"/>
      </w:divBdr>
    </w:div>
    <w:div w:id="615867326">
      <w:bodyDiv w:val="1"/>
      <w:marLeft w:val="0"/>
      <w:marRight w:val="0"/>
      <w:marTop w:val="0"/>
      <w:marBottom w:val="0"/>
      <w:divBdr>
        <w:top w:val="none" w:sz="0" w:space="0" w:color="auto"/>
        <w:left w:val="none" w:sz="0" w:space="0" w:color="auto"/>
        <w:bottom w:val="none" w:sz="0" w:space="0" w:color="auto"/>
        <w:right w:val="none" w:sz="0" w:space="0" w:color="auto"/>
      </w:divBdr>
    </w:div>
    <w:div w:id="632177235">
      <w:bodyDiv w:val="1"/>
      <w:marLeft w:val="0"/>
      <w:marRight w:val="0"/>
      <w:marTop w:val="0"/>
      <w:marBottom w:val="0"/>
      <w:divBdr>
        <w:top w:val="none" w:sz="0" w:space="0" w:color="auto"/>
        <w:left w:val="none" w:sz="0" w:space="0" w:color="auto"/>
        <w:bottom w:val="none" w:sz="0" w:space="0" w:color="auto"/>
        <w:right w:val="none" w:sz="0" w:space="0" w:color="auto"/>
      </w:divBdr>
    </w:div>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737825797">
      <w:bodyDiv w:val="1"/>
      <w:marLeft w:val="0"/>
      <w:marRight w:val="0"/>
      <w:marTop w:val="0"/>
      <w:marBottom w:val="0"/>
      <w:divBdr>
        <w:top w:val="none" w:sz="0" w:space="0" w:color="auto"/>
        <w:left w:val="none" w:sz="0" w:space="0" w:color="auto"/>
        <w:bottom w:val="none" w:sz="0" w:space="0" w:color="auto"/>
        <w:right w:val="none" w:sz="0" w:space="0" w:color="auto"/>
      </w:divBdr>
    </w:div>
    <w:div w:id="913467827">
      <w:bodyDiv w:val="1"/>
      <w:marLeft w:val="0"/>
      <w:marRight w:val="0"/>
      <w:marTop w:val="0"/>
      <w:marBottom w:val="0"/>
      <w:divBdr>
        <w:top w:val="none" w:sz="0" w:space="0" w:color="auto"/>
        <w:left w:val="none" w:sz="0" w:space="0" w:color="auto"/>
        <w:bottom w:val="none" w:sz="0" w:space="0" w:color="auto"/>
        <w:right w:val="none" w:sz="0" w:space="0" w:color="auto"/>
      </w:divBdr>
    </w:div>
    <w:div w:id="1028218935">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30826964">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 w:id="1266503060">
      <w:bodyDiv w:val="1"/>
      <w:marLeft w:val="0"/>
      <w:marRight w:val="0"/>
      <w:marTop w:val="0"/>
      <w:marBottom w:val="0"/>
      <w:divBdr>
        <w:top w:val="none" w:sz="0" w:space="0" w:color="auto"/>
        <w:left w:val="none" w:sz="0" w:space="0" w:color="auto"/>
        <w:bottom w:val="none" w:sz="0" w:space="0" w:color="auto"/>
        <w:right w:val="none" w:sz="0" w:space="0" w:color="auto"/>
      </w:divBdr>
    </w:div>
    <w:div w:id="1313101501">
      <w:bodyDiv w:val="1"/>
      <w:marLeft w:val="0"/>
      <w:marRight w:val="0"/>
      <w:marTop w:val="0"/>
      <w:marBottom w:val="0"/>
      <w:divBdr>
        <w:top w:val="none" w:sz="0" w:space="0" w:color="auto"/>
        <w:left w:val="none" w:sz="0" w:space="0" w:color="auto"/>
        <w:bottom w:val="none" w:sz="0" w:space="0" w:color="auto"/>
        <w:right w:val="none" w:sz="0" w:space="0" w:color="auto"/>
      </w:divBdr>
    </w:div>
    <w:div w:id="1576821448">
      <w:bodyDiv w:val="1"/>
      <w:marLeft w:val="0"/>
      <w:marRight w:val="0"/>
      <w:marTop w:val="0"/>
      <w:marBottom w:val="0"/>
      <w:divBdr>
        <w:top w:val="none" w:sz="0" w:space="0" w:color="auto"/>
        <w:left w:val="none" w:sz="0" w:space="0" w:color="auto"/>
        <w:bottom w:val="none" w:sz="0" w:space="0" w:color="auto"/>
        <w:right w:val="none" w:sz="0" w:space="0" w:color="auto"/>
      </w:divBdr>
    </w:div>
    <w:div w:id="1820799789">
      <w:bodyDiv w:val="1"/>
      <w:marLeft w:val="0"/>
      <w:marRight w:val="0"/>
      <w:marTop w:val="0"/>
      <w:marBottom w:val="0"/>
      <w:divBdr>
        <w:top w:val="none" w:sz="0" w:space="0" w:color="auto"/>
        <w:left w:val="none" w:sz="0" w:space="0" w:color="auto"/>
        <w:bottom w:val="none" w:sz="0" w:space="0" w:color="auto"/>
        <w:right w:val="none" w:sz="0" w:space="0" w:color="auto"/>
      </w:divBdr>
    </w:div>
    <w:div w:id="1868177192">
      <w:bodyDiv w:val="1"/>
      <w:marLeft w:val="0"/>
      <w:marRight w:val="0"/>
      <w:marTop w:val="0"/>
      <w:marBottom w:val="0"/>
      <w:divBdr>
        <w:top w:val="none" w:sz="0" w:space="0" w:color="auto"/>
        <w:left w:val="none" w:sz="0" w:space="0" w:color="auto"/>
        <w:bottom w:val="none" w:sz="0" w:space="0" w:color="auto"/>
        <w:right w:val="none" w:sz="0" w:space="0" w:color="auto"/>
      </w:divBdr>
    </w:div>
    <w:div w:id="2045011386">
      <w:bodyDiv w:val="1"/>
      <w:marLeft w:val="0"/>
      <w:marRight w:val="0"/>
      <w:marTop w:val="0"/>
      <w:marBottom w:val="0"/>
      <w:divBdr>
        <w:top w:val="none" w:sz="0" w:space="0" w:color="auto"/>
        <w:left w:val="none" w:sz="0" w:space="0" w:color="auto"/>
        <w:bottom w:val="none" w:sz="0" w:space="0" w:color="auto"/>
        <w:right w:val="none" w:sz="0" w:space="0" w:color="auto"/>
      </w:divBdr>
    </w:div>
    <w:div w:id="2095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hyperlink" Target="https://www.powernext.com/futures-market-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ort@energybroke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wernext.com/futures-market-data" TargetMode="External"/><Relationship Id="rId4" Type="http://schemas.openxmlformats.org/officeDocument/2006/relationships/settings" Target="settings.xml"/><Relationship Id="rId9" Type="http://schemas.openxmlformats.org/officeDocument/2006/relationships/hyperlink" Target="https://www.powernext.com/futures-market-data"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041D-03A0-4F9D-9333-8A5D7A44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5361</Words>
  <Characters>31636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Hana Vimrová</cp:lastModifiedBy>
  <cp:revision>5</cp:revision>
  <cp:lastPrinted>2020-04-28T10:46:00Z</cp:lastPrinted>
  <dcterms:created xsi:type="dcterms:W3CDTF">2020-11-04T08:42:00Z</dcterms:created>
  <dcterms:modified xsi:type="dcterms:W3CDTF">2020-11-04T08:53:00Z</dcterms:modified>
</cp:coreProperties>
</file>