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3FD7" w14:textId="2910AB1B" w:rsidR="00876EDC" w:rsidRPr="0004420D" w:rsidRDefault="00876EDC" w:rsidP="00876EDC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>
        <w:rPr>
          <w:rFonts w:asciiTheme="minorHAnsi" w:hAnsiTheme="minorHAnsi"/>
          <w:b/>
          <w:color w:val="auto"/>
          <w:sz w:val="24"/>
          <w:szCs w:val="24"/>
        </w:rPr>
        <w:t>11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>e SMLOUVĚ</w:t>
      </w:r>
    </w:p>
    <w:p w14:paraId="366024D3" w14:textId="77777777" w:rsidR="00876EDC" w:rsidRPr="0004420D" w:rsidRDefault="00876EDC" w:rsidP="00876EDC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>o nájmu prostoru sloužícího podnikání a nájmu movitých věcí</w:t>
      </w:r>
    </w:p>
    <w:p w14:paraId="21718719" w14:textId="77777777" w:rsidR="00876EDC" w:rsidRDefault="00876EDC" w:rsidP="00876EDC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1B5898C2" w14:textId="77777777" w:rsidR="00876EDC" w:rsidRPr="00354CDF" w:rsidRDefault="00876EDC" w:rsidP="00876EDC">
      <w:pPr>
        <w:pStyle w:val="VZORK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0E919AD" w14:textId="77777777" w:rsidR="00876EDC" w:rsidRDefault="00876EDC" w:rsidP="00876EDC">
      <w:pPr>
        <w:pStyle w:val="VZORK"/>
        <w:spacing w:after="0"/>
        <w:jc w:val="center"/>
        <w:rPr>
          <w:rFonts w:asciiTheme="minorHAnsi" w:hAnsiTheme="minorHAnsi"/>
        </w:rPr>
      </w:pPr>
    </w:p>
    <w:p w14:paraId="798ADB75" w14:textId="77777777" w:rsidR="00876EDC" w:rsidRPr="00354CDF" w:rsidRDefault="00876EDC" w:rsidP="00876EDC">
      <w:pPr>
        <w:pStyle w:val="VZORK"/>
        <w:spacing w:after="0"/>
        <w:jc w:val="center"/>
        <w:rPr>
          <w:rFonts w:asciiTheme="minorHAnsi" w:hAnsiTheme="minorHAnsi"/>
        </w:rPr>
      </w:pPr>
    </w:p>
    <w:p w14:paraId="5F1220FF" w14:textId="77777777" w:rsidR="00876EDC" w:rsidRPr="0004420D" w:rsidRDefault="00876EDC" w:rsidP="00876EDC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Pr="0004420D">
        <w:rPr>
          <w:rFonts w:asciiTheme="minorHAnsi" w:hAnsiTheme="minorHAnsi"/>
          <w:sz w:val="22"/>
          <w:szCs w:val="22"/>
        </w:rPr>
        <w:tab/>
        <w:t>Švandovo divadlo na Smíchově</w:t>
      </w:r>
    </w:p>
    <w:p w14:paraId="5588BC77" w14:textId="77777777" w:rsidR="00876EDC" w:rsidRPr="00DC7AD0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příspěvková organizace</w:t>
      </w:r>
      <w:r>
        <w:rPr>
          <w:rFonts w:asciiTheme="minorHAnsi" w:hAnsiTheme="minorHAnsi"/>
          <w:color w:val="auto"/>
          <w:sz w:val="22"/>
          <w:szCs w:val="22"/>
        </w:rPr>
        <w:t xml:space="preserve"> hl. m. Prahy</w:t>
      </w:r>
    </w:p>
    <w:p w14:paraId="79B2F54C" w14:textId="77777777" w:rsidR="00876EDC" w:rsidRPr="00DC7AD0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se sídlem Štefánikova 57, 150 00 Praha 5</w:t>
      </w:r>
    </w:p>
    <w:p w14:paraId="61795D2B" w14:textId="77777777" w:rsidR="00876EDC" w:rsidRPr="00DC7AD0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IČO: 00064327</w:t>
      </w:r>
    </w:p>
    <w:p w14:paraId="07F81E81" w14:textId="77777777" w:rsidR="00876EDC" w:rsidRPr="00DC7AD0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DIČ: CZ0064327</w:t>
      </w:r>
    </w:p>
    <w:p w14:paraId="54B6F335" w14:textId="77777777" w:rsidR="00876EDC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zastoupen ředitelem panem Mgr. Danielem Hrbkem, Ph.D.</w:t>
      </w:r>
    </w:p>
    <w:p w14:paraId="099D28E0" w14:textId="77777777" w:rsidR="00876EDC" w:rsidRPr="00DC7AD0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DC7AD0">
        <w:rPr>
          <w:rFonts w:asciiTheme="minorHAnsi" w:hAnsiTheme="minorHAnsi"/>
          <w:color w:val="auto"/>
          <w:sz w:val="22"/>
          <w:szCs w:val="22"/>
        </w:rPr>
        <w:t>ankovní spojení: účet číslo 2000760009/6000</w:t>
      </w:r>
    </w:p>
    <w:p w14:paraId="6D35CD13" w14:textId="77777777" w:rsidR="00876EDC" w:rsidRPr="0004420D" w:rsidRDefault="00876EDC" w:rsidP="00876EDC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4409387B" w14:textId="77777777" w:rsidR="00876EDC" w:rsidRPr="0004420D" w:rsidRDefault="00876EDC" w:rsidP="00876EDC">
      <w:pPr>
        <w:pStyle w:val="Nadpis2"/>
        <w:spacing w:before="0"/>
        <w:ind w:left="708" w:firstLine="708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30C893C9" w14:textId="77777777" w:rsidR="00876EDC" w:rsidRDefault="00876EDC" w:rsidP="00876EDC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9DA5C57" w14:textId="77777777" w:rsidR="00876EDC" w:rsidRPr="00B36BCF" w:rsidRDefault="00876EDC" w:rsidP="00876EDC"/>
    <w:p w14:paraId="691532AB" w14:textId="77777777" w:rsidR="00876EDC" w:rsidRPr="0004420D" w:rsidRDefault="00876EDC" w:rsidP="00876EDC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Pr="0004420D">
        <w:rPr>
          <w:rFonts w:asciiTheme="minorHAnsi" w:hAnsiTheme="minorHAnsi"/>
          <w:sz w:val="22"/>
          <w:szCs w:val="22"/>
        </w:rPr>
        <w:t>inda Knotková</w:t>
      </w:r>
    </w:p>
    <w:p w14:paraId="6D45CBBF" w14:textId="77777777" w:rsidR="00876EDC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29A6415E" w14:textId="77777777" w:rsidR="00876EDC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živnostenský list: č.j. MCP8 044096/2017 Spis. zn. SZ MCP8 040863/2017</w:t>
      </w:r>
    </w:p>
    <w:p w14:paraId="6A268B09" w14:textId="77777777" w:rsidR="00876EDC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se sídlem: 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3B0DAF1" w14:textId="77777777" w:rsidR="00876EDC" w:rsidRPr="0004420D" w:rsidRDefault="00876EDC" w:rsidP="00876EDC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12CC475D" w14:textId="77777777" w:rsidR="00876EDC" w:rsidRPr="0004420D" w:rsidRDefault="00876EDC" w:rsidP="00876EDC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ab/>
      </w:r>
      <w:r>
        <w:rPr>
          <w:rFonts w:asciiTheme="minorHAnsi" w:hAnsiTheme="minorHAnsi"/>
          <w:b w:val="0"/>
          <w:bCs/>
          <w:sz w:val="22"/>
          <w:szCs w:val="22"/>
        </w:rPr>
        <w:tab/>
      </w:r>
      <w:r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Pr="008418A1">
        <w:rPr>
          <w:rFonts w:asciiTheme="minorHAnsi" w:hAnsiTheme="minorHAnsi"/>
          <w:sz w:val="22"/>
          <w:szCs w:val="22"/>
        </w:rPr>
        <w:t>nájemce</w:t>
      </w:r>
      <w:r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41DA7F45" w14:textId="77777777" w:rsidR="00876EDC" w:rsidRDefault="00876EDC" w:rsidP="00876EDC"/>
    <w:p w14:paraId="765154A7" w14:textId="78845A4A" w:rsidR="00876EDC" w:rsidRDefault="00876EDC" w:rsidP="00876EDC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>
        <w:rPr>
          <w:rFonts w:ascii="Calibri" w:hAnsi="Calibri" w:cs="Calibri"/>
          <w:sz w:val="22"/>
          <w:szCs w:val="22"/>
        </w:rPr>
        <w:t>11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 podnikání a nájmu movitých věcí ze dne 26. 6. 2017:</w:t>
      </w:r>
    </w:p>
    <w:p w14:paraId="6FD5DFC4" w14:textId="77777777" w:rsidR="00A516A2" w:rsidRDefault="00A516A2" w:rsidP="00876EDC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3779D8F0" w14:textId="6CE03172" w:rsidR="00876EDC" w:rsidRPr="006B2097" w:rsidRDefault="00876EDC" w:rsidP="00876EDC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58844128" w14:textId="77777777" w:rsidR="00876EDC" w:rsidRPr="006B2097" w:rsidRDefault="00876EDC" w:rsidP="00876E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63F39FD9" w14:textId="112B6E4A" w:rsidR="00876EDC" w:rsidRPr="00A516A2" w:rsidRDefault="00876EDC" w:rsidP="00A516A2">
      <w:pPr>
        <w:numPr>
          <w:ilvl w:val="0"/>
          <w:numId w:val="1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 č. 2, dodatkem č. 3, dodatkem č. 4, dodatkem č. 5, dodatkem č. 6, dodatkem č. 7, dodatkem č. 8, dodatkem č. 9 a dodatkem č. 10 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</w:t>
      </w:r>
      <w:r>
        <w:rPr>
          <w:rFonts w:cs="Arial"/>
        </w:rPr>
        <w:t> </w:t>
      </w:r>
      <w:r w:rsidRPr="00B87610">
        <w:rPr>
          <w:rFonts w:cs="Arial"/>
        </w:rPr>
        <w:t>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  <w:r>
        <w:rPr>
          <w:rFonts w:cs="Arial"/>
        </w:rPr>
        <w:t xml:space="preserve"> </w:t>
      </w:r>
    </w:p>
    <w:p w14:paraId="321D68AB" w14:textId="456A7D89" w:rsidR="00876EDC" w:rsidRPr="00A516A2" w:rsidRDefault="00876EDC" w:rsidP="00A516A2">
      <w:pPr>
        <w:numPr>
          <w:ilvl w:val="0"/>
          <w:numId w:val="1"/>
        </w:numPr>
        <w:spacing w:after="120"/>
        <w:ind w:left="1066" w:hanging="357"/>
        <w:jc w:val="both"/>
        <w:rPr>
          <w:rFonts w:cs="Arial"/>
        </w:rPr>
      </w:pPr>
      <w:r w:rsidRPr="006A4829">
        <w:rPr>
          <w:rFonts w:cs="Arial"/>
        </w:rPr>
        <w:t xml:space="preserve">Pronajímatel </w:t>
      </w:r>
      <w:r w:rsidRPr="003E17A2">
        <w:rPr>
          <w:rFonts w:cs="Arial"/>
        </w:rPr>
        <w:t>přenechal na základě Smlouvy o nájmu nájemci k užívání prostory sloužící podnikání za účelem provozování divadelní kavárny</w:t>
      </w:r>
      <w:r>
        <w:rPr>
          <w:rFonts w:cs="Arial"/>
        </w:rPr>
        <w:t xml:space="preserve"> a související movité věci</w:t>
      </w:r>
      <w:r w:rsidRPr="003E17A2">
        <w:rPr>
          <w:rFonts w:cs="Arial"/>
        </w:rPr>
        <w:t>.</w:t>
      </w:r>
      <w:r>
        <w:rPr>
          <w:rFonts w:cs="Arial"/>
        </w:rPr>
        <w:t xml:space="preserve">   </w:t>
      </w:r>
    </w:p>
    <w:p w14:paraId="36191A67" w14:textId="6C4DE4D5" w:rsidR="00876EDC" w:rsidRDefault="00876EDC" w:rsidP="00876EDC">
      <w:pPr>
        <w:numPr>
          <w:ilvl w:val="0"/>
          <w:numId w:val="1"/>
        </w:numPr>
        <w:spacing w:after="0"/>
        <w:contextualSpacing/>
        <w:jc w:val="both"/>
        <w:rPr>
          <w:rFonts w:cs="Arial"/>
        </w:rPr>
      </w:pPr>
      <w:r>
        <w:rPr>
          <w:rFonts w:cs="Arial"/>
        </w:rPr>
        <w:t>Vzhledem</w:t>
      </w:r>
      <w:r w:rsidR="00D96019">
        <w:rPr>
          <w:rFonts w:cs="Arial"/>
        </w:rPr>
        <w:t xml:space="preserve"> k</w:t>
      </w:r>
      <w:r>
        <w:rPr>
          <w:rFonts w:cs="Arial"/>
        </w:rPr>
        <w:t xml:space="preserve"> důsledkům trvající </w:t>
      </w:r>
      <w:r>
        <w:t xml:space="preserve">pandemie onemocnění COVID-19 </w:t>
      </w:r>
      <w:r w:rsidR="00D96019">
        <w:t>a s tím souvisejícím dodatečným omezením provozu divadla se smluvní strany dohodly na přerušení nájmu za podmínek stanovených v t</w:t>
      </w:r>
      <w:r w:rsidR="00A57C7A">
        <w:t>om</w:t>
      </w:r>
      <w:r w:rsidR="00D96019">
        <w:t xml:space="preserve">to </w:t>
      </w:r>
      <w:r w:rsidR="00A57C7A">
        <w:t>dodatku</w:t>
      </w:r>
      <w:r w:rsidR="00D96019">
        <w:t>, to vše při zohlednění smyslu a účelu nájmu, který je úzce spjat právě s provozem divadla a jeho návštěvností.</w:t>
      </w:r>
    </w:p>
    <w:p w14:paraId="28AC5AC8" w14:textId="77777777" w:rsidR="00F04D45" w:rsidRDefault="00F04D45" w:rsidP="00876EDC">
      <w:pPr>
        <w:spacing w:after="0"/>
        <w:ind w:left="1068"/>
        <w:contextualSpacing/>
        <w:jc w:val="both"/>
        <w:rPr>
          <w:rFonts w:cs="Arial"/>
        </w:rPr>
      </w:pPr>
    </w:p>
    <w:p w14:paraId="752F590D" w14:textId="77777777" w:rsidR="00876EDC" w:rsidRPr="004F00DC" w:rsidRDefault="00876EDC" w:rsidP="00876EDC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3478472D" w14:textId="77777777" w:rsidR="00876EDC" w:rsidRPr="004F00DC" w:rsidRDefault="00876EDC" w:rsidP="00876E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5174BBEB" w14:textId="2E387D76" w:rsidR="00876EDC" w:rsidRPr="00A516A2" w:rsidRDefault="00876EDC" w:rsidP="00A516A2">
      <w:pPr>
        <w:numPr>
          <w:ilvl w:val="0"/>
          <w:numId w:val="2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 w:rsidRPr="00DC7AD0">
        <w:rPr>
          <w:rFonts w:asciiTheme="minorHAnsi" w:eastAsia="Times New Roman" w:hAnsiTheme="minorHAnsi"/>
          <w:lang w:eastAsia="cs-CZ"/>
        </w:rPr>
        <w:t>Smluvní strany se dohodly, že</w:t>
      </w:r>
      <w:r>
        <w:rPr>
          <w:rFonts w:asciiTheme="minorHAnsi" w:eastAsia="Times New Roman" w:hAnsiTheme="minorHAnsi"/>
          <w:lang w:eastAsia="cs-CZ"/>
        </w:rPr>
        <w:t xml:space="preserve"> s účinností od</w:t>
      </w:r>
      <w:r w:rsidR="005B1695">
        <w:rPr>
          <w:rFonts w:asciiTheme="minorHAnsi" w:eastAsia="Times New Roman" w:hAnsiTheme="minorHAnsi"/>
          <w:lang w:eastAsia="cs-CZ"/>
        </w:rPr>
        <w:t xml:space="preserve"> 11. 10. 2020</w:t>
      </w:r>
      <w:r>
        <w:rPr>
          <w:rFonts w:asciiTheme="minorHAnsi" w:eastAsia="Times New Roman" w:hAnsiTheme="minorHAnsi"/>
          <w:lang w:eastAsia="cs-CZ"/>
        </w:rPr>
        <w:t xml:space="preserve"> se </w:t>
      </w:r>
      <w:r w:rsidR="00F04D45">
        <w:rPr>
          <w:rFonts w:asciiTheme="minorHAnsi" w:eastAsia="Times New Roman" w:hAnsiTheme="minorHAnsi"/>
          <w:lang w:eastAsia="cs-CZ"/>
        </w:rPr>
        <w:t>nájem nemovitých a movitých věcí ve smyslu Smlouvy o nájmu</w:t>
      </w:r>
      <w:r w:rsidR="000D13AE">
        <w:rPr>
          <w:rFonts w:asciiTheme="minorHAnsi" w:eastAsia="Times New Roman" w:hAnsiTheme="minorHAnsi"/>
          <w:lang w:eastAsia="cs-CZ"/>
        </w:rPr>
        <w:t xml:space="preserve"> (dále jen „</w:t>
      </w:r>
      <w:r w:rsidR="000D13AE" w:rsidRPr="000D13AE">
        <w:rPr>
          <w:rFonts w:asciiTheme="minorHAnsi" w:eastAsia="Times New Roman" w:hAnsiTheme="minorHAnsi"/>
          <w:b/>
          <w:bCs/>
          <w:lang w:eastAsia="cs-CZ"/>
        </w:rPr>
        <w:t>předmět nájmu</w:t>
      </w:r>
      <w:r w:rsidR="000D13AE">
        <w:rPr>
          <w:rFonts w:asciiTheme="minorHAnsi" w:eastAsia="Times New Roman" w:hAnsiTheme="minorHAnsi"/>
          <w:lang w:eastAsia="cs-CZ"/>
        </w:rPr>
        <w:t>“)</w:t>
      </w:r>
      <w:r w:rsidR="00F04D45">
        <w:rPr>
          <w:rFonts w:asciiTheme="minorHAnsi" w:eastAsia="Times New Roman" w:hAnsiTheme="minorHAnsi"/>
          <w:lang w:eastAsia="cs-CZ"/>
        </w:rPr>
        <w:t xml:space="preserve"> přerušuje</w:t>
      </w:r>
      <w:r>
        <w:rPr>
          <w:rFonts w:asciiTheme="minorHAnsi" w:eastAsia="Times New Roman" w:hAnsiTheme="minorHAnsi"/>
          <w:lang w:eastAsia="cs-CZ"/>
        </w:rPr>
        <w:t xml:space="preserve">. </w:t>
      </w:r>
      <w:r w:rsidR="000D13AE">
        <w:rPr>
          <w:rFonts w:asciiTheme="minorHAnsi" w:eastAsia="Times New Roman" w:hAnsiTheme="minorHAnsi"/>
          <w:lang w:eastAsia="cs-CZ"/>
        </w:rPr>
        <w:t>Nájemce předá pronajímateli předmět nájmu</w:t>
      </w:r>
      <w:r w:rsidR="00AE013C">
        <w:rPr>
          <w:rFonts w:asciiTheme="minorHAnsi" w:eastAsia="Times New Roman" w:hAnsiTheme="minorHAnsi"/>
          <w:lang w:eastAsia="cs-CZ"/>
        </w:rPr>
        <w:t xml:space="preserve"> ke dni, který je uveden </w:t>
      </w:r>
      <w:r w:rsidR="000D13AE">
        <w:rPr>
          <w:rFonts w:asciiTheme="minorHAnsi" w:eastAsia="Times New Roman" w:hAnsiTheme="minorHAnsi"/>
          <w:lang w:eastAsia="cs-CZ"/>
        </w:rPr>
        <w:t xml:space="preserve">v předchozí větě. </w:t>
      </w:r>
    </w:p>
    <w:p w14:paraId="204324B5" w14:textId="281811B9" w:rsidR="000D13AE" w:rsidRPr="005B1695" w:rsidRDefault="00876EDC" w:rsidP="00A516A2">
      <w:pPr>
        <w:numPr>
          <w:ilvl w:val="0"/>
          <w:numId w:val="2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 w:rsidRPr="005B1695">
        <w:rPr>
          <w:rFonts w:asciiTheme="minorHAnsi" w:eastAsia="Times New Roman" w:hAnsiTheme="minorHAnsi"/>
          <w:lang w:eastAsia="cs-CZ"/>
        </w:rPr>
        <w:t xml:space="preserve">Nájemce </w:t>
      </w:r>
      <w:r w:rsidR="00F04D45" w:rsidRPr="005B1695">
        <w:rPr>
          <w:rFonts w:asciiTheme="minorHAnsi" w:eastAsia="Times New Roman" w:hAnsiTheme="minorHAnsi"/>
          <w:lang w:eastAsia="cs-CZ"/>
        </w:rPr>
        <w:t xml:space="preserve">nebude po dobu přerušení nájmu </w:t>
      </w:r>
      <w:r w:rsidR="00DB0256" w:rsidRPr="005B1695">
        <w:rPr>
          <w:rFonts w:asciiTheme="minorHAnsi" w:eastAsia="Times New Roman" w:hAnsiTheme="minorHAnsi"/>
          <w:lang w:eastAsia="cs-CZ"/>
        </w:rPr>
        <w:t>předmět nájmu užívat</w:t>
      </w:r>
      <w:r w:rsidRPr="005B1695">
        <w:rPr>
          <w:rFonts w:asciiTheme="minorHAnsi" w:eastAsia="Times New Roman" w:hAnsiTheme="minorHAnsi"/>
          <w:lang w:eastAsia="cs-CZ"/>
        </w:rPr>
        <w:t xml:space="preserve">. </w:t>
      </w:r>
    </w:p>
    <w:p w14:paraId="489B48B3" w14:textId="6C8B37EB" w:rsidR="00876EDC" w:rsidRPr="005B1695" w:rsidRDefault="00DB0256" w:rsidP="00A516A2">
      <w:pPr>
        <w:numPr>
          <w:ilvl w:val="0"/>
          <w:numId w:val="2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 w:rsidRPr="005B1695">
        <w:rPr>
          <w:rFonts w:asciiTheme="minorHAnsi" w:eastAsia="Times New Roman" w:hAnsiTheme="minorHAnsi"/>
          <w:lang w:eastAsia="cs-CZ"/>
        </w:rPr>
        <w:t>Nájemce nebude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 za období od </w:t>
      </w:r>
      <w:r w:rsidR="005B1695" w:rsidRPr="005B1695">
        <w:rPr>
          <w:rFonts w:asciiTheme="minorHAnsi" w:eastAsia="Times New Roman" w:hAnsiTheme="minorHAnsi"/>
          <w:lang w:eastAsia="cs-CZ"/>
        </w:rPr>
        <w:t>11. 10. 2020</w:t>
      </w:r>
      <w:r w:rsidR="00AE013C" w:rsidRPr="005B1695">
        <w:rPr>
          <w:rFonts w:asciiTheme="minorHAnsi" w:eastAsia="Times New Roman" w:hAnsiTheme="minorHAnsi"/>
          <w:lang w:eastAsia="cs-CZ"/>
        </w:rPr>
        <w:t>… do obnovení</w:t>
      </w:r>
      <w:r w:rsidRPr="005B1695">
        <w:rPr>
          <w:rFonts w:asciiTheme="minorHAnsi" w:eastAsia="Times New Roman" w:hAnsiTheme="minorHAnsi"/>
          <w:lang w:eastAsia="cs-CZ"/>
        </w:rPr>
        <w:t xml:space="preserve"> nájmu hradit nájemné ani žádné služby </w:t>
      </w:r>
      <w:r w:rsidR="000D13AE" w:rsidRPr="005B1695">
        <w:rPr>
          <w:rFonts w:asciiTheme="minorHAnsi" w:eastAsia="Times New Roman" w:hAnsiTheme="minorHAnsi"/>
          <w:lang w:eastAsia="cs-CZ"/>
        </w:rPr>
        <w:t>spojené s nájmem (</w:t>
      </w:r>
      <w:r w:rsidR="00FB1884" w:rsidRPr="005B1695">
        <w:rPr>
          <w:rFonts w:asciiTheme="minorHAnsi" w:eastAsia="Times New Roman" w:hAnsiTheme="minorHAnsi"/>
          <w:lang w:eastAsia="cs-CZ"/>
        </w:rPr>
        <w:t xml:space="preserve">zejména </w:t>
      </w:r>
      <w:r w:rsidR="000D13AE" w:rsidRPr="005B1695">
        <w:rPr>
          <w:rFonts w:asciiTheme="minorHAnsi" w:eastAsia="Times New Roman" w:hAnsiTheme="minorHAnsi"/>
          <w:lang w:eastAsia="cs-CZ"/>
        </w:rPr>
        <w:t>dodávka teplé vody, dodávky tepla v topné sezóně, pravidelný odvoz tuhého domovního odpadu, vodné a stočné a dodávku elektrické energie)</w:t>
      </w:r>
      <w:r w:rsidRPr="005B1695">
        <w:rPr>
          <w:rFonts w:asciiTheme="minorHAnsi" w:eastAsia="Times New Roman" w:hAnsiTheme="minorHAnsi"/>
          <w:lang w:eastAsia="cs-CZ"/>
        </w:rPr>
        <w:t xml:space="preserve">.    </w:t>
      </w:r>
    </w:p>
    <w:p w14:paraId="4317FC08" w14:textId="4CB99B75" w:rsidR="00E47895" w:rsidRPr="00A516A2" w:rsidRDefault="000D13AE" w:rsidP="00A516A2">
      <w:pPr>
        <w:numPr>
          <w:ilvl w:val="0"/>
          <w:numId w:val="2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 w:rsidRPr="005B1695">
        <w:rPr>
          <w:rFonts w:asciiTheme="minorHAnsi" w:eastAsia="Times New Roman" w:hAnsiTheme="minorHAnsi"/>
          <w:lang w:eastAsia="cs-CZ"/>
        </w:rPr>
        <w:t xml:space="preserve">Nájem </w:t>
      </w:r>
      <w:r w:rsidR="00FB1884" w:rsidRPr="005B1695">
        <w:rPr>
          <w:rFonts w:asciiTheme="minorHAnsi" w:eastAsia="Times New Roman" w:hAnsiTheme="minorHAnsi"/>
          <w:lang w:eastAsia="cs-CZ"/>
        </w:rPr>
        <w:t>předmětu nájmu</w:t>
      </w:r>
      <w:r w:rsidRPr="005B1695">
        <w:rPr>
          <w:rFonts w:asciiTheme="minorHAnsi" w:eastAsia="Times New Roman" w:hAnsiTheme="minorHAnsi"/>
          <w:lang w:eastAsia="cs-CZ"/>
        </w:rPr>
        <w:t xml:space="preserve"> se obnovuje za podmínek stanovených v tomto odstavci.</w:t>
      </w:r>
      <w:r w:rsidR="00F04D45" w:rsidRPr="005B1695">
        <w:rPr>
          <w:rFonts w:asciiTheme="minorHAnsi" w:eastAsia="Times New Roman" w:hAnsiTheme="minorHAnsi"/>
          <w:lang w:eastAsia="cs-CZ"/>
        </w:rPr>
        <w:t xml:space="preserve"> </w:t>
      </w:r>
      <w:r w:rsidRPr="005B1695">
        <w:rPr>
          <w:rFonts w:asciiTheme="minorHAnsi" w:eastAsia="Times New Roman" w:hAnsiTheme="minorHAnsi"/>
          <w:lang w:eastAsia="cs-CZ"/>
        </w:rPr>
        <w:t xml:space="preserve">Pronajímatel 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i nájemce mají právo svým jednostranným </w:t>
      </w:r>
      <w:r w:rsidR="00DC24EA" w:rsidRPr="005B1695">
        <w:rPr>
          <w:rFonts w:asciiTheme="minorHAnsi" w:eastAsia="Times New Roman" w:hAnsiTheme="minorHAnsi"/>
          <w:lang w:eastAsia="cs-CZ"/>
        </w:rPr>
        <w:t>písemným oznámením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 doručeným druhé smluvní straně obnovit nájem s tím, že nájem se obnov</w:t>
      </w:r>
      <w:r w:rsidR="00FB1884" w:rsidRPr="005B1695">
        <w:rPr>
          <w:rFonts w:asciiTheme="minorHAnsi" w:eastAsia="Times New Roman" w:hAnsiTheme="minorHAnsi"/>
          <w:lang w:eastAsia="cs-CZ"/>
        </w:rPr>
        <w:t>uje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 </w:t>
      </w:r>
      <w:r w:rsidR="00237358" w:rsidRPr="005B1695">
        <w:rPr>
          <w:rFonts w:asciiTheme="minorHAnsi" w:eastAsia="Times New Roman" w:hAnsiTheme="minorHAnsi"/>
          <w:lang w:eastAsia="cs-CZ"/>
        </w:rPr>
        <w:t>od třetího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 dn</w:t>
      </w:r>
      <w:r w:rsidR="00237358" w:rsidRPr="005B1695">
        <w:rPr>
          <w:rFonts w:asciiTheme="minorHAnsi" w:eastAsia="Times New Roman" w:hAnsiTheme="minorHAnsi"/>
          <w:lang w:eastAsia="cs-CZ"/>
        </w:rPr>
        <w:t>e</w:t>
      </w:r>
      <w:r w:rsidR="00AE013C" w:rsidRPr="005B1695">
        <w:rPr>
          <w:rFonts w:asciiTheme="minorHAnsi" w:eastAsia="Times New Roman" w:hAnsiTheme="minorHAnsi"/>
          <w:lang w:eastAsia="cs-CZ"/>
        </w:rPr>
        <w:t xml:space="preserve"> po doručení</w:t>
      </w:r>
      <w:r w:rsidR="00AE013C">
        <w:rPr>
          <w:rFonts w:asciiTheme="minorHAnsi" w:eastAsia="Times New Roman" w:hAnsiTheme="minorHAnsi"/>
          <w:lang w:eastAsia="cs-CZ"/>
        </w:rPr>
        <w:t xml:space="preserve"> oznámení druhé smluvní straně. Pronajímatel předá nájemci předmět nájmu</w:t>
      </w:r>
      <w:r w:rsidR="00237358">
        <w:rPr>
          <w:rFonts w:asciiTheme="minorHAnsi" w:eastAsia="Times New Roman" w:hAnsiTheme="minorHAnsi"/>
          <w:lang w:eastAsia="cs-CZ"/>
        </w:rPr>
        <w:t xml:space="preserve"> a</w:t>
      </w:r>
      <w:r w:rsidR="00DC24EA">
        <w:rPr>
          <w:rFonts w:asciiTheme="minorHAnsi" w:eastAsia="Times New Roman" w:hAnsiTheme="minorHAnsi"/>
          <w:lang w:eastAsia="cs-CZ"/>
        </w:rPr>
        <w:t> </w:t>
      </w:r>
      <w:r w:rsidR="00237358">
        <w:rPr>
          <w:rFonts w:asciiTheme="minorHAnsi" w:eastAsia="Times New Roman" w:hAnsiTheme="minorHAnsi"/>
          <w:lang w:eastAsia="cs-CZ"/>
        </w:rPr>
        <w:t xml:space="preserve">nájemce tento předmět nájmu převezme </w:t>
      </w:r>
      <w:r w:rsidR="00AE013C">
        <w:rPr>
          <w:rFonts w:asciiTheme="minorHAnsi" w:eastAsia="Times New Roman" w:hAnsiTheme="minorHAnsi"/>
          <w:lang w:eastAsia="cs-CZ"/>
        </w:rPr>
        <w:t>v termínu stanoveném v předchozí větě. Nájem bude obnoven za podmínek stanovených ve Smlouvě o nájmu (ve znění pozdějších dodatků).</w:t>
      </w:r>
    </w:p>
    <w:p w14:paraId="3DF835C5" w14:textId="3B96C2C3" w:rsidR="00876EDC" w:rsidRPr="00E47895" w:rsidRDefault="00E47895" w:rsidP="00A516A2">
      <w:pPr>
        <w:numPr>
          <w:ilvl w:val="0"/>
          <w:numId w:val="2"/>
        </w:numPr>
        <w:spacing w:after="120"/>
        <w:ind w:left="1066" w:hanging="357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Nájem může být obnoven za podmínek stanovených v odst. 4 tohoto dodatku kdykoliv v průběhu trvání Smlouvy o nájmu. Podmínky ukončení Smlouvy o nájmu zůstávají nedotčeny.</w:t>
      </w:r>
    </w:p>
    <w:p w14:paraId="699C76FA" w14:textId="70ADB3C0" w:rsidR="00AE013C" w:rsidRDefault="00AE013C" w:rsidP="00AE013C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39A890D0" w14:textId="77777777" w:rsidR="00876EDC" w:rsidRPr="004F00DC" w:rsidRDefault="00876EDC" w:rsidP="00876EDC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12C8405A" w14:textId="77777777" w:rsidR="00876EDC" w:rsidRPr="00014824" w:rsidRDefault="00876EDC" w:rsidP="00876E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Ostatní a závěrečná ustanovení</w:t>
      </w:r>
    </w:p>
    <w:p w14:paraId="2BBB6A78" w14:textId="5D8E39CF" w:rsidR="00876EDC" w:rsidRPr="00A516A2" w:rsidRDefault="00876EDC" w:rsidP="00A516A2">
      <w:pPr>
        <w:numPr>
          <w:ilvl w:val="0"/>
          <w:numId w:val="3"/>
        </w:numPr>
        <w:spacing w:after="120"/>
        <w:ind w:left="1066" w:hanging="357"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52121219" w14:textId="4DCB079E" w:rsidR="00876EDC" w:rsidRPr="00A516A2" w:rsidRDefault="00876EDC" w:rsidP="00A516A2">
      <w:pPr>
        <w:numPr>
          <w:ilvl w:val="0"/>
          <w:numId w:val="3"/>
        </w:numPr>
        <w:spacing w:after="120"/>
        <w:ind w:left="1066" w:hanging="357"/>
        <w:jc w:val="both"/>
        <w:rPr>
          <w:rFonts w:asciiTheme="minorHAnsi" w:hAnsiTheme="minorHAnsi"/>
          <w:sz w:val="16"/>
          <w:szCs w:val="16"/>
        </w:rPr>
      </w:pPr>
      <w:r w:rsidRPr="00130E6A">
        <w:rPr>
          <w:rFonts w:asciiTheme="minorHAnsi" w:hAnsiTheme="minorHAnsi"/>
        </w:rPr>
        <w:t xml:space="preserve">Smluvní strany se </w:t>
      </w:r>
      <w:r>
        <w:rPr>
          <w:rFonts w:asciiTheme="minorHAnsi" w:hAnsiTheme="minorHAnsi"/>
        </w:rPr>
        <w:t>na závěr dohodly, že po skončení období pandemické nejistoty, nejpozději však k 1. 10. 2021, bezodkladně vstoupí do jednání ohledně nastavení smluvních podmínek nájmu tak, aby tyto reflektovaly svým principem původní smluvní podmínky.</w:t>
      </w:r>
    </w:p>
    <w:p w14:paraId="1A4D38A7" w14:textId="3AD0BFAE" w:rsidR="00876EDC" w:rsidRPr="00AE013C" w:rsidRDefault="00876EDC" w:rsidP="00A516A2">
      <w:pPr>
        <w:numPr>
          <w:ilvl w:val="0"/>
          <w:numId w:val="3"/>
        </w:numPr>
        <w:spacing w:after="120"/>
        <w:ind w:left="1066" w:hanging="357"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75565392" w14:textId="77777777" w:rsidR="00AE013C" w:rsidRPr="0004420D" w:rsidRDefault="00AE013C" w:rsidP="00AE013C">
      <w:p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EDC" w:rsidRPr="004D7501" w14:paraId="5F4D2C37" w14:textId="77777777" w:rsidTr="0042762F">
        <w:tc>
          <w:tcPr>
            <w:tcW w:w="4531" w:type="dxa"/>
          </w:tcPr>
          <w:p w14:paraId="05052878" w14:textId="77777777" w:rsidR="00876EDC" w:rsidRPr="004D7501" w:rsidRDefault="00876EDC" w:rsidP="0042762F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31EE2503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</w:p>
          <w:p w14:paraId="180EBE62" w14:textId="3FBFF6DE" w:rsidR="00876EDC" w:rsidRPr="004D7501" w:rsidRDefault="00876EDC" w:rsidP="005B1695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5B1695">
              <w:rPr>
                <w:rFonts w:cs="Arial"/>
              </w:rPr>
              <w:t>11. 10. 2020</w:t>
            </w:r>
          </w:p>
        </w:tc>
        <w:tc>
          <w:tcPr>
            <w:tcW w:w="4531" w:type="dxa"/>
          </w:tcPr>
          <w:p w14:paraId="08AA645C" w14:textId="77777777" w:rsidR="00876EDC" w:rsidRPr="004D7501" w:rsidRDefault="00876EDC" w:rsidP="0042762F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BD8DE17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</w:p>
          <w:p w14:paraId="19CCC278" w14:textId="69CB8526" w:rsidR="00876EDC" w:rsidRPr="004D7501" w:rsidRDefault="00876EDC" w:rsidP="005B1695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</w:t>
            </w:r>
            <w:r w:rsidR="005B1695">
              <w:rPr>
                <w:rFonts w:cs="Arial"/>
              </w:rPr>
              <w:t xml:space="preserve"> 11. 10.2020</w:t>
            </w:r>
          </w:p>
        </w:tc>
      </w:tr>
      <w:tr w:rsidR="00876EDC" w:rsidRPr="004D7501" w14:paraId="6817EF26" w14:textId="77777777" w:rsidTr="0042762F">
        <w:tc>
          <w:tcPr>
            <w:tcW w:w="4531" w:type="dxa"/>
          </w:tcPr>
          <w:p w14:paraId="2EA623C8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</w:p>
          <w:p w14:paraId="37204178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</w:p>
          <w:p w14:paraId="6B7C69E3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1EF72CBE" w14:textId="77777777" w:rsidR="00876EDC" w:rsidRPr="004D7501" w:rsidRDefault="00876EDC" w:rsidP="0042762F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0B7C317E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368378A7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</w:p>
          <w:p w14:paraId="6CB87C40" w14:textId="77777777" w:rsidR="00876EDC" w:rsidRDefault="00876EDC" w:rsidP="0042762F">
            <w:pPr>
              <w:spacing w:after="0"/>
              <w:rPr>
                <w:rFonts w:cs="Arial"/>
              </w:rPr>
            </w:pPr>
          </w:p>
          <w:p w14:paraId="6061D37A" w14:textId="77777777" w:rsidR="00876EDC" w:rsidRPr="004D7501" w:rsidRDefault="00876EDC" w:rsidP="0042762F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3FAD05B" w14:textId="77777777" w:rsidR="00876EDC" w:rsidRPr="004D7501" w:rsidRDefault="00876EDC" w:rsidP="0042762F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508C573E" w14:textId="77777777" w:rsidR="00057297" w:rsidRDefault="003130C1" w:rsidP="00AE013C"/>
    <w:sectPr w:rsidR="00057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C56F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D814" w16cex:dateUtc="2020-10-30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C56F25" w16cid:durableId="2346D8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A5EDA" w14:textId="77777777" w:rsidR="00C70547" w:rsidRDefault="00C70547">
      <w:pPr>
        <w:spacing w:after="0" w:line="240" w:lineRule="auto"/>
      </w:pPr>
      <w:r>
        <w:separator/>
      </w:r>
    </w:p>
  </w:endnote>
  <w:endnote w:type="continuationSeparator" w:id="0">
    <w:p w14:paraId="709ACF93" w14:textId="77777777" w:rsidR="00C70547" w:rsidRDefault="00C7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44DD" w14:textId="77777777" w:rsidR="001F4E1D" w:rsidRDefault="009D3EE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30C1">
      <w:rPr>
        <w:noProof/>
      </w:rPr>
      <w:t>2</w:t>
    </w:r>
    <w:r>
      <w:rPr>
        <w:noProof/>
      </w:rPr>
      <w:fldChar w:fldCharType="end"/>
    </w:r>
  </w:p>
  <w:p w14:paraId="74F2CB97" w14:textId="77777777" w:rsidR="001F4E1D" w:rsidRDefault="00313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BEA8" w14:textId="77777777" w:rsidR="00C70547" w:rsidRDefault="00C70547">
      <w:pPr>
        <w:spacing w:after="0" w:line="240" w:lineRule="auto"/>
      </w:pPr>
      <w:r>
        <w:separator/>
      </w:r>
    </w:p>
  </w:footnote>
  <w:footnote w:type="continuationSeparator" w:id="0">
    <w:p w14:paraId="4B83905A" w14:textId="77777777" w:rsidR="00C70547" w:rsidRDefault="00C7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relička &amp; Partners, advokátní kancelář, s.r.o.">
    <w15:presenceInfo w15:providerId="None" w15:userId="Strelička &amp; Partners, advokátní kancelář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C"/>
    <w:rsid w:val="000A4B2F"/>
    <w:rsid w:val="000D13AE"/>
    <w:rsid w:val="00237358"/>
    <w:rsid w:val="003130C1"/>
    <w:rsid w:val="003A75F3"/>
    <w:rsid w:val="003B4F8C"/>
    <w:rsid w:val="005204FC"/>
    <w:rsid w:val="005B1695"/>
    <w:rsid w:val="00870396"/>
    <w:rsid w:val="00876EDC"/>
    <w:rsid w:val="00893626"/>
    <w:rsid w:val="008F6328"/>
    <w:rsid w:val="009D3EE0"/>
    <w:rsid w:val="00A4448D"/>
    <w:rsid w:val="00A516A2"/>
    <w:rsid w:val="00A57C7A"/>
    <w:rsid w:val="00AB4105"/>
    <w:rsid w:val="00AE013C"/>
    <w:rsid w:val="00C70547"/>
    <w:rsid w:val="00D96019"/>
    <w:rsid w:val="00DB0256"/>
    <w:rsid w:val="00DC24EA"/>
    <w:rsid w:val="00E47895"/>
    <w:rsid w:val="00EE64F5"/>
    <w:rsid w:val="00F04D45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EDC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876EDC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6EDC"/>
    <w:rPr>
      <w:rFonts w:ascii="Arial" w:eastAsia="Times New Roman" w:hAnsi="Arial" w:cs="Times New Roman"/>
      <w:b/>
      <w:sz w:val="24"/>
      <w:szCs w:val="20"/>
    </w:rPr>
  </w:style>
  <w:style w:type="paragraph" w:customStyle="1" w:styleId="VZORK">
    <w:name w:val="VZOR_K_§"/>
    <w:basedOn w:val="Normln"/>
    <w:uiPriority w:val="99"/>
    <w:rsid w:val="00876EDC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DATUM">
    <w:name w:val="DATUM"/>
    <w:basedOn w:val="Normln"/>
    <w:uiPriority w:val="99"/>
    <w:rsid w:val="00876EDC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6E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76ED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6EDC"/>
    <w:pPr>
      <w:ind w:left="720"/>
      <w:contextualSpacing/>
    </w:pPr>
  </w:style>
  <w:style w:type="table" w:styleId="Mkatabulky">
    <w:name w:val="Table Grid"/>
    <w:basedOn w:val="Normlntabulka"/>
    <w:uiPriority w:val="39"/>
    <w:rsid w:val="0087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75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5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5F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5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5F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5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EDC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876EDC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6EDC"/>
    <w:rPr>
      <w:rFonts w:ascii="Arial" w:eastAsia="Times New Roman" w:hAnsi="Arial" w:cs="Times New Roman"/>
      <w:b/>
      <w:sz w:val="24"/>
      <w:szCs w:val="20"/>
    </w:rPr>
  </w:style>
  <w:style w:type="paragraph" w:customStyle="1" w:styleId="VZORK">
    <w:name w:val="VZOR_K_§"/>
    <w:basedOn w:val="Normln"/>
    <w:uiPriority w:val="99"/>
    <w:rsid w:val="00876EDC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DATUM">
    <w:name w:val="DATUM"/>
    <w:basedOn w:val="Normln"/>
    <w:uiPriority w:val="99"/>
    <w:rsid w:val="00876EDC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6E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76ED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6EDC"/>
    <w:pPr>
      <w:ind w:left="720"/>
      <w:contextualSpacing/>
    </w:pPr>
  </w:style>
  <w:style w:type="table" w:styleId="Mkatabulky">
    <w:name w:val="Table Grid"/>
    <w:basedOn w:val="Normlntabulka"/>
    <w:uiPriority w:val="39"/>
    <w:rsid w:val="0087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75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5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5F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5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5F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2</cp:revision>
  <dcterms:created xsi:type="dcterms:W3CDTF">2020-11-03T14:32:00Z</dcterms:created>
  <dcterms:modified xsi:type="dcterms:W3CDTF">2020-11-03T14:32:00Z</dcterms:modified>
</cp:coreProperties>
</file>