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3F" w:rsidRDefault="007020D2">
      <w:pPr>
        <w:pStyle w:val="Zkladntext1"/>
        <w:shd w:val="clear" w:color="auto" w:fill="auto"/>
        <w:spacing w:after="200" w:line="240" w:lineRule="auto"/>
      </w:pPr>
      <w:r>
        <w:t>Smluvní strany</w: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rPr>
          <w:b/>
          <w:bCs/>
        </w:rPr>
        <w:t xml:space="preserve">Národní památkový ústav, </w:t>
      </w:r>
      <w:r>
        <w:t>státní příspěvková organizace sídlem: Valdštejnské náměstí 3, čp. 162, Praha 1, PSČ 118 01 IČO: 75032333</w: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t>DIČ: CZ75032333</w: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t>Zastoupený: Ing. arch. Naděžda Goryczková, generální ředitelka</w: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t xml:space="preserve">Bankovní spojení: </w:t>
      </w:r>
      <w:r>
        <w:rPr>
          <w:color w:val="1D1D1D"/>
        </w:rPr>
        <w:t>60039011/0710</w:t>
      </w:r>
    </w:p>
    <w:p w:rsidR="0064163F" w:rsidRDefault="007020D2">
      <w:pPr>
        <w:pStyle w:val="Zkladntext1"/>
        <w:shd w:val="clear" w:color="auto" w:fill="auto"/>
        <w:spacing w:after="200" w:line="226" w:lineRule="auto"/>
      </w:pPr>
      <w:r>
        <w:t>(dále jen „</w:t>
      </w:r>
      <w:r>
        <w:rPr>
          <w:b/>
          <w:bCs/>
        </w:rPr>
        <w:t>Objednatel</w:t>
      </w:r>
      <w:r>
        <w:t xml:space="preserve">“ nebo </w:t>
      </w:r>
      <w:r>
        <w:rPr>
          <w:b/>
          <w:bCs/>
        </w:rPr>
        <w:t>„NPÚ“</w:t>
      </w:r>
      <w:r>
        <w:t>)</w:t>
      </w:r>
    </w:p>
    <w:p w:rsidR="0064163F" w:rsidRDefault="007020D2">
      <w:pPr>
        <w:pStyle w:val="Zkladntext1"/>
        <w:shd w:val="clear" w:color="auto" w:fill="auto"/>
        <w:spacing w:after="200"/>
      </w:pPr>
      <w:r>
        <w:t>a</w: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rPr>
          <w:b/>
          <w:bCs/>
        </w:rPr>
        <w:t>Futured apps s.r.o.</w: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t>sídlem: Veselá 39, Brno, PSČ 602 00</w: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t>IČO: 29280192</w: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t>DIČ: CZ29280192</w: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t>Společnost zapsaná v: Obchodním rejstříku, vedeného Krajským soudem v Brně v oddílu C, vložce číslo 70585</w: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t>Zastoupený: Lukáš Strnadel</w:t>
      </w:r>
      <w:r>
        <w:t>, jednatel</w: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t>Bankovní spojení: 9613050001/5500</w:t>
      </w:r>
    </w:p>
    <w:p w:rsidR="0064163F" w:rsidRDefault="007020D2">
      <w:pPr>
        <w:pStyle w:val="Zkladntext1"/>
        <w:shd w:val="clear" w:color="auto" w:fill="auto"/>
        <w:spacing w:after="440" w:line="226" w:lineRule="auto"/>
      </w:pPr>
      <w:r>
        <w:t>(dále jen „</w:t>
      </w:r>
      <w:r>
        <w:rPr>
          <w:b/>
          <w:bCs/>
        </w:rPr>
        <w:t>Poskytovatel</w:t>
      </w:r>
      <w:r>
        <w:t>“)</w:t>
      </w:r>
    </w:p>
    <w:p w:rsidR="0064163F" w:rsidRDefault="007020D2">
      <w:pPr>
        <w:pStyle w:val="Zkladntext1"/>
        <w:shd w:val="clear" w:color="auto" w:fill="auto"/>
        <w:spacing w:after="200"/>
      </w:pPr>
      <w:r>
        <w:t>níže uvedeného dne, měsíce a roku uzavřely tuto</w:t>
      </w:r>
    </w:p>
    <w:p w:rsidR="0064163F" w:rsidRDefault="007020D2">
      <w:pPr>
        <w:pStyle w:val="Zkladntext30"/>
        <w:shd w:val="clear" w:color="auto" w:fill="auto"/>
      </w:pPr>
      <w:r>
        <w:t>Dohodu o narovnání</w:t>
      </w:r>
    </w:p>
    <w:p w:rsidR="0064163F" w:rsidRDefault="007020D2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:rsidR="0064163F" w:rsidRDefault="007020D2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Úvodní ustanovení</w:t>
      </w:r>
    </w:p>
    <w:p w:rsidR="0064163F" w:rsidRDefault="007020D2">
      <w:pPr>
        <w:pStyle w:val="Zkladntext1"/>
        <w:numPr>
          <w:ilvl w:val="0"/>
          <w:numId w:val="1"/>
        </w:numPr>
        <w:shd w:val="clear" w:color="auto" w:fill="auto"/>
        <w:tabs>
          <w:tab w:val="left" w:pos="758"/>
        </w:tabs>
        <w:ind w:left="740" w:hanging="360"/>
        <w:jc w:val="both"/>
      </w:pPr>
      <w:r>
        <w:t xml:space="preserve">Smluvní strany prohlašují, že dne 10. 4. 2018 uzavřely Servisní smlouvu o provozní podpoře a </w:t>
      </w:r>
      <w:r>
        <w:t>rozvoji softwarového produktu Klíč k památkám, v NPÚ pod č. e.: 49/310/2018 (dále jen „Smlouva“). Dle čl. 16 odst. 1 Smlouvy byla Smlouva uzavřena na dobu určitou - 2 roky od jejího podpisu. V době uzavření této dohody již Smlouva není platná ani účinná.</w:t>
      </w:r>
    </w:p>
    <w:p w:rsidR="0064163F" w:rsidRDefault="007020D2">
      <w:pPr>
        <w:pStyle w:val="Zkladntext1"/>
        <w:numPr>
          <w:ilvl w:val="0"/>
          <w:numId w:val="1"/>
        </w:numPr>
        <w:shd w:val="clear" w:color="auto" w:fill="auto"/>
        <w:tabs>
          <w:tab w:val="left" w:pos="777"/>
        </w:tabs>
        <w:ind w:left="740" w:hanging="360"/>
        <w:jc w:val="both"/>
      </w:pPr>
      <w:r>
        <w:t>P</w:t>
      </w:r>
      <w:r>
        <w:t>ředmětem Smlouvy byl závazek Poskytovatele k poskytování servisní podpory a rozvoje Aplikačního programového vybavení Klíč k památkám a závazek Objednatele za tyto služby poskytovat odměnu.</w:t>
      </w:r>
    </w:p>
    <w:p w:rsidR="0064163F" w:rsidRDefault="007020D2">
      <w:pPr>
        <w:pStyle w:val="Zkladntext1"/>
        <w:numPr>
          <w:ilvl w:val="0"/>
          <w:numId w:val="1"/>
        </w:numPr>
        <w:shd w:val="clear" w:color="auto" w:fill="auto"/>
        <w:tabs>
          <w:tab w:val="left" w:pos="777"/>
        </w:tabs>
        <w:spacing w:after="540"/>
        <w:ind w:left="740" w:hanging="360"/>
        <w:jc w:val="both"/>
      </w:pPr>
      <w:r>
        <w:t xml:space="preserve">Ve článku 6 Smlouvy je stanoveno, že služby poskytované nad rámec </w:t>
      </w:r>
      <w:r>
        <w:t>paušálu (tzv. ad hoc) budou dle přílohy č. 1 Smlouvy a počtu hodin práce naceněny a provedeny na základě písemné objednávky.</w:t>
      </w:r>
    </w:p>
    <w:p w:rsidR="0064163F" w:rsidRDefault="007020D2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:rsidR="0064163F" w:rsidRDefault="007020D2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Účel a obsah dohody</w:t>
      </w:r>
    </w:p>
    <w:p w:rsidR="0064163F" w:rsidRDefault="007020D2">
      <w:pPr>
        <w:pStyle w:val="Zkladntext1"/>
        <w:numPr>
          <w:ilvl w:val="0"/>
          <w:numId w:val="2"/>
        </w:numPr>
        <w:shd w:val="clear" w:color="auto" w:fill="auto"/>
        <w:tabs>
          <w:tab w:val="left" w:pos="791"/>
        </w:tabs>
        <w:spacing w:after="240"/>
        <w:ind w:left="740" w:hanging="360"/>
        <w:jc w:val="both"/>
      </w:pPr>
      <w:r>
        <w:t>Smluvní strany považují za nesporné, že na základě ústní dohody mezi zástupci Objednatele a Poskytovatele b</w:t>
      </w:r>
      <w:r>
        <w:t>ylo v lednu roku 2020 nad rámec prací pokrytých paušální sazbou podle přílohy č. 1 Smlouvy provedeno Poskytovatelem nastavení vhodného přesměrování na adresu webu Klíče k památkám, s hodnotou provedené práce 10 000 Kč. Stejně tak považují smluvní strany za</w:t>
      </w:r>
      <w:r>
        <w:t xml:space="preserve"> nesporné, že za tyto práce nebyla vyhotovena písemná objednávka a Poskytovateli ke dni uzavření této dohody nebyla poskytnuta odměna.</w:t>
      </w:r>
      <w:r>
        <w:br w:type="page"/>
      </w:r>
    </w:p>
    <w:p w:rsidR="0064163F" w:rsidRDefault="007020D2">
      <w:pPr>
        <w:pStyle w:val="Zkladntext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  <w:jc w:val="both"/>
      </w:pPr>
      <w:r>
        <w:lastRenderedPageBreak/>
        <w:t>Dále smluvní strany považují za nesporné, že v březnu stejného roku došlo na základě požadavku Objednatele k založení dv</w:t>
      </w:r>
      <w:r>
        <w:t>ou nových památek do databáze webu Klíče k památkám - Květné zahrady v Kroměříži a Janovic u Rýmařova. Mezi stranami je nesporné, že provedení tohoto požadavku, stále v době platnosti a účinnosti smlouvy, spadá mezi práce prováděné v rámci paušální sazby d</w:t>
      </w:r>
      <w:r>
        <w:t>le přílohy č. 2 Smlouvy - „</w:t>
      </w:r>
      <w:r>
        <w:rPr>
          <w:i/>
          <w:iCs/>
        </w:rPr>
        <w:t>Aktualizace poskytnuté dokumentace včetně rozšiřování databáze objektů Objednatele.“</w:t>
      </w:r>
    </w:p>
    <w:p w:rsidR="0064163F" w:rsidRDefault="007020D2">
      <w:pPr>
        <w:pStyle w:val="Zkladntext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  <w:jc w:val="both"/>
      </w:pPr>
      <w:r>
        <w:t xml:space="preserve">Proto si nyní smluvní strany touto dohodou sjednávají, že bude Poskytovateli za provedené práce uhrazena částka 10 000 Kč za přesměrování na </w:t>
      </w:r>
      <w:r>
        <w:t>webovou adresu dle odst. 1 tohoto článku a dále částka 1 200 Kč, požadovaná Poskytovatelem za koordinační manažerské práce.</w:t>
      </w:r>
    </w:p>
    <w:p w:rsidR="0064163F" w:rsidRDefault="007020D2">
      <w:pPr>
        <w:pStyle w:val="Zkladntext1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  <w:jc w:val="both"/>
      </w:pPr>
      <w:r>
        <w:t>Po uzavření této smlouvy vystaví Poskytovatel bez zbytečného odkladu daňový doklad (fakturu) na sjednanou částku 11 200 Kč se splatn</w:t>
      </w:r>
      <w:r>
        <w:t>ostí 21 dní ode dne jejího doručení Objednateli. Daňový doklad (faktura) musí obsahovat všechny náležitosti řádného účetního a daňového dokladu dle příslušných právních předpisů, zejména zákona č. 235/2004 Sb., o dani z přidané hodnoty, ve znění pozdějších</w:t>
      </w:r>
      <w:r>
        <w:t xml:space="preserve"> předpisů, dále musí splňovat smlouvou stanovené náležitosti, jinak je Objednatel oprávněn jej do data splatnosti vrátit s tím, že Poskytovatel je poté povinen vystavit nový s novým termínem splatnosti. V takovém případě není Objednatel v prodlení s úhrado</w:t>
      </w:r>
      <w:r>
        <w:t>u.</w:t>
      </w:r>
    </w:p>
    <w:p w:rsidR="0064163F" w:rsidRDefault="007020D2">
      <w:pPr>
        <w:pStyle w:val="Zkladntext1"/>
        <w:numPr>
          <w:ilvl w:val="0"/>
          <w:numId w:val="2"/>
        </w:numPr>
        <w:shd w:val="clear" w:color="auto" w:fill="auto"/>
        <w:tabs>
          <w:tab w:val="left" w:pos="740"/>
        </w:tabs>
        <w:spacing w:after="540"/>
        <w:ind w:firstLine="380"/>
        <w:jc w:val="both"/>
      </w:pPr>
      <w:r>
        <w:t>Touto dohodou považují strany všechny své vzájemné závazky za vypořádané.</w:t>
      </w:r>
    </w:p>
    <w:p w:rsidR="0064163F" w:rsidRDefault="007020D2">
      <w:pPr>
        <w:pStyle w:val="Zkladntext1"/>
        <w:shd w:val="clear" w:color="auto" w:fill="auto"/>
        <w:jc w:val="center"/>
      </w:pPr>
      <w:r>
        <w:rPr>
          <w:b/>
          <w:bCs/>
        </w:rPr>
        <w:t>III.</w:t>
      </w:r>
    </w:p>
    <w:p w:rsidR="0064163F" w:rsidRDefault="007020D2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Závěrečná ustanovení</w:t>
      </w:r>
    </w:p>
    <w:p w:rsidR="0064163F" w:rsidRDefault="007020D2">
      <w:pPr>
        <w:pStyle w:val="Zkladntext1"/>
        <w:numPr>
          <w:ilvl w:val="0"/>
          <w:numId w:val="3"/>
        </w:numPr>
        <w:shd w:val="clear" w:color="auto" w:fill="auto"/>
        <w:tabs>
          <w:tab w:val="left" w:pos="740"/>
        </w:tabs>
        <w:ind w:left="740" w:hanging="360"/>
        <w:jc w:val="both"/>
      </w:pPr>
      <w:r>
        <w:t>Tato dohoda může být měněna či doplněna pouze na základě písemného dodatku k této dohodě. Tato dohoda je vyhotovena ve dvou stejnopisech, přičemž každá z</w:t>
      </w:r>
      <w:r>
        <w:t>e stran dohody obdrží jedno vyhotovení.</w:t>
      </w:r>
    </w:p>
    <w:p w:rsidR="0064163F" w:rsidRDefault="007020D2">
      <w:pPr>
        <w:pStyle w:val="Zkladntext1"/>
        <w:numPr>
          <w:ilvl w:val="0"/>
          <w:numId w:val="3"/>
        </w:numPr>
        <w:shd w:val="clear" w:color="auto" w:fill="auto"/>
        <w:tabs>
          <w:tab w:val="left" w:pos="740"/>
        </w:tabs>
        <w:spacing w:after="600"/>
        <w:ind w:left="740" w:hanging="360"/>
        <w:jc w:val="both"/>
      </w:pPr>
      <w:r>
        <w:t>Strany dohody prohlašují, že si tuto dohodu přečetly a že s jejím obsahem souhlasí, prohlašují, že tato dohoda byla sepsána podle jejich pravé a svobodné vůle, určitě, vážně a srozumitelně a že nebyla uzavřena v tísn</w:t>
      </w:r>
      <w:r>
        <w:t>i za nápadně nevýhodných podmínek a na důkaz toho k ní připojují svoje podpisy.</w:t>
      </w:r>
    </w:p>
    <w:p w:rsidR="0064163F" w:rsidRDefault="007020D2">
      <w:pPr>
        <w:pStyle w:val="Zkladntext1"/>
        <w:shd w:val="clear" w:color="auto" w:fill="auto"/>
        <w:spacing w:line="240" w:lineRule="auto"/>
        <w:sectPr w:rsidR="0064163F">
          <w:pgSz w:w="11900" w:h="16840"/>
          <w:pgMar w:top="1383" w:right="1368" w:bottom="1485" w:left="1373" w:header="955" w:footer="1057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4745990</wp:posOffset>
                </wp:positionH>
                <wp:positionV relativeFrom="paragraph">
                  <wp:posOffset>12700</wp:posOffset>
                </wp:positionV>
                <wp:extent cx="841375" cy="1917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163F" w:rsidRDefault="007020D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3.69999999999999pt;margin-top:1.pt;width:66.25pt;height:15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Praze, dne</w:t>
      </w:r>
    </w:p>
    <w:p w:rsidR="0064163F" w:rsidRDefault="0064163F">
      <w:pPr>
        <w:spacing w:before="2" w:after="2" w:line="240" w:lineRule="exact"/>
        <w:rPr>
          <w:sz w:val="19"/>
          <w:szCs w:val="19"/>
        </w:rPr>
      </w:pPr>
    </w:p>
    <w:p w:rsidR="0064163F" w:rsidRDefault="0064163F">
      <w:pPr>
        <w:spacing w:line="1" w:lineRule="exact"/>
        <w:rPr>
          <w:sz w:val="2"/>
          <w:szCs w:val="2"/>
        </w:rPr>
      </w:pPr>
      <w:bookmarkStart w:id="0" w:name="_GoBack"/>
      <w:bookmarkEnd w:id="0"/>
    </w:p>
    <w:p w:rsidR="0064163F" w:rsidRDefault="0064163F">
      <w:pPr>
        <w:spacing w:before="102" w:after="102" w:line="240" w:lineRule="exact"/>
        <w:rPr>
          <w:sz w:val="19"/>
          <w:szCs w:val="19"/>
        </w:rPr>
      </w:pPr>
    </w:p>
    <w:p w:rsidR="0064163F" w:rsidRDefault="0064163F">
      <w:pPr>
        <w:spacing w:line="1" w:lineRule="exact"/>
        <w:sectPr w:rsidR="0064163F">
          <w:type w:val="continuous"/>
          <w:pgSz w:w="11900" w:h="16840"/>
          <w:pgMar w:top="1383" w:right="0" w:bottom="1383" w:left="0" w:header="0" w:footer="3" w:gutter="0"/>
          <w:cols w:space="720"/>
          <w:noEndnote/>
          <w:docGrid w:linePitch="360"/>
        </w:sectPr>
      </w:pPr>
    </w:p>
    <w:p w:rsidR="0064163F" w:rsidRDefault="007020D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5133340</wp:posOffset>
                </wp:positionH>
                <wp:positionV relativeFrom="paragraph">
                  <wp:posOffset>12700</wp:posOffset>
                </wp:positionV>
                <wp:extent cx="960120" cy="3441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163F" w:rsidRDefault="007020D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Lukáš Strnadel</w:t>
                            </w:r>
                          </w:p>
                          <w:p w:rsidR="0064163F" w:rsidRDefault="007020D2">
                            <w:pPr>
                              <w:pStyle w:val="Zkladntext1"/>
                              <w:shd w:val="clear" w:color="auto" w:fill="auto"/>
                              <w:spacing w:line="226" w:lineRule="auto"/>
                            </w:pPr>
                            <w:r>
                              <w:t>Poskytovatel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04.19999999999999pt;margin-top:1.pt;width:75.599999999999994pt;height:27.1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Lukáš Strnadel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Poskytovatel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4163F" w:rsidRDefault="007020D2">
      <w:pPr>
        <w:pStyle w:val="Zkladntext1"/>
        <w:shd w:val="clear" w:color="auto" w:fill="auto"/>
        <w:spacing w:line="226" w:lineRule="auto"/>
      </w:pPr>
      <w:r>
        <w:t>Ing. arch. Naděžda Goryczková Objednatel</w:t>
      </w:r>
    </w:p>
    <w:sectPr w:rsidR="0064163F">
      <w:type w:val="continuous"/>
      <w:pgSz w:w="11900" w:h="16840"/>
      <w:pgMar w:top="1383" w:right="3816" w:bottom="1383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D2" w:rsidRDefault="007020D2">
      <w:r>
        <w:separator/>
      </w:r>
    </w:p>
  </w:endnote>
  <w:endnote w:type="continuationSeparator" w:id="0">
    <w:p w:rsidR="007020D2" w:rsidRDefault="0070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D2" w:rsidRDefault="007020D2"/>
  </w:footnote>
  <w:footnote w:type="continuationSeparator" w:id="0">
    <w:p w:rsidR="007020D2" w:rsidRDefault="007020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25F86"/>
    <w:multiLevelType w:val="multilevel"/>
    <w:tmpl w:val="B9CAEA7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90704F"/>
    <w:multiLevelType w:val="multilevel"/>
    <w:tmpl w:val="A900015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D871CA"/>
    <w:multiLevelType w:val="multilevel"/>
    <w:tmpl w:val="2124E54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3F"/>
    <w:rsid w:val="00401149"/>
    <w:rsid w:val="0064163F"/>
    <w:rsid w:val="0070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28A8C-3A00-4095-A61B-78A784E8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Trebuchet MS" w:eastAsia="Trebuchet MS" w:hAnsi="Trebuchet MS" w:cs="Trebuchet MS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outlineLvl w:val="0"/>
    </w:pPr>
    <w:rPr>
      <w:rFonts w:ascii="Segoe UI" w:eastAsia="Segoe UI" w:hAnsi="Segoe UI" w:cs="Segoe UI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narovnání_Futured</dc:title>
  <dc:subject/>
  <dc:creator/>
  <cp:keywords/>
  <cp:lastModifiedBy>Janouchová Miroslava</cp:lastModifiedBy>
  <cp:revision>2</cp:revision>
  <dcterms:created xsi:type="dcterms:W3CDTF">2020-11-03T14:02:00Z</dcterms:created>
  <dcterms:modified xsi:type="dcterms:W3CDTF">2020-11-03T14:02:00Z</dcterms:modified>
</cp:coreProperties>
</file>