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Krabonoš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2586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207,66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Nová Ves nad Lužnicí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Nová Ves u Klikova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Rapšach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708,80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1 306,89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753,79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115924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9 179,88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119064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9 433,75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9 434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2 pachtovní smlouvy č. 23N15/17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5.10.2020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