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F3107" w14:textId="77777777" w:rsidR="00BA0B61" w:rsidRDefault="00253111">
      <w:pPr>
        <w:spacing w:line="354" w:lineRule="exact"/>
        <w:rPr>
          <w:sz w:val="24"/>
          <w:szCs w:val="24"/>
        </w:rPr>
      </w:pPr>
      <w:bookmarkStart w:id="0" w:name="page1"/>
      <w:bookmarkEnd w:id="0"/>
      <w:r>
        <w:rPr>
          <w:noProof/>
          <w:sz w:val="24"/>
          <w:szCs w:val="24"/>
        </w:rPr>
        <w:drawing>
          <wp:anchor distT="0" distB="0" distL="114300" distR="114300" simplePos="0" relativeHeight="251657216" behindDoc="1" locked="0" layoutInCell="0" allowOverlap="1" wp14:anchorId="39094611" wp14:editId="33D1C195">
            <wp:simplePos x="0" y="0"/>
            <wp:positionH relativeFrom="page">
              <wp:posOffset>3771900</wp:posOffset>
            </wp:positionH>
            <wp:positionV relativeFrom="page">
              <wp:posOffset>720090</wp:posOffset>
            </wp:positionV>
            <wp:extent cx="3063240" cy="1468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3063240" cy="1468120"/>
                    </a:xfrm>
                    <a:prstGeom prst="rect">
                      <a:avLst/>
                    </a:prstGeom>
                    <a:noFill/>
                  </pic:spPr>
                </pic:pic>
              </a:graphicData>
            </a:graphic>
          </wp:anchor>
        </w:drawing>
      </w:r>
    </w:p>
    <w:p w14:paraId="71E8B82D" w14:textId="77777777" w:rsidR="00BA0B61" w:rsidRDefault="00253111">
      <w:pPr>
        <w:ind w:left="4"/>
        <w:rPr>
          <w:sz w:val="20"/>
          <w:szCs w:val="20"/>
        </w:rPr>
      </w:pPr>
      <w:r>
        <w:rPr>
          <w:rFonts w:eastAsia="Times New Roman"/>
          <w:b/>
          <w:bCs/>
          <w:sz w:val="24"/>
          <w:szCs w:val="24"/>
        </w:rPr>
        <w:t>V E R L A G S V E R T R A G</w:t>
      </w:r>
    </w:p>
    <w:p w14:paraId="07EE8000" w14:textId="77777777" w:rsidR="00BA0B61" w:rsidRDefault="00BA0B61">
      <w:pPr>
        <w:spacing w:line="270" w:lineRule="exact"/>
        <w:rPr>
          <w:sz w:val="24"/>
          <w:szCs w:val="24"/>
        </w:rPr>
      </w:pPr>
    </w:p>
    <w:p w14:paraId="63B137F8" w14:textId="77777777" w:rsidR="00BA0B61" w:rsidRDefault="00253111">
      <w:pPr>
        <w:spacing w:line="237" w:lineRule="auto"/>
        <w:ind w:left="4" w:right="5180"/>
        <w:rPr>
          <w:sz w:val="20"/>
          <w:szCs w:val="20"/>
        </w:rPr>
      </w:pPr>
      <w:r>
        <w:rPr>
          <w:rFonts w:eastAsia="Times New Roman"/>
        </w:rPr>
        <w:t xml:space="preserve">zwischen </w:t>
      </w:r>
      <w:r>
        <w:rPr>
          <w:rFonts w:eastAsia="Times New Roman"/>
          <w:b/>
          <w:bCs/>
          <w:sz w:val="26"/>
          <w:szCs w:val="26"/>
        </w:rPr>
        <w:t>L</w:t>
      </w:r>
      <w:r>
        <w:rPr>
          <w:rFonts w:eastAsia="Times New Roman"/>
          <w:b/>
          <w:bCs/>
          <w:sz w:val="19"/>
          <w:szCs w:val="19"/>
        </w:rPr>
        <w:t>IT</w:t>
      </w:r>
      <w:r>
        <w:rPr>
          <w:rFonts w:eastAsia="Times New Roman"/>
        </w:rPr>
        <w:t xml:space="preserve"> </w:t>
      </w:r>
      <w:r>
        <w:rPr>
          <w:rFonts w:eastAsia="Times New Roman"/>
          <w:b/>
          <w:bCs/>
        </w:rPr>
        <w:t>Verlag</w:t>
      </w:r>
      <w:r>
        <w:rPr>
          <w:rFonts w:eastAsia="Times New Roman"/>
        </w:rPr>
        <w:t xml:space="preserve"> GmbH Co. KG: Wien(AT), Zweigniederlassung Zürich CH</w:t>
      </w:r>
    </w:p>
    <w:p w14:paraId="20BD193C" w14:textId="77777777" w:rsidR="00BA0B61" w:rsidRDefault="00253111">
      <w:pPr>
        <w:ind w:left="4"/>
        <w:rPr>
          <w:sz w:val="20"/>
          <w:szCs w:val="20"/>
        </w:rPr>
      </w:pPr>
      <w:r>
        <w:rPr>
          <w:rFonts w:eastAsia="Times New Roman"/>
        </w:rPr>
        <w:t>Flössergasse 10</w:t>
      </w:r>
    </w:p>
    <w:p w14:paraId="117DDB1B" w14:textId="77777777" w:rsidR="00BA0B61" w:rsidRDefault="00253111">
      <w:pPr>
        <w:spacing w:line="237" w:lineRule="auto"/>
        <w:ind w:left="4"/>
        <w:rPr>
          <w:sz w:val="20"/>
          <w:szCs w:val="20"/>
        </w:rPr>
      </w:pPr>
      <w:r>
        <w:rPr>
          <w:rFonts w:eastAsia="Times New Roman"/>
        </w:rPr>
        <w:t>CH-8001 Zürich</w:t>
      </w:r>
    </w:p>
    <w:p w14:paraId="244B5927" w14:textId="77777777" w:rsidR="00BA0B61" w:rsidRDefault="00253111">
      <w:pPr>
        <w:ind w:left="4"/>
        <w:rPr>
          <w:sz w:val="20"/>
          <w:szCs w:val="20"/>
        </w:rPr>
      </w:pPr>
      <w:r>
        <w:rPr>
          <w:rFonts w:eastAsia="Times New Roman"/>
        </w:rPr>
        <w:t>(im Weiteren Verlag genannt)</w:t>
      </w:r>
    </w:p>
    <w:p w14:paraId="79A7E570" w14:textId="77777777" w:rsidR="00BA0B61" w:rsidRDefault="00BA0B61">
      <w:pPr>
        <w:spacing w:line="133" w:lineRule="exact"/>
        <w:rPr>
          <w:sz w:val="24"/>
          <w:szCs w:val="24"/>
        </w:rPr>
      </w:pPr>
    </w:p>
    <w:p w14:paraId="3919E356" w14:textId="77777777" w:rsidR="00BA0B61" w:rsidRDefault="00253111">
      <w:pPr>
        <w:ind w:left="4"/>
        <w:rPr>
          <w:sz w:val="20"/>
          <w:szCs w:val="20"/>
        </w:rPr>
      </w:pPr>
      <w:r>
        <w:rPr>
          <w:rFonts w:eastAsia="Times New Roman"/>
        </w:rPr>
        <w:t>und</w:t>
      </w:r>
    </w:p>
    <w:p w14:paraId="31333894" w14:textId="77777777" w:rsidR="00BA0B61" w:rsidRDefault="00BA0B61">
      <w:pPr>
        <w:spacing w:line="132" w:lineRule="exact"/>
        <w:rPr>
          <w:sz w:val="24"/>
          <w:szCs w:val="24"/>
        </w:rPr>
      </w:pPr>
    </w:p>
    <w:p w14:paraId="61A7C3CD" w14:textId="77777777" w:rsidR="00BA0B61" w:rsidRPr="00534695" w:rsidRDefault="00253111">
      <w:pPr>
        <w:spacing w:line="237" w:lineRule="auto"/>
        <w:ind w:left="4"/>
        <w:rPr>
          <w:color w:val="000000" w:themeColor="text1"/>
          <w:sz w:val="20"/>
          <w:szCs w:val="20"/>
        </w:rPr>
      </w:pPr>
      <w:r w:rsidRPr="00534695">
        <w:rPr>
          <w:rFonts w:eastAsia="Times New Roman"/>
          <w:color w:val="000000" w:themeColor="text1"/>
        </w:rPr>
        <w:t>Historisches Institut der Tschechischen Akademie der Wissenschaften</w:t>
      </w:r>
    </w:p>
    <w:p w14:paraId="5B87E9EA" w14:textId="5C44BC42" w:rsidR="00C96B03" w:rsidRPr="00534695" w:rsidRDefault="00C96B03" w:rsidP="00C96B03">
      <w:pPr>
        <w:ind w:left="4"/>
        <w:rPr>
          <w:rFonts w:eastAsia="Times New Roman"/>
          <w:color w:val="000000" w:themeColor="text1"/>
        </w:rPr>
      </w:pPr>
      <w:r w:rsidRPr="00534695">
        <w:rPr>
          <w:rFonts w:eastAsia="Times New Roman"/>
          <w:color w:val="000000" w:themeColor="text1"/>
        </w:rPr>
        <w:t>Vertreten durch den Direktor Prof. PhDr. Martin Holý, Ph.D.</w:t>
      </w:r>
    </w:p>
    <w:p w14:paraId="7C0F742C" w14:textId="3EC9B740" w:rsidR="00BA0B61" w:rsidRPr="00534695" w:rsidRDefault="00253111">
      <w:pPr>
        <w:spacing w:line="237" w:lineRule="auto"/>
        <w:ind w:left="4"/>
        <w:rPr>
          <w:color w:val="000000" w:themeColor="text1"/>
          <w:sz w:val="20"/>
          <w:szCs w:val="20"/>
        </w:rPr>
      </w:pPr>
      <w:r w:rsidRPr="00534695">
        <w:rPr>
          <w:rFonts w:eastAsia="Times New Roman"/>
          <w:color w:val="000000" w:themeColor="text1"/>
        </w:rPr>
        <w:t>Prosecká 76</w:t>
      </w:r>
    </w:p>
    <w:p w14:paraId="77E8C0FB" w14:textId="77777777" w:rsidR="00BA0B61" w:rsidRPr="00534695" w:rsidRDefault="00253111">
      <w:pPr>
        <w:spacing w:line="237" w:lineRule="auto"/>
        <w:ind w:left="4"/>
        <w:rPr>
          <w:color w:val="000000" w:themeColor="text1"/>
          <w:sz w:val="20"/>
          <w:szCs w:val="20"/>
        </w:rPr>
      </w:pPr>
      <w:r w:rsidRPr="00534695">
        <w:rPr>
          <w:rFonts w:eastAsia="Times New Roman"/>
          <w:color w:val="000000" w:themeColor="text1"/>
        </w:rPr>
        <w:t>CZ-190 00 Praha 9</w:t>
      </w:r>
    </w:p>
    <w:p w14:paraId="374046E9" w14:textId="77777777" w:rsidR="00BA0B61" w:rsidRDefault="00BA0B61">
      <w:pPr>
        <w:spacing w:line="1" w:lineRule="exact"/>
        <w:rPr>
          <w:sz w:val="24"/>
          <w:szCs w:val="24"/>
        </w:rPr>
      </w:pPr>
    </w:p>
    <w:p w14:paraId="37ED1783" w14:textId="77777777" w:rsidR="00BA0B61" w:rsidRDefault="00253111">
      <w:pPr>
        <w:ind w:left="4"/>
        <w:rPr>
          <w:sz w:val="20"/>
          <w:szCs w:val="20"/>
        </w:rPr>
      </w:pPr>
      <w:r>
        <w:rPr>
          <w:rFonts w:eastAsia="Times New Roman"/>
        </w:rPr>
        <w:t>(im Weiteren Herausgeber genannt)</w:t>
      </w:r>
    </w:p>
    <w:p w14:paraId="1DABBF47" w14:textId="77777777" w:rsidR="00BA0B61" w:rsidRDefault="00BA0B61">
      <w:pPr>
        <w:spacing w:line="218" w:lineRule="exact"/>
        <w:rPr>
          <w:sz w:val="24"/>
          <w:szCs w:val="24"/>
        </w:rPr>
      </w:pPr>
    </w:p>
    <w:p w14:paraId="60D5D398" w14:textId="77777777" w:rsidR="00BA0B61" w:rsidRDefault="00253111">
      <w:pPr>
        <w:ind w:left="4"/>
        <w:rPr>
          <w:sz w:val="20"/>
          <w:szCs w:val="20"/>
        </w:rPr>
      </w:pPr>
      <w:r>
        <w:rPr>
          <w:rFonts w:eastAsia="Times New Roman"/>
          <w:sz w:val="20"/>
          <w:szCs w:val="20"/>
        </w:rPr>
        <w:t>1.  Der Verlag übernimmt die Arbeit mit dem Titel:</w:t>
      </w:r>
    </w:p>
    <w:p w14:paraId="139B8D19" w14:textId="489F18D2" w:rsidR="00BA0B61" w:rsidRDefault="00253111" w:rsidP="00C96B03">
      <w:pPr>
        <w:spacing w:line="238" w:lineRule="auto"/>
        <w:ind w:left="284" w:right="480"/>
        <w:rPr>
          <w:sz w:val="20"/>
          <w:szCs w:val="20"/>
        </w:rPr>
      </w:pPr>
      <w:r>
        <w:rPr>
          <w:rFonts w:eastAsia="Times New Roman"/>
          <w:b/>
          <w:bCs/>
          <w:sz w:val="24"/>
          <w:szCs w:val="24"/>
        </w:rPr>
        <w:t>Jindřich Dejmek, Drahomír Jančík, Dušan Kováč, Jan Kuklík, Jan Němeček, Jaroslav Šebek:</w:t>
      </w:r>
      <w:r w:rsidR="00C96B03">
        <w:rPr>
          <w:rFonts w:eastAsia="Times New Roman"/>
          <w:b/>
          <w:bCs/>
          <w:sz w:val="24"/>
          <w:szCs w:val="24"/>
        </w:rPr>
        <w:t xml:space="preserve"> </w:t>
      </w:r>
      <w:r>
        <w:rPr>
          <w:rFonts w:eastAsia="Times New Roman"/>
          <w:b/>
          <w:bCs/>
          <w:sz w:val="24"/>
          <w:szCs w:val="24"/>
        </w:rPr>
        <w:t>Geschichte der Tschechoslowakei 1918-1992</w:t>
      </w:r>
    </w:p>
    <w:p w14:paraId="5180AB7B" w14:textId="77777777" w:rsidR="00BA0B61" w:rsidRDefault="00253111">
      <w:pPr>
        <w:ind w:left="284"/>
        <w:rPr>
          <w:sz w:val="20"/>
          <w:szCs w:val="20"/>
        </w:rPr>
      </w:pPr>
      <w:r>
        <w:rPr>
          <w:rFonts w:eastAsia="Times New Roman"/>
          <w:sz w:val="20"/>
          <w:szCs w:val="20"/>
        </w:rPr>
        <w:t>in sein Verlagsprogramm.</w:t>
      </w:r>
    </w:p>
    <w:p w14:paraId="503F7EC0" w14:textId="77777777" w:rsidR="00BA0B61" w:rsidRDefault="00BA0B61">
      <w:pPr>
        <w:spacing w:line="42" w:lineRule="exact"/>
        <w:rPr>
          <w:sz w:val="24"/>
          <w:szCs w:val="24"/>
        </w:rPr>
      </w:pPr>
    </w:p>
    <w:p w14:paraId="2EEE6943" w14:textId="41BCF96F" w:rsidR="00BA0B61" w:rsidRDefault="00253111">
      <w:pPr>
        <w:numPr>
          <w:ilvl w:val="0"/>
          <w:numId w:val="1"/>
        </w:numPr>
        <w:tabs>
          <w:tab w:val="left" w:pos="284"/>
        </w:tabs>
        <w:spacing w:line="259" w:lineRule="auto"/>
        <w:ind w:left="284" w:right="920" w:hanging="284"/>
        <w:rPr>
          <w:rFonts w:eastAsia="Times New Roman"/>
          <w:sz w:val="20"/>
          <w:szCs w:val="20"/>
        </w:rPr>
      </w:pPr>
      <w:r>
        <w:rPr>
          <w:rFonts w:eastAsia="Times New Roman"/>
          <w:sz w:val="20"/>
          <w:szCs w:val="20"/>
        </w:rPr>
        <w:t xml:space="preserve">Der Herausgeber zahlt dem Verlag </w:t>
      </w:r>
      <w:r w:rsidR="00C96B03">
        <w:rPr>
          <w:rFonts w:eastAsia="Times New Roman"/>
          <w:sz w:val="20"/>
          <w:szCs w:val="20"/>
        </w:rPr>
        <w:t xml:space="preserve">nach Rechnungstellung </w:t>
      </w:r>
      <w:r>
        <w:rPr>
          <w:rFonts w:eastAsia="Times New Roman"/>
          <w:sz w:val="20"/>
          <w:szCs w:val="20"/>
        </w:rPr>
        <w:t>€ 5.134,35</w:t>
      </w:r>
      <w:r w:rsidR="00C96B03">
        <w:rPr>
          <w:rFonts w:eastAsia="Times New Roman"/>
          <w:sz w:val="20"/>
          <w:szCs w:val="20"/>
        </w:rPr>
        <w:t xml:space="preserve"> (ohne MwSt.)</w:t>
      </w:r>
      <w:r>
        <w:rPr>
          <w:rFonts w:eastAsia="Times New Roman"/>
          <w:sz w:val="20"/>
          <w:szCs w:val="20"/>
        </w:rPr>
        <w:t>. Der Betrag ist spätestens bei Fertigstellung zu zahlen. Bei geändertem Umfang oder geänderter Ausstattung erfolgt eine Neuberechnung.</w:t>
      </w:r>
    </w:p>
    <w:p w14:paraId="0B48FD32" w14:textId="77777777" w:rsidR="00BA0B61" w:rsidRDefault="00BA0B61">
      <w:pPr>
        <w:spacing w:line="1" w:lineRule="exact"/>
        <w:rPr>
          <w:rFonts w:eastAsia="Times New Roman"/>
          <w:sz w:val="20"/>
          <w:szCs w:val="20"/>
        </w:rPr>
      </w:pPr>
    </w:p>
    <w:p w14:paraId="0A261014" w14:textId="77777777" w:rsidR="00BA0B61" w:rsidRDefault="00253111">
      <w:pPr>
        <w:numPr>
          <w:ilvl w:val="0"/>
          <w:numId w:val="1"/>
        </w:numPr>
        <w:tabs>
          <w:tab w:val="left" w:pos="284"/>
        </w:tabs>
        <w:spacing w:line="246" w:lineRule="auto"/>
        <w:ind w:left="284" w:right="40" w:hanging="284"/>
        <w:rPr>
          <w:rFonts w:eastAsia="Times New Roman"/>
          <w:sz w:val="20"/>
          <w:szCs w:val="20"/>
        </w:rPr>
      </w:pPr>
      <w:r>
        <w:rPr>
          <w:rFonts w:eastAsia="Times New Roman"/>
          <w:sz w:val="20"/>
          <w:szCs w:val="20"/>
        </w:rPr>
        <w:t>Der Herausgeber stellt eine druckreife Datei (PS oder PDF). Autorenkorrekturen gehen zu Lasten des Herausgebers. Unter Autorenkorrekturen verstehen wir Korrekturen, die nicht in den Verantwortungsbereich des Verlages fallen. Der Herausgeber nennt dem Verlag einen verbindlichen Abgabetermin für die reproreife Druckvorlage. Der Verlag errechnet daraus den Erscheinungstermin.</w:t>
      </w:r>
    </w:p>
    <w:p w14:paraId="7143897B" w14:textId="77777777" w:rsidR="00BA0B61" w:rsidRDefault="00BA0B61">
      <w:pPr>
        <w:spacing w:line="3" w:lineRule="exact"/>
        <w:rPr>
          <w:rFonts w:eastAsia="Times New Roman"/>
          <w:sz w:val="20"/>
          <w:szCs w:val="20"/>
        </w:rPr>
      </w:pPr>
    </w:p>
    <w:p w14:paraId="46FE390E" w14:textId="77777777" w:rsidR="00BA0B61" w:rsidRDefault="00253111">
      <w:pPr>
        <w:numPr>
          <w:ilvl w:val="0"/>
          <w:numId w:val="1"/>
        </w:numPr>
        <w:tabs>
          <w:tab w:val="left" w:pos="284"/>
        </w:tabs>
        <w:ind w:left="284" w:hanging="284"/>
        <w:rPr>
          <w:rFonts w:eastAsia="Times New Roman"/>
          <w:sz w:val="20"/>
          <w:szCs w:val="20"/>
        </w:rPr>
      </w:pPr>
      <w:r>
        <w:rPr>
          <w:rFonts w:eastAsia="Times New Roman"/>
          <w:sz w:val="20"/>
          <w:szCs w:val="20"/>
        </w:rPr>
        <w:t>Umfang: 900 Seiten (aufgeteilt auf zwei Teilbände), Bindung: Broschur Klebebindung, 1. Auflage: 250, Format: 23</w:t>
      </w:r>
    </w:p>
    <w:p w14:paraId="21DFB437" w14:textId="77777777" w:rsidR="00BA0B61" w:rsidRDefault="00253111">
      <w:pPr>
        <w:ind w:left="284"/>
        <w:rPr>
          <w:rFonts w:eastAsia="Times New Roman"/>
          <w:sz w:val="20"/>
          <w:szCs w:val="20"/>
        </w:rPr>
      </w:pPr>
      <w:r>
        <w:rPr>
          <w:rFonts w:eastAsia="Times New Roman"/>
          <w:sz w:val="20"/>
          <w:szCs w:val="20"/>
        </w:rPr>
        <w:t>(16,2x23,5cm), Druck: schwarzweiß</w:t>
      </w:r>
    </w:p>
    <w:p w14:paraId="1E116B90" w14:textId="77777777" w:rsidR="00BA0B61" w:rsidRDefault="00BA0B61">
      <w:pPr>
        <w:spacing w:line="42" w:lineRule="exact"/>
        <w:rPr>
          <w:rFonts w:eastAsia="Times New Roman"/>
          <w:sz w:val="20"/>
          <w:szCs w:val="20"/>
        </w:rPr>
      </w:pPr>
    </w:p>
    <w:p w14:paraId="1D583507" w14:textId="77777777" w:rsidR="00BA0B61" w:rsidRDefault="00253111">
      <w:pPr>
        <w:numPr>
          <w:ilvl w:val="0"/>
          <w:numId w:val="1"/>
        </w:numPr>
        <w:tabs>
          <w:tab w:val="left" w:pos="284"/>
        </w:tabs>
        <w:ind w:left="284" w:hanging="284"/>
        <w:rPr>
          <w:rFonts w:eastAsia="Times New Roman"/>
          <w:sz w:val="20"/>
          <w:szCs w:val="20"/>
        </w:rPr>
      </w:pPr>
      <w:r>
        <w:rPr>
          <w:rFonts w:eastAsia="Times New Roman"/>
          <w:sz w:val="20"/>
          <w:szCs w:val="20"/>
        </w:rPr>
        <w:t>Der Herausgeber und die Autoren erhalten insgesamt 30 Exemplare.</w:t>
      </w:r>
    </w:p>
    <w:p w14:paraId="5BF70C7B" w14:textId="77777777" w:rsidR="00BA0B61" w:rsidRDefault="00BA0B61">
      <w:pPr>
        <w:spacing w:line="42" w:lineRule="exact"/>
        <w:rPr>
          <w:rFonts w:eastAsia="Times New Roman"/>
          <w:sz w:val="20"/>
          <w:szCs w:val="20"/>
        </w:rPr>
      </w:pPr>
    </w:p>
    <w:p w14:paraId="2FA6BAB4" w14:textId="77777777" w:rsidR="00BA0B61" w:rsidRDefault="00253111">
      <w:pPr>
        <w:numPr>
          <w:ilvl w:val="0"/>
          <w:numId w:val="1"/>
        </w:numPr>
        <w:tabs>
          <w:tab w:val="left" w:pos="284"/>
        </w:tabs>
        <w:spacing w:line="243" w:lineRule="auto"/>
        <w:ind w:left="284" w:hanging="284"/>
        <w:rPr>
          <w:rFonts w:eastAsia="Times New Roman"/>
          <w:sz w:val="20"/>
          <w:szCs w:val="20"/>
        </w:rPr>
      </w:pPr>
      <w:r>
        <w:rPr>
          <w:rFonts w:eastAsia="Times New Roman"/>
          <w:sz w:val="20"/>
          <w:szCs w:val="20"/>
        </w:rPr>
        <w:t>Der Herausgeber bescheinigt, dass er im Besitz aller Veröffentlichungsrechte ist. Er überträgt diese vollständig (inkl. aller elektronischen Rechte) und für alle Auflagen auf den Verlag. Der Verlag wird die Verwaltung des Verlagsrechts nicht restriktiv handhaben, um so dem Herausgeber und den Autoren die Verbreitung ihrer Thesen auch anderweitig zu ermöglichen. So bleibt es z.B. dem Herausgeber und den Autoren unbenommen, unter Angabe der Quelle Teile ihres Werkes in Aufsätzen zu verwenden. Eine Genehmigung des Verlages ist vorab einzuholen.</w:t>
      </w:r>
    </w:p>
    <w:p w14:paraId="2A555413" w14:textId="77777777" w:rsidR="00BA0B61" w:rsidRDefault="00BA0B61">
      <w:pPr>
        <w:spacing w:line="11" w:lineRule="exact"/>
        <w:rPr>
          <w:rFonts w:eastAsia="Times New Roman"/>
          <w:sz w:val="20"/>
          <w:szCs w:val="20"/>
        </w:rPr>
      </w:pPr>
    </w:p>
    <w:p w14:paraId="268717B9" w14:textId="77777777" w:rsidR="00BA0B61" w:rsidRDefault="00253111">
      <w:pPr>
        <w:numPr>
          <w:ilvl w:val="0"/>
          <w:numId w:val="1"/>
        </w:numPr>
        <w:tabs>
          <w:tab w:val="left" w:pos="284"/>
        </w:tabs>
        <w:ind w:left="284" w:hanging="284"/>
        <w:rPr>
          <w:rFonts w:eastAsia="Times New Roman"/>
          <w:sz w:val="20"/>
          <w:szCs w:val="20"/>
        </w:rPr>
      </w:pPr>
      <w:r>
        <w:rPr>
          <w:rFonts w:eastAsia="Times New Roman"/>
          <w:sz w:val="20"/>
          <w:szCs w:val="20"/>
        </w:rPr>
        <w:t>Der Verkaufspreis beträgt € 89,90.</w:t>
      </w:r>
    </w:p>
    <w:p w14:paraId="27A5DE3D" w14:textId="77777777" w:rsidR="00BA0B61" w:rsidRDefault="00BA0B61">
      <w:pPr>
        <w:spacing w:line="42" w:lineRule="exact"/>
        <w:rPr>
          <w:rFonts w:eastAsia="Times New Roman"/>
          <w:sz w:val="20"/>
          <w:szCs w:val="20"/>
        </w:rPr>
      </w:pPr>
    </w:p>
    <w:p w14:paraId="214B8F52" w14:textId="77777777" w:rsidR="00BA0B61" w:rsidRDefault="00253111">
      <w:pPr>
        <w:numPr>
          <w:ilvl w:val="0"/>
          <w:numId w:val="1"/>
        </w:numPr>
        <w:tabs>
          <w:tab w:val="left" w:pos="284"/>
        </w:tabs>
        <w:spacing w:line="246" w:lineRule="auto"/>
        <w:ind w:left="284" w:right="60" w:hanging="284"/>
        <w:rPr>
          <w:rFonts w:eastAsia="Times New Roman"/>
          <w:sz w:val="20"/>
          <w:szCs w:val="20"/>
        </w:rPr>
      </w:pPr>
      <w:r>
        <w:rPr>
          <w:rFonts w:eastAsia="Times New Roman"/>
          <w:sz w:val="20"/>
          <w:szCs w:val="20"/>
        </w:rPr>
        <w:t>Der Herausgeber erhält eine Rückzahlung in Höhe von € 10,79 ab dem 21. verkauften Exemplar. Die Abrechnung findet einmal jährlich am Beginn des folgenden Kalenderjahres statt, erstmals, wenn insgesamt mehr als 20 Bücher verkauft worden sind. Sie erfolgt fünf Jahre lang ab dem Jahr der Veröffentlichung, danach nur noch, wenn mehr als zehn Exemplare pro Jahr verkauft werden. Falls keine Rückzahlung anfällt, erfolgt keine Abrechnung.</w:t>
      </w:r>
    </w:p>
    <w:p w14:paraId="6AC6095D" w14:textId="77777777" w:rsidR="00BA0B61" w:rsidRDefault="00BA0B61">
      <w:pPr>
        <w:spacing w:line="7" w:lineRule="exact"/>
        <w:rPr>
          <w:rFonts w:eastAsia="Times New Roman"/>
          <w:sz w:val="20"/>
          <w:szCs w:val="20"/>
        </w:rPr>
      </w:pPr>
    </w:p>
    <w:p w14:paraId="4A62270D" w14:textId="77777777" w:rsidR="00BA0B61" w:rsidRDefault="00253111">
      <w:pPr>
        <w:numPr>
          <w:ilvl w:val="0"/>
          <w:numId w:val="1"/>
        </w:numPr>
        <w:tabs>
          <w:tab w:val="left" w:pos="284"/>
        </w:tabs>
        <w:ind w:left="284" w:hanging="284"/>
        <w:rPr>
          <w:rFonts w:eastAsia="Times New Roman"/>
          <w:sz w:val="20"/>
          <w:szCs w:val="20"/>
        </w:rPr>
      </w:pPr>
      <w:r>
        <w:rPr>
          <w:rFonts w:eastAsia="Times New Roman"/>
          <w:sz w:val="20"/>
          <w:szCs w:val="20"/>
        </w:rPr>
        <w:t>Ergänzend gelten die Bestimmungen des schweizerischen Verlagsrechts.</w:t>
      </w:r>
    </w:p>
    <w:p w14:paraId="3280F7B6" w14:textId="77777777" w:rsidR="00BA0B61" w:rsidRDefault="00BA0B61">
      <w:pPr>
        <w:spacing w:line="42" w:lineRule="exact"/>
        <w:rPr>
          <w:rFonts w:eastAsia="Times New Roman"/>
          <w:sz w:val="20"/>
          <w:szCs w:val="20"/>
        </w:rPr>
      </w:pPr>
    </w:p>
    <w:p w14:paraId="18ABE0BA" w14:textId="5F3BAACC" w:rsidR="00BA0B61" w:rsidRDefault="00253111">
      <w:pPr>
        <w:numPr>
          <w:ilvl w:val="0"/>
          <w:numId w:val="1"/>
        </w:numPr>
        <w:tabs>
          <w:tab w:val="left" w:pos="284"/>
        </w:tabs>
        <w:ind w:left="284" w:hanging="284"/>
        <w:rPr>
          <w:rFonts w:eastAsia="Times New Roman"/>
          <w:sz w:val="20"/>
          <w:szCs w:val="20"/>
        </w:rPr>
      </w:pPr>
      <w:r>
        <w:rPr>
          <w:rFonts w:eastAsia="Times New Roman"/>
          <w:sz w:val="20"/>
          <w:szCs w:val="20"/>
        </w:rPr>
        <w:t xml:space="preserve">Gerichts- und Erfüllungsort ist Zürich. </w:t>
      </w:r>
    </w:p>
    <w:p w14:paraId="14D910B8" w14:textId="77777777" w:rsidR="00BA0B61" w:rsidRDefault="00BA0B61">
      <w:pPr>
        <w:spacing w:line="132" w:lineRule="exact"/>
        <w:rPr>
          <w:sz w:val="24"/>
          <w:szCs w:val="24"/>
        </w:rPr>
      </w:pPr>
    </w:p>
    <w:p w14:paraId="666331D1" w14:textId="6B779F78" w:rsidR="00BA0B61" w:rsidRDefault="00253111">
      <w:pPr>
        <w:ind w:left="4"/>
        <w:rPr>
          <w:sz w:val="20"/>
          <w:szCs w:val="20"/>
        </w:rPr>
      </w:pPr>
      <w:r>
        <w:rPr>
          <w:rFonts w:eastAsia="Times New Roman"/>
        </w:rPr>
        <w:t xml:space="preserve">Zürich, den </w:t>
      </w:r>
      <w:r w:rsidR="00534695">
        <w:rPr>
          <w:rFonts w:eastAsia="Times New Roman"/>
        </w:rPr>
        <w:t>1</w:t>
      </w:r>
      <w:r>
        <w:rPr>
          <w:rFonts w:eastAsia="Times New Roman"/>
        </w:rPr>
        <w:t>.1</w:t>
      </w:r>
      <w:r w:rsidR="00534695">
        <w:rPr>
          <w:rFonts w:eastAsia="Times New Roman"/>
        </w:rPr>
        <w:t>1</w:t>
      </w:r>
      <w:r>
        <w:rPr>
          <w:rFonts w:eastAsia="Times New Roman"/>
        </w:rPr>
        <w:t>.2020</w:t>
      </w:r>
    </w:p>
    <w:p w14:paraId="067B0A01" w14:textId="5F82A393" w:rsidR="00BA0B61" w:rsidRDefault="00BA0B61">
      <w:pPr>
        <w:spacing w:line="127" w:lineRule="exact"/>
        <w:rPr>
          <w:sz w:val="24"/>
          <w:szCs w:val="24"/>
        </w:rPr>
      </w:pPr>
    </w:p>
    <w:p w14:paraId="31CA170B" w14:textId="30E2D644" w:rsidR="00AA7605" w:rsidRDefault="00AA7605">
      <w:pPr>
        <w:spacing w:line="127" w:lineRule="exact"/>
        <w:rPr>
          <w:sz w:val="24"/>
          <w:szCs w:val="24"/>
        </w:rPr>
      </w:pPr>
    </w:p>
    <w:p w14:paraId="0942BD4E" w14:textId="22C5956A" w:rsidR="00AA7605" w:rsidRDefault="00AA7605">
      <w:pPr>
        <w:spacing w:line="127" w:lineRule="exact"/>
        <w:rPr>
          <w:sz w:val="24"/>
          <w:szCs w:val="24"/>
        </w:rPr>
      </w:pPr>
    </w:p>
    <w:p w14:paraId="1101BFE7" w14:textId="0B2BC3D5" w:rsidR="00AA7605" w:rsidRDefault="00AA7605">
      <w:pPr>
        <w:spacing w:line="127" w:lineRule="exact"/>
        <w:rPr>
          <w:sz w:val="24"/>
          <w:szCs w:val="24"/>
        </w:rPr>
      </w:pPr>
    </w:p>
    <w:p w14:paraId="29047DB9" w14:textId="77777777" w:rsidR="00AA7605" w:rsidRDefault="00AA7605">
      <w:pPr>
        <w:spacing w:line="127" w:lineRule="exact"/>
        <w:rPr>
          <w:sz w:val="24"/>
          <w:szCs w:val="24"/>
        </w:rPr>
      </w:pPr>
    </w:p>
    <w:p w14:paraId="061D10E3" w14:textId="77777777" w:rsidR="00AA7605" w:rsidRDefault="00AA7605" w:rsidP="00AA7605">
      <w:pPr>
        <w:tabs>
          <w:tab w:val="left" w:pos="7784"/>
        </w:tabs>
        <w:ind w:left="4"/>
        <w:rPr>
          <w:rFonts w:eastAsia="Times New Roman"/>
          <w:sz w:val="28"/>
          <w:szCs w:val="28"/>
        </w:rPr>
      </w:pPr>
    </w:p>
    <w:p w14:paraId="3789B59E" w14:textId="715FDFE4" w:rsidR="00BA0B61" w:rsidRDefault="00AA7605" w:rsidP="00AA7605">
      <w:pPr>
        <w:tabs>
          <w:tab w:val="left" w:pos="7784"/>
        </w:tabs>
        <w:ind w:left="4"/>
        <w:rPr>
          <w:sz w:val="24"/>
          <w:szCs w:val="24"/>
        </w:rPr>
      </w:pPr>
      <w:r>
        <w:rPr>
          <w:noProof/>
          <w:sz w:val="24"/>
          <w:szCs w:val="24"/>
        </w:rPr>
        <w:drawing>
          <wp:anchor distT="0" distB="0" distL="114300" distR="114300" simplePos="0" relativeHeight="251657216" behindDoc="1" locked="0" layoutInCell="0" allowOverlap="1" wp14:anchorId="10FC4EF1" wp14:editId="716C620B">
            <wp:simplePos x="0" y="0"/>
            <wp:positionH relativeFrom="column">
              <wp:posOffset>0</wp:posOffset>
            </wp:positionH>
            <wp:positionV relativeFrom="paragraph">
              <wp:posOffset>739261</wp:posOffset>
            </wp:positionV>
            <wp:extent cx="6118860" cy="991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118860" cy="991870"/>
                    </a:xfrm>
                    <a:prstGeom prst="rect">
                      <a:avLst/>
                    </a:prstGeom>
                    <a:noFill/>
                  </pic:spPr>
                </pic:pic>
              </a:graphicData>
            </a:graphic>
          </wp:anchor>
        </w:drawing>
      </w:r>
      <w:r w:rsidR="00253111">
        <w:rPr>
          <w:rFonts w:eastAsia="Times New Roman"/>
          <w:sz w:val="28"/>
          <w:szCs w:val="28"/>
        </w:rPr>
        <w:t>L</w:t>
      </w:r>
      <w:r w:rsidR="00253111">
        <w:rPr>
          <w:rFonts w:eastAsia="Times New Roman"/>
          <w:sz w:val="20"/>
          <w:szCs w:val="20"/>
        </w:rPr>
        <w:t>IT</w:t>
      </w:r>
      <w:r w:rsidR="00253111">
        <w:rPr>
          <w:rFonts w:eastAsia="Times New Roman"/>
          <w:sz w:val="28"/>
          <w:szCs w:val="28"/>
        </w:rPr>
        <w:t xml:space="preserve"> </w:t>
      </w:r>
      <w:r w:rsidR="00253111">
        <w:rPr>
          <w:rFonts w:eastAsia="Times New Roman"/>
          <w:sz w:val="24"/>
          <w:szCs w:val="24"/>
        </w:rPr>
        <w:t>Verlag</w:t>
      </w:r>
      <w:r w:rsidR="00253111">
        <w:rPr>
          <w:sz w:val="20"/>
          <w:szCs w:val="20"/>
        </w:rPr>
        <w:tab/>
      </w:r>
      <w:r w:rsidR="00253111">
        <w:rPr>
          <w:rFonts w:eastAsia="Times New Roman"/>
          <w:sz w:val="23"/>
          <w:szCs w:val="23"/>
        </w:rPr>
        <w:t>Herausgeber</w:t>
      </w:r>
    </w:p>
    <w:sectPr w:rsidR="00BA0B61">
      <w:pgSz w:w="11900" w:h="16840"/>
      <w:pgMar w:top="1440" w:right="1160" w:bottom="1440" w:left="1136" w:header="0" w:footer="0" w:gutter="0"/>
      <w:cols w:space="708" w:equalWidth="0">
        <w:col w:w="96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hybridMultilevel"/>
    <w:tmpl w:val="5EA0AFEC"/>
    <w:lvl w:ilvl="0" w:tplc="9D5668E8">
      <w:start w:val="2"/>
      <w:numFmt w:val="decimal"/>
      <w:lvlText w:val="%1."/>
      <w:lvlJc w:val="left"/>
    </w:lvl>
    <w:lvl w:ilvl="1" w:tplc="2C2290F8">
      <w:numFmt w:val="decimal"/>
      <w:lvlText w:val=""/>
      <w:lvlJc w:val="left"/>
    </w:lvl>
    <w:lvl w:ilvl="2" w:tplc="F95E481E">
      <w:numFmt w:val="decimal"/>
      <w:lvlText w:val=""/>
      <w:lvlJc w:val="left"/>
    </w:lvl>
    <w:lvl w:ilvl="3" w:tplc="0F62A534">
      <w:numFmt w:val="decimal"/>
      <w:lvlText w:val=""/>
      <w:lvlJc w:val="left"/>
    </w:lvl>
    <w:lvl w:ilvl="4" w:tplc="6114D588">
      <w:numFmt w:val="decimal"/>
      <w:lvlText w:val=""/>
      <w:lvlJc w:val="left"/>
    </w:lvl>
    <w:lvl w:ilvl="5" w:tplc="7B48D4A6">
      <w:numFmt w:val="decimal"/>
      <w:lvlText w:val=""/>
      <w:lvlJc w:val="left"/>
    </w:lvl>
    <w:lvl w:ilvl="6" w:tplc="80EC6F5C">
      <w:numFmt w:val="decimal"/>
      <w:lvlText w:val=""/>
      <w:lvlJc w:val="left"/>
    </w:lvl>
    <w:lvl w:ilvl="7" w:tplc="AC28EEDE">
      <w:numFmt w:val="decimal"/>
      <w:lvlText w:val=""/>
      <w:lvlJc w:val="left"/>
    </w:lvl>
    <w:lvl w:ilvl="8" w:tplc="7680A84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B61"/>
    <w:rsid w:val="00253111"/>
    <w:rsid w:val="004A055E"/>
    <w:rsid w:val="00534695"/>
    <w:rsid w:val="00611434"/>
    <w:rsid w:val="00A62FF8"/>
    <w:rsid w:val="00AA7605"/>
    <w:rsid w:val="00BA0B61"/>
    <w:rsid w:val="00C9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0D30"/>
  <w15:docId w15:val="{009B0E3D-FDE6-4C16-BD3D-FEA5F18F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114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1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366</Words>
  <Characters>2194</Characters>
  <Application>Microsoft Office Word</Application>
  <DocSecurity>0</DocSecurity>
  <Lines>31</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Martin Holý</cp:lastModifiedBy>
  <cp:revision>5</cp:revision>
  <cp:lastPrinted>2020-11-01T13:30:00Z</cp:lastPrinted>
  <dcterms:created xsi:type="dcterms:W3CDTF">2020-10-23T08:20:00Z</dcterms:created>
  <dcterms:modified xsi:type="dcterms:W3CDTF">2020-11-01T17:35:00Z</dcterms:modified>
</cp:coreProperties>
</file>