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5A56" w14:textId="77777777" w:rsidR="008850C7" w:rsidRPr="0033058D" w:rsidRDefault="006452A5" w:rsidP="006452A5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Technická specifikace </w:t>
      </w:r>
      <w:r w:rsidR="00A73DDC">
        <w:rPr>
          <w:rFonts w:ascii="Arial" w:hAnsi="Arial" w:cs="Arial"/>
          <w:b/>
          <w:sz w:val="22"/>
          <w:szCs w:val="22"/>
          <w:u w:val="single"/>
        </w:rPr>
        <w:t>konvektomatu</w:t>
      </w:r>
    </w:p>
    <w:p w14:paraId="7FB86E1B" w14:textId="77777777" w:rsidR="00453F96" w:rsidRDefault="00453F96" w:rsidP="00453F96">
      <w:pPr>
        <w:shd w:val="clear" w:color="auto" w:fill="FFFFFF"/>
        <w:spacing w:line="216" w:lineRule="atLeast"/>
        <w:ind w:hanging="360"/>
        <w:rPr>
          <w:rFonts w:ascii="Arial" w:hAnsi="Arial" w:cs="Arial"/>
          <w:color w:val="1F497D"/>
          <w:sz w:val="26"/>
          <w:szCs w:val="26"/>
        </w:rPr>
      </w:pPr>
    </w:p>
    <w:p w14:paraId="6164EBFB" w14:textId="77777777" w:rsidR="00802BB2" w:rsidRDefault="000D2174" w:rsidP="000D2174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D2174">
        <w:rPr>
          <w:rFonts w:ascii="Arial" w:hAnsi="Arial" w:cs="Arial"/>
          <w:sz w:val="22"/>
          <w:szCs w:val="22"/>
        </w:rPr>
        <w:t>Tato příloha zadávací dokumentace stanoví minimální technické, materiálové a funkční požadavky na předmět plnění</w:t>
      </w:r>
      <w:r>
        <w:rPr>
          <w:rFonts w:ascii="Arial" w:hAnsi="Arial" w:cs="Arial"/>
          <w:sz w:val="22"/>
          <w:szCs w:val="22"/>
        </w:rPr>
        <w:t xml:space="preserve"> – dodávku </w:t>
      </w:r>
      <w:proofErr w:type="gramStart"/>
      <w:r w:rsidR="00A73DDC">
        <w:rPr>
          <w:rFonts w:ascii="Arial" w:hAnsi="Arial" w:cs="Arial"/>
          <w:sz w:val="22"/>
          <w:szCs w:val="22"/>
        </w:rPr>
        <w:t>konvektomatu</w:t>
      </w:r>
      <w:r>
        <w:rPr>
          <w:rFonts w:ascii="Arial" w:hAnsi="Arial" w:cs="Arial"/>
          <w:sz w:val="22"/>
          <w:szCs w:val="22"/>
        </w:rPr>
        <w:t xml:space="preserve"> -</w:t>
      </w:r>
      <w:r w:rsidRPr="000D2174">
        <w:rPr>
          <w:rFonts w:ascii="Arial" w:hAnsi="Arial" w:cs="Arial"/>
          <w:sz w:val="22"/>
          <w:szCs w:val="22"/>
        </w:rPr>
        <w:t xml:space="preserve"> veřejné</w:t>
      </w:r>
      <w:proofErr w:type="gramEnd"/>
      <w:r w:rsidRPr="000D2174">
        <w:rPr>
          <w:rFonts w:ascii="Arial" w:hAnsi="Arial" w:cs="Arial"/>
          <w:sz w:val="22"/>
          <w:szCs w:val="22"/>
        </w:rPr>
        <w:t xml:space="preserve"> zakázky pod označením </w:t>
      </w:r>
    </w:p>
    <w:p w14:paraId="77BDE4DB" w14:textId="77777777" w:rsidR="00802BB2" w:rsidRDefault="00802BB2" w:rsidP="00802BB2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4B019C3F" w14:textId="0E56979B" w:rsidR="003101A2" w:rsidRPr="003101A2" w:rsidRDefault="00A73DDC" w:rsidP="00DB58CB">
      <w:pPr>
        <w:ind w:right="-709"/>
        <w:jc w:val="center"/>
        <w:rPr>
          <w:sz w:val="36"/>
          <w:szCs w:val="36"/>
        </w:rPr>
      </w:pPr>
      <w:r w:rsidRPr="00FD3280">
        <w:rPr>
          <w:rFonts w:ascii="Arial Black" w:hAnsi="Arial Black" w:cs="Arial"/>
          <w:sz w:val="28"/>
          <w:szCs w:val="28"/>
        </w:rPr>
        <w:t xml:space="preserve">Dodávka </w:t>
      </w:r>
      <w:r>
        <w:rPr>
          <w:rFonts w:ascii="Arial Black" w:hAnsi="Arial Black" w:cs="Arial"/>
          <w:sz w:val="28"/>
          <w:szCs w:val="28"/>
        </w:rPr>
        <w:t>konvektomatu pro</w:t>
      </w:r>
      <w:r w:rsidRPr="00FD3280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FD3280">
        <w:rPr>
          <w:rFonts w:ascii="Arial Black" w:hAnsi="Arial Black" w:cs="Arial"/>
          <w:sz w:val="28"/>
          <w:szCs w:val="28"/>
        </w:rPr>
        <w:t>MěÚSS</w:t>
      </w:r>
      <w:proofErr w:type="spellEnd"/>
      <w:r w:rsidRPr="00FD3280">
        <w:rPr>
          <w:rFonts w:ascii="Arial Black" w:hAnsi="Arial Black" w:cs="Arial"/>
          <w:sz w:val="28"/>
          <w:szCs w:val="28"/>
        </w:rPr>
        <w:t xml:space="preserve"> Strakonice </w:t>
      </w:r>
      <w:proofErr w:type="gramStart"/>
      <w:r w:rsidRPr="00FD3280">
        <w:rPr>
          <w:rFonts w:ascii="Arial Black" w:hAnsi="Arial Black" w:cs="Arial"/>
          <w:sz w:val="28"/>
          <w:szCs w:val="28"/>
        </w:rPr>
        <w:t>20</w:t>
      </w:r>
      <w:r>
        <w:rPr>
          <w:rFonts w:ascii="Arial Black" w:hAnsi="Arial Black" w:cs="Arial"/>
          <w:sz w:val="28"/>
          <w:szCs w:val="28"/>
        </w:rPr>
        <w:t>20</w:t>
      </w:r>
      <w:r w:rsidR="00DB58CB">
        <w:rPr>
          <w:rFonts w:ascii="Arial Black" w:hAnsi="Arial Black" w:cs="Arial"/>
          <w:sz w:val="28"/>
          <w:szCs w:val="28"/>
        </w:rPr>
        <w:t>-opakování</w:t>
      </w:r>
      <w:proofErr w:type="gramEnd"/>
    </w:p>
    <w:p w14:paraId="17D3EBF0" w14:textId="77777777" w:rsidR="00A73DDC" w:rsidRPr="00362662" w:rsidRDefault="00A73DDC" w:rsidP="001C6EA0">
      <w:pPr>
        <w:rPr>
          <w:rFonts w:ascii="Arial" w:hAnsi="Arial" w:cs="Arial"/>
          <w:sz w:val="16"/>
          <w:szCs w:val="16"/>
          <w:u w:val="single"/>
        </w:rPr>
      </w:pPr>
    </w:p>
    <w:p w14:paraId="380F21DE" w14:textId="77777777" w:rsidR="001C6EA0" w:rsidRPr="005C327E" w:rsidRDefault="001C6EA0" w:rsidP="001C6EA0">
      <w:pPr>
        <w:rPr>
          <w:rFonts w:ascii="Arial" w:hAnsi="Arial" w:cs="Arial"/>
          <w:sz w:val="28"/>
          <w:szCs w:val="28"/>
          <w:u w:val="single"/>
        </w:rPr>
      </w:pPr>
      <w:r w:rsidRPr="005C327E">
        <w:rPr>
          <w:rFonts w:ascii="Arial" w:hAnsi="Arial" w:cs="Arial"/>
          <w:sz w:val="28"/>
          <w:szCs w:val="28"/>
          <w:u w:val="single"/>
        </w:rPr>
        <w:t xml:space="preserve">Specifikace </w:t>
      </w:r>
      <w:r w:rsidR="00A73DDC">
        <w:rPr>
          <w:rFonts w:ascii="Arial" w:hAnsi="Arial" w:cs="Arial"/>
          <w:sz w:val="28"/>
          <w:szCs w:val="28"/>
          <w:u w:val="single"/>
        </w:rPr>
        <w:t>konvektomat</w:t>
      </w:r>
      <w:r w:rsidRPr="005C327E">
        <w:rPr>
          <w:rFonts w:ascii="Arial" w:hAnsi="Arial" w:cs="Arial"/>
          <w:sz w:val="28"/>
          <w:szCs w:val="28"/>
          <w:u w:val="single"/>
        </w:rPr>
        <w:t xml:space="preserve">: DS </w:t>
      </w:r>
      <w:r w:rsidR="00A73DDC">
        <w:rPr>
          <w:rFonts w:ascii="Arial" w:hAnsi="Arial" w:cs="Arial"/>
          <w:sz w:val="28"/>
          <w:szCs w:val="28"/>
          <w:u w:val="single"/>
        </w:rPr>
        <w:t>Rybniční</w:t>
      </w:r>
    </w:p>
    <w:p w14:paraId="379306A9" w14:textId="77777777" w:rsidR="00FF4AF3" w:rsidRPr="00362662" w:rsidRDefault="00FF4AF3" w:rsidP="00FF4AF3">
      <w:pPr>
        <w:rPr>
          <w:rFonts w:ascii="Arial" w:hAnsi="Arial" w:cs="Arial"/>
          <w:sz w:val="16"/>
          <w:szCs w:val="16"/>
          <w:u w:val="single"/>
        </w:rPr>
      </w:pPr>
    </w:p>
    <w:p w14:paraId="1E734009" w14:textId="77777777" w:rsidR="00FF4AF3" w:rsidRPr="005C327E" w:rsidRDefault="00FF4AF3" w:rsidP="00FF4AF3">
      <w:pPr>
        <w:rPr>
          <w:rFonts w:ascii="Arial" w:hAnsi="Arial" w:cs="Arial"/>
          <w:sz w:val="28"/>
          <w:szCs w:val="28"/>
        </w:rPr>
      </w:pPr>
      <w:r w:rsidRPr="005C327E">
        <w:rPr>
          <w:rFonts w:ascii="Arial" w:hAnsi="Arial" w:cs="Arial"/>
          <w:sz w:val="28"/>
          <w:szCs w:val="28"/>
          <w:u w:val="single"/>
        </w:rPr>
        <w:t xml:space="preserve">Počet </w:t>
      </w:r>
      <w:proofErr w:type="gramStart"/>
      <w:r w:rsidRPr="005C327E">
        <w:rPr>
          <w:rFonts w:ascii="Arial" w:hAnsi="Arial" w:cs="Arial"/>
          <w:sz w:val="28"/>
          <w:szCs w:val="28"/>
          <w:u w:val="single"/>
        </w:rPr>
        <w:t>kusů:</w:t>
      </w:r>
      <w:r w:rsidRPr="005C327E">
        <w:rPr>
          <w:rFonts w:ascii="Arial" w:hAnsi="Arial" w:cs="Arial"/>
          <w:sz w:val="28"/>
          <w:szCs w:val="28"/>
        </w:rPr>
        <w:t xml:space="preserve"> </w:t>
      </w:r>
      <w:r w:rsidR="005C327E">
        <w:rPr>
          <w:rFonts w:ascii="Arial" w:hAnsi="Arial" w:cs="Arial"/>
          <w:sz w:val="28"/>
          <w:szCs w:val="28"/>
        </w:rPr>
        <w:t xml:space="preserve">  </w:t>
      </w:r>
      <w:proofErr w:type="gramEnd"/>
      <w:r w:rsidR="00A73DDC">
        <w:rPr>
          <w:rFonts w:ascii="Arial" w:hAnsi="Arial" w:cs="Arial"/>
          <w:sz w:val="28"/>
          <w:szCs w:val="28"/>
        </w:rPr>
        <w:t>1</w:t>
      </w:r>
      <w:r w:rsidRPr="005C327E">
        <w:rPr>
          <w:rFonts w:ascii="Arial" w:hAnsi="Arial" w:cs="Arial"/>
          <w:sz w:val="28"/>
          <w:szCs w:val="28"/>
        </w:rPr>
        <w:t xml:space="preserve"> ks</w:t>
      </w:r>
    </w:p>
    <w:p w14:paraId="466C6D6A" w14:textId="77777777" w:rsidR="001C6EA0" w:rsidRPr="00362662" w:rsidRDefault="001C6EA0" w:rsidP="001C6EA0">
      <w:pPr>
        <w:rPr>
          <w:rFonts w:ascii="Arial" w:hAnsi="Arial" w:cs="Arial"/>
          <w:sz w:val="16"/>
          <w:szCs w:val="16"/>
        </w:rPr>
      </w:pPr>
    </w:p>
    <w:p w14:paraId="6675812F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8"/>
          <w:szCs w:val="28"/>
        </w:rPr>
      </w:pPr>
      <w:r w:rsidRPr="00322EE8">
        <w:rPr>
          <w:rFonts w:ascii="NimbusGlobalSans" w:hAnsi="NimbusGlobalSans" w:cs="NimbusGlobalSans"/>
          <w:color w:val="FF0000"/>
          <w:sz w:val="28"/>
          <w:szCs w:val="28"/>
        </w:rPr>
        <w:t>Technické specifikace</w:t>
      </w:r>
    </w:p>
    <w:p w14:paraId="44E9D89E" w14:textId="77777777" w:rsidR="00362662" w:rsidRDefault="00362662" w:rsidP="00362662">
      <w:pPr>
        <w:rPr>
          <w:sz w:val="20"/>
          <w:szCs w:val="20"/>
        </w:rPr>
      </w:pPr>
      <w:r>
        <w:rPr>
          <w:sz w:val="20"/>
          <w:szCs w:val="20"/>
        </w:rPr>
        <w:t>Velikost zařízení kapacita: GN 20x1/1-65</w:t>
      </w:r>
    </w:p>
    <w:p w14:paraId="5A27F87E" w14:textId="77777777" w:rsidR="00362662" w:rsidRDefault="00362662" w:rsidP="00362662">
      <w:pPr>
        <w:rPr>
          <w:sz w:val="20"/>
          <w:szCs w:val="20"/>
        </w:rPr>
      </w:pPr>
      <w:r>
        <w:rPr>
          <w:sz w:val="20"/>
          <w:szCs w:val="20"/>
        </w:rPr>
        <w:t xml:space="preserve">Kapacita jídel za den: </w:t>
      </w:r>
      <w:proofErr w:type="gramStart"/>
      <w:r>
        <w:rPr>
          <w:sz w:val="20"/>
          <w:szCs w:val="20"/>
        </w:rPr>
        <w:t>150 - 300</w:t>
      </w:r>
      <w:proofErr w:type="gramEnd"/>
    </w:p>
    <w:p w14:paraId="4A74E479" w14:textId="77777777" w:rsidR="00362662" w:rsidRDefault="00362662" w:rsidP="00362662">
      <w:pPr>
        <w:rPr>
          <w:sz w:val="20"/>
          <w:szCs w:val="20"/>
        </w:rPr>
      </w:pPr>
      <w:r>
        <w:rPr>
          <w:sz w:val="20"/>
          <w:szCs w:val="20"/>
        </w:rPr>
        <w:t>Příkon zařízení: 37 kW, Napětí: 400</w:t>
      </w:r>
      <w:proofErr w:type="gramStart"/>
      <w:r>
        <w:rPr>
          <w:sz w:val="20"/>
          <w:szCs w:val="20"/>
        </w:rPr>
        <w:t>V,  Jistič</w:t>
      </w:r>
      <w:proofErr w:type="gramEnd"/>
      <w:r>
        <w:rPr>
          <w:sz w:val="20"/>
          <w:szCs w:val="20"/>
        </w:rPr>
        <w:t>:  3x63A</w:t>
      </w:r>
    </w:p>
    <w:p w14:paraId="016DC29D" w14:textId="77777777" w:rsidR="00362662" w:rsidRDefault="00362662" w:rsidP="00362662">
      <w:pPr>
        <w:rPr>
          <w:sz w:val="20"/>
          <w:szCs w:val="20"/>
        </w:rPr>
      </w:pPr>
      <w:r>
        <w:rPr>
          <w:sz w:val="20"/>
          <w:szCs w:val="20"/>
        </w:rPr>
        <w:t xml:space="preserve">Odpad: </w:t>
      </w: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>. 50 mm</w:t>
      </w:r>
    </w:p>
    <w:p w14:paraId="6ACFAD8A" w14:textId="77777777" w:rsidR="00362662" w:rsidRDefault="00362662" w:rsidP="00362662">
      <w:pPr>
        <w:rPr>
          <w:sz w:val="20"/>
          <w:szCs w:val="20"/>
        </w:rPr>
      </w:pPr>
      <w:r>
        <w:rPr>
          <w:sz w:val="20"/>
          <w:szCs w:val="20"/>
        </w:rPr>
        <w:t>Přívod vody: ¾“</w:t>
      </w:r>
    </w:p>
    <w:p w14:paraId="3C41834A" w14:textId="77777777" w:rsidR="00362662" w:rsidRDefault="00362662" w:rsidP="00362662">
      <w:pPr>
        <w:rPr>
          <w:sz w:val="20"/>
          <w:szCs w:val="20"/>
        </w:rPr>
      </w:pPr>
    </w:p>
    <w:p w14:paraId="38569283" w14:textId="77777777" w:rsidR="00362662" w:rsidRPr="00BA106F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t>Funkce 7 provozních režimů</w:t>
      </w:r>
    </w:p>
    <w:p w14:paraId="6C3F8341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Funkce – automatický režim se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7 využitími: maso, drůbež, ryby, přílohy, vaječn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é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pokrmy, pečivo a </w:t>
      </w:r>
    </w:p>
    <w:p w14:paraId="5B9B4262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proofErr w:type="gramStart"/>
      <w:r w:rsidRPr="00322EE8">
        <w:rPr>
          <w:rFonts w:ascii="NimbusGlobalSans" w:hAnsi="NimbusGlobalSans" w:cs="NimbusGlobalSans"/>
          <w:color w:val="000000"/>
          <w:sz w:val="20"/>
          <w:szCs w:val="20"/>
        </w:rPr>
        <w:t>funkce  pro</w:t>
      </w:r>
      <w:proofErr w:type="gramEnd"/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 snadné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dosažení požadovaného výsledku s</w:t>
      </w:r>
      <w:r>
        <w:rPr>
          <w:rFonts w:ascii="NimbusGlobalSans" w:hAnsi="NimbusGlobalSans" w:cs="NimbusGlobalSans"/>
          <w:color w:val="000000"/>
          <w:sz w:val="20"/>
          <w:szCs w:val="20"/>
        </w:rPr>
        <w:t> 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automatickou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úpravu ideálního průběhu vaření</w:t>
      </w:r>
      <w:r>
        <w:rPr>
          <w:rFonts w:ascii="NimbusGlobalSans" w:hAnsi="NimbusGlobalSans" w:cs="NimbusGlobalSans"/>
          <w:color w:val="000000"/>
          <w:sz w:val="20"/>
          <w:szCs w:val="20"/>
        </w:rPr>
        <w:t>.</w:t>
      </w:r>
    </w:p>
    <w:p w14:paraId="6E4E877C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Možnost manuální funkce stroje v režimech: pára, horký vzduch a jejich kombinace s možností řízení páry procentuálně.</w:t>
      </w:r>
    </w:p>
    <w:p w14:paraId="55B090BD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</w:p>
    <w:p w14:paraId="71AD83B1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t>Režim konvektomat</w:t>
      </w:r>
    </w:p>
    <w:p w14:paraId="28A1FFC2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Pára o teplotě mezi 30 °C a 130 °C</w:t>
      </w:r>
    </w:p>
    <w:p w14:paraId="69DD830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Horký vzduch o teplotě 30 °</w:t>
      </w:r>
      <w:proofErr w:type="gramStart"/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C 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-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300</w:t>
      </w:r>
      <w:proofErr w:type="gramEnd"/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 °C</w:t>
      </w:r>
    </w:p>
    <w:p w14:paraId="71F87D4E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Kombinace páry a horkého vzduchu</w:t>
      </w:r>
    </w:p>
    <w:p w14:paraId="64EC0A6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(30 °</w:t>
      </w:r>
      <w:proofErr w:type="gramStart"/>
      <w:r w:rsidRPr="00322EE8">
        <w:rPr>
          <w:rFonts w:ascii="NimbusGlobalSans" w:hAnsi="NimbusGlobalSans" w:cs="NimbusGlobalSans"/>
          <w:color w:val="000000"/>
          <w:sz w:val="20"/>
          <w:szCs w:val="20"/>
        </w:rPr>
        <w:t>C – 300</w:t>
      </w:r>
      <w:proofErr w:type="gramEnd"/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 °C)</w:t>
      </w:r>
    </w:p>
    <w:p w14:paraId="4E57EF01" w14:textId="180CFD73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rozdělení energie ve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varné komoře</w:t>
      </w:r>
    </w:p>
    <w:p w14:paraId="1E78CE2F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Kombinovaná příprava pokrmů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se samostatným dohledem na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každý zásuvný rošt a průběžnými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úpravami podle způsobu a množství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připravovaných pokrmů a četnosti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otevírání dvířek</w:t>
      </w:r>
      <w:r>
        <w:rPr>
          <w:rFonts w:ascii="NimbusGlobalSans" w:hAnsi="NimbusGlobalSans" w:cs="NimbusGlobalSans"/>
          <w:color w:val="000000"/>
          <w:sz w:val="20"/>
          <w:szCs w:val="20"/>
        </w:rPr>
        <w:t>.</w:t>
      </w:r>
    </w:p>
    <w:p w14:paraId="31FE0E07" w14:textId="2354DCD0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Systém automaticky rozpoznává a účinně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odstraňuje nečistoty a vápenité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u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sazeniny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ve vyvíječi páry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.</w:t>
      </w:r>
    </w:p>
    <w:p w14:paraId="7A6CFE0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</w:p>
    <w:p w14:paraId="425A4A6E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t>Bezpečnost práce</w:t>
      </w:r>
    </w:p>
    <w:p w14:paraId="1CE6296B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Čisticí a pečující tablety (pevný čistič) zajišťují optimální bezpečnost práce</w:t>
      </w:r>
    </w:p>
    <w:p w14:paraId="44CF9DFA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Export dat HACCP / aktualizace softwaru prostřednictvím integrovaného Ethernetu, příp. rozhraní USB</w:t>
      </w:r>
    </w:p>
    <w:p w14:paraId="6BEC4AD2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Bezpečnostní omezovač teploty parního generátoru a horkovzdušného topení</w:t>
      </w:r>
    </w:p>
    <w:p w14:paraId="62FF53A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Zařízení má schválen provoz bez dozoru dle podmínek VDE</w:t>
      </w:r>
    </w:p>
    <w:p w14:paraId="7839D136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Integrovaná brzda oběžného kola ventilátoru</w:t>
      </w:r>
    </w:p>
    <w:p w14:paraId="5D1BFBC0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</w:p>
    <w:p w14:paraId="1595EDC3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t>Obsluha</w:t>
      </w:r>
    </w:p>
    <w:p w14:paraId="33CF12BB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Zařízení umožňuje dálkové ovládání prostřednictvím softwaru a mobilní aplikace</w:t>
      </w:r>
    </w:p>
    <w:p w14:paraId="2A0E4EF3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grafické zobrazení aktuálního klimatu ve varné komoře, předvídaného dalšího průběhu</w:t>
      </w:r>
    </w:p>
    <w:p w14:paraId="01F790E8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přípravy pokrmů, dosavadního průběhu a předpovědi dalších činností a možností po dokončení pokrmu</w:t>
      </w:r>
    </w:p>
    <w:p w14:paraId="117EB27B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informace o aktuálních automaticky provedených úpravách nastavení varného postupu</w:t>
      </w:r>
    </w:p>
    <w:p w14:paraId="4491D3E1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přehledné zobrazení aktuálních automaticky provedených úprav nastavení varného postupu</w:t>
      </w:r>
    </w:p>
    <w:p w14:paraId="297A3C40" w14:textId="299DC31B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• 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min.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9 možností vlastní úpravy obslužného rozhraní (obrázky, popisky atd.) jednotlivými uživateli</w:t>
      </w:r>
    </w:p>
    <w:p w14:paraId="5166311A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Režim záznamu – stanovení ideálního postupu podle teploty pokrmu při kalibraci produktů pro pozdější</w:t>
      </w:r>
    </w:p>
    <w:p w14:paraId="587681B8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opětovnou přípravu bez snímače vnitřní teploty pokrmu a s automatickým přizpůsobením podle množství</w:t>
      </w:r>
    </w:p>
    <w:p w14:paraId="555B506D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připravovaného pokrmu</w:t>
      </w:r>
    </w:p>
    <w:p w14:paraId="2B29449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Samostatné přizpůsobení obslužného rozhraní podle častého stylu používání</w:t>
      </w:r>
    </w:p>
    <w:p w14:paraId="6939D46F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•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 barevný TFT displej s dotykovou obrazovkou s intuitivními ikonami zajišťuje velmi snadné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ovládání</w:t>
      </w:r>
    </w:p>
    <w:p w14:paraId="6A979644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Návod k použití a příručku k obsluze lze na displeji zařízení zobrazit v závislosti na akci.</w:t>
      </w:r>
    </w:p>
    <w:p w14:paraId="33998107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</w:p>
    <w:p w14:paraId="16967233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</w:p>
    <w:p w14:paraId="2ED1F83D" w14:textId="22F7C6E8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lastRenderedPageBreak/>
        <w:t>Čištění, péče a bezpečnost provozu</w:t>
      </w:r>
    </w:p>
    <w:p w14:paraId="482D04D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Systém automatického čištění a péče o varnou komoru a generátor páry nezávislý na tlaku sítě</w:t>
      </w:r>
    </w:p>
    <w:p w14:paraId="021F8D4B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7 stupňů čištění pro bezobslužné čištění a péči také přes noc</w:t>
      </w:r>
    </w:p>
    <w:p w14:paraId="0F7C19EA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Automatické čištění a odvápnění generátoru páry</w:t>
      </w:r>
    </w:p>
    <w:p w14:paraId="26FAEB2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Automatická výzva k čištění v závislosti na intenzitě znečištění s poznámkou o stupni čištění a množství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chemie</w:t>
      </w:r>
    </w:p>
    <w:p w14:paraId="031CB434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Zobrazení stavu znečištění a stavu údržby na displeji</w:t>
      </w:r>
    </w:p>
    <w:p w14:paraId="7F39F1B9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Diagnostický systém s automatickým zobrazováním servisních hlášení</w:t>
      </w:r>
    </w:p>
    <w:p w14:paraId="6CFB474F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Funkce vlastního testu ke kontrole funkcí zařízení</w:t>
      </w:r>
    </w:p>
    <w:p w14:paraId="7EEB9144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</w:p>
    <w:p w14:paraId="2E30C960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FF0000"/>
          <w:sz w:val="20"/>
          <w:szCs w:val="20"/>
        </w:rPr>
      </w:pPr>
      <w:r w:rsidRPr="00322EE8">
        <w:rPr>
          <w:rFonts w:ascii="NimbusGlobalSans" w:hAnsi="NimbusGlobalSans" w:cs="NimbusGlobalSans"/>
          <w:color w:val="FF0000"/>
          <w:sz w:val="20"/>
          <w:szCs w:val="20"/>
        </w:rPr>
        <w:t>Výbava</w:t>
      </w:r>
    </w:p>
    <w:p w14:paraId="20AA427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Dvířka s trojitým sklem odvětrávaným zezadu, dvě výklopné vnitřní tabulky (pro snadné čištění) se speciální</w:t>
      </w:r>
    </w:p>
    <w:p w14:paraId="3EC499D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vrstvou odrážející teplo</w:t>
      </w:r>
    </w:p>
    <w:p w14:paraId="174F6378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LED osvětlení varné komory a zásuvného roštu – úsporné, s dlouhou životností a nevyžadující údržbu</w:t>
      </w:r>
    </w:p>
    <w:p w14:paraId="5BA79E33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Snímač vnitřní teploty pokrmu se 6 místy měření i automatickými opravami chyb při nesprávném umístění</w:t>
      </w:r>
    </w:p>
    <w:p w14:paraId="486CFFCA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a polohovací pomůcka</w:t>
      </w:r>
    </w:p>
    <w:p w14:paraId="189DCC7D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Správa klimatu – měření, nastavení a regulace vlhkosti s přesností na procenta. Aktuální vlhkost ve varné</w:t>
      </w:r>
    </w:p>
    <w:p w14:paraId="78BAA4A8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komoře je možné nastavit a zobrazit na ovládací liště</w:t>
      </w:r>
    </w:p>
    <w:p w14:paraId="2B4BCBA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Individuální programování nejméně 1200 varných programů s až 12 kroky</w:t>
      </w:r>
    </w:p>
    <w:p w14:paraId="15D07AA5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Možnost zvlhčování ve 3 nastavitelných stupních (30–260 °C) v režimu horkého vzduchu nebo</w:t>
      </w:r>
    </w:p>
    <w:p w14:paraId="79FDCF8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v kombinovaném režimu</w:t>
      </w:r>
    </w:p>
    <w:p w14:paraId="190F41BE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Integrované ethernetové a USB rozhraní</w:t>
      </w:r>
    </w:p>
    <w:p w14:paraId="7959C573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• Vysoce výkonný parní generátor s </w:t>
      </w:r>
      <w:proofErr w:type="gramStart"/>
      <w:r w:rsidRPr="00322EE8">
        <w:rPr>
          <w:rFonts w:ascii="NimbusGlobalSans" w:hAnsi="NimbusGlobalSans" w:cs="NimbusGlobalSans"/>
          <w:color w:val="000000"/>
          <w:sz w:val="20"/>
          <w:szCs w:val="20"/>
        </w:rPr>
        <w:t>automatických odvápněním</w:t>
      </w:r>
      <w:proofErr w:type="gramEnd"/>
    </w:p>
    <w:p w14:paraId="03F8CC29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Dynamické proudění vzduchu ve varné komoře díky programovatelnému obousměrnému kolu ventilátoru</w:t>
      </w:r>
    </w:p>
    <w:p w14:paraId="7ABCEC4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s 5 rychlostmi</w:t>
      </w:r>
    </w:p>
    <w:p w14:paraId="3CC1402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Integrovaný bezúdržbový systém odlučování tuků bez přídavného tukového filtru</w:t>
      </w:r>
    </w:p>
    <w:p w14:paraId="5CC6E26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Provoz bez zařízení na změkčování vody a bez dodatečného odvápňování</w:t>
      </w:r>
    </w:p>
    <w:p w14:paraId="54E9234C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Oddělené magnetické ventily pro normální a měkkou vodu</w:t>
      </w:r>
    </w:p>
    <w:p w14:paraId="0EFC0131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Funkce zchlazení prostřednictvím kola ventilátoru zajišťuje rychlé ochlazení varné komory</w:t>
      </w:r>
    </w:p>
    <w:p w14:paraId="74C65B7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Automatické přizpůsobení místu instalace (výška, klima atd.)</w:t>
      </w:r>
    </w:p>
    <w:p w14:paraId="78AFB394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• Zavážecí konstrukce </w:t>
      </w:r>
      <w:proofErr w:type="gramStart"/>
      <w:r w:rsidRPr="00322EE8">
        <w:rPr>
          <w:rFonts w:ascii="NimbusGlobalSans" w:hAnsi="NimbusGlobalSans" w:cs="NimbusGlobalSans"/>
          <w:color w:val="000000"/>
          <w:sz w:val="20"/>
          <w:szCs w:val="20"/>
        </w:rPr>
        <w:t>( odstupy</w:t>
      </w:r>
      <w:proofErr w:type="gramEnd"/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 vsunů 2 1/2 "/ 63 mm) s kolečky, průměr kola 5" / 125 mm</w:t>
      </w:r>
    </w:p>
    <w:p w14:paraId="07891C65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Dveře varné komory s vestavěnou těsnicí mechanikou</w:t>
      </w:r>
    </w:p>
    <w:p w14:paraId="32130A43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Vnitřní a vnější materiál – ušlechtilá ocel dle DIN 1.4301</w:t>
      </w:r>
    </w:p>
    <w:p w14:paraId="1F7D6F54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Ruční sprcha s navíjecím mechanismem</w:t>
      </w:r>
    </w:p>
    <w:p w14:paraId="2A24ABD4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Přípustné p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evné připojení k odpadu </w:t>
      </w:r>
    </w:p>
    <w:p w14:paraId="5BE0B45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Přívod energie řízený podle skutečné potřeby</w:t>
      </w:r>
    </w:p>
    <w:p w14:paraId="56733CA7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 Z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ásuvný roš</w:t>
      </w:r>
      <w:r>
        <w:rPr>
          <w:rFonts w:ascii="NimbusGlobalSans" w:hAnsi="NimbusGlobalSans" w:cs="NimbusGlobalSans"/>
          <w:color w:val="000000"/>
          <w:sz w:val="20"/>
          <w:szCs w:val="20"/>
        </w:rPr>
        <w:t>t pro 1/</w:t>
      </w:r>
      <w:proofErr w:type="gramStart"/>
      <w:r>
        <w:rPr>
          <w:rFonts w:ascii="NimbusGlobalSans" w:hAnsi="NimbusGlobalSans" w:cs="NimbusGlobalSans"/>
          <w:color w:val="000000"/>
          <w:sz w:val="20"/>
          <w:szCs w:val="20"/>
        </w:rPr>
        <w:t>1,  ½</w:t>
      </w:r>
      <w:proofErr w:type="gramEnd"/>
      <w:r>
        <w:rPr>
          <w:rFonts w:ascii="NimbusGlobalSans" w:hAnsi="NimbusGlobalSans" w:cs="NimbusGlobalSans"/>
          <w:color w:val="000000"/>
          <w:sz w:val="20"/>
          <w:szCs w:val="20"/>
        </w:rPr>
        <w:t xml:space="preserve">, 1/3  </w:t>
      </w:r>
      <w:r w:rsidRPr="00322EE8">
        <w:rPr>
          <w:rFonts w:ascii="NimbusGlobalSans" w:hAnsi="NimbusGlobalSans" w:cs="NimbusGlobalSans"/>
          <w:color w:val="000000"/>
          <w:sz w:val="20"/>
          <w:szCs w:val="20"/>
        </w:rPr>
        <w:t>gastronádoby</w:t>
      </w:r>
    </w:p>
    <w:p w14:paraId="1DEAC4B6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5 programovatelných stupňů kynutí</w:t>
      </w:r>
    </w:p>
    <w:p w14:paraId="52893F20" w14:textId="77777777" w:rsidR="00362662" w:rsidRPr="00322EE8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>• Držák na madlo stojanu.</w:t>
      </w:r>
    </w:p>
    <w:p w14:paraId="764793A0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 w:rsidRPr="00322EE8">
        <w:rPr>
          <w:rFonts w:ascii="NimbusGlobalSans" w:hAnsi="NimbusGlobalSans" w:cs="NimbusGlobalSans"/>
          <w:color w:val="000000"/>
          <w:sz w:val="20"/>
          <w:szCs w:val="20"/>
        </w:rPr>
        <w:t xml:space="preserve">• Automatická volba počátečního času </w:t>
      </w:r>
      <w:r>
        <w:rPr>
          <w:rFonts w:ascii="NimbusGlobalSans" w:hAnsi="NimbusGlobalSans" w:cs="NimbusGlobalSans"/>
          <w:color w:val="000000"/>
          <w:sz w:val="20"/>
          <w:szCs w:val="20"/>
        </w:rPr>
        <w:t xml:space="preserve">s možností nastavení data a času </w:t>
      </w:r>
    </w:p>
    <w:p w14:paraId="434B723E" w14:textId="77777777" w:rsidR="00DB58CB" w:rsidRPr="00DB58CB" w:rsidRDefault="00DB58CB" w:rsidP="00362662">
      <w:pPr>
        <w:rPr>
          <w:rFonts w:ascii="Arial" w:hAnsi="Arial" w:cs="Arial"/>
          <w:sz w:val="16"/>
          <w:szCs w:val="16"/>
          <w:u w:val="single"/>
        </w:rPr>
      </w:pPr>
    </w:p>
    <w:p w14:paraId="5EE7CC73" w14:textId="435F8A5A" w:rsidR="00362662" w:rsidRPr="00326550" w:rsidRDefault="00362662" w:rsidP="00362662">
      <w:pPr>
        <w:rPr>
          <w:rFonts w:ascii="Arial" w:hAnsi="Arial" w:cs="Arial"/>
          <w:sz w:val="20"/>
          <w:szCs w:val="20"/>
          <w:u w:val="single"/>
        </w:rPr>
      </w:pPr>
      <w:r w:rsidRPr="00326550">
        <w:rPr>
          <w:rFonts w:ascii="Arial" w:hAnsi="Arial" w:cs="Arial"/>
          <w:sz w:val="20"/>
          <w:szCs w:val="20"/>
          <w:u w:val="single"/>
        </w:rPr>
        <w:t>Součástí dodávky požadujeme</w:t>
      </w:r>
      <w:r>
        <w:rPr>
          <w:rFonts w:ascii="Arial" w:hAnsi="Arial" w:cs="Arial"/>
          <w:sz w:val="20"/>
          <w:szCs w:val="20"/>
          <w:u w:val="single"/>
        </w:rPr>
        <w:t xml:space="preserve"> příslušenství</w:t>
      </w:r>
      <w:r w:rsidRPr="00326550">
        <w:rPr>
          <w:rFonts w:ascii="Arial" w:hAnsi="Arial" w:cs="Arial"/>
          <w:sz w:val="20"/>
          <w:szCs w:val="20"/>
          <w:u w:val="single"/>
        </w:rPr>
        <w:t>:</w:t>
      </w:r>
    </w:p>
    <w:p w14:paraId="56832F17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sz w:val="20"/>
          <w:szCs w:val="20"/>
        </w:rPr>
      </w:pPr>
      <w:r w:rsidRPr="006253A1">
        <w:rPr>
          <w:rFonts w:ascii="NimbusGlobalSans" w:hAnsi="NimbusGlobalSans" w:cs="NimbusGlobalSans"/>
          <w:sz w:val="20"/>
          <w:szCs w:val="20"/>
        </w:rPr>
        <w:t>M3 – 11020 Gastronádoba smaltovaná GN 1/1, hl. 20 mm, 20 ks</w:t>
      </w:r>
    </w:p>
    <w:p w14:paraId="01B26C03" w14:textId="77777777" w:rsidR="00362662" w:rsidRPr="00DB58CB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sz w:val="16"/>
          <w:szCs w:val="16"/>
        </w:rPr>
      </w:pPr>
    </w:p>
    <w:p w14:paraId="34E65CB9" w14:textId="77777777" w:rsidR="00362662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sz w:val="20"/>
          <w:szCs w:val="20"/>
        </w:rPr>
      </w:pPr>
      <w:r w:rsidRPr="006253A1">
        <w:rPr>
          <w:rFonts w:ascii="NimbusGlobalSans" w:hAnsi="NimbusGlobalSans" w:cs="NimbusGlobalSans"/>
          <w:sz w:val="20"/>
          <w:szCs w:val="20"/>
        </w:rPr>
        <w:t>M3 – 11065 Gastronádoba smaltovaná GN 1/1, hl. 65 mm, 20 ks</w:t>
      </w:r>
    </w:p>
    <w:p w14:paraId="047FF071" w14:textId="77777777" w:rsidR="00362662" w:rsidRPr="00DB58CB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sz w:val="16"/>
          <w:szCs w:val="16"/>
        </w:rPr>
      </w:pPr>
    </w:p>
    <w:p w14:paraId="3B37D141" w14:textId="77777777" w:rsidR="00362662" w:rsidRPr="006253A1" w:rsidRDefault="00362662" w:rsidP="00362662">
      <w:pPr>
        <w:autoSpaceDE w:val="0"/>
        <w:autoSpaceDN w:val="0"/>
        <w:adjustRightInd w:val="0"/>
        <w:rPr>
          <w:rFonts w:ascii="NimbusGlobalSans" w:hAnsi="NimbusGlobalSans" w:cs="NimbusGlobalSans"/>
          <w:sz w:val="20"/>
          <w:szCs w:val="20"/>
        </w:rPr>
      </w:pPr>
      <w:r w:rsidRPr="006253A1">
        <w:rPr>
          <w:rFonts w:ascii="NimbusGlobalSans" w:hAnsi="NimbusGlobalSans" w:cs="NimbusGlobalSans"/>
          <w:sz w:val="20"/>
          <w:szCs w:val="20"/>
        </w:rPr>
        <w:t>VM – 662211 Vozík na gastronádoby GN 2/1, 14 pozic, 59x67x174 cm, 1 ks</w:t>
      </w:r>
    </w:p>
    <w:p w14:paraId="676378E9" w14:textId="77777777" w:rsidR="00362662" w:rsidRPr="00DB58CB" w:rsidRDefault="00362662" w:rsidP="00362662">
      <w:pPr>
        <w:rPr>
          <w:rFonts w:ascii="NimbusGlobalSans" w:hAnsi="NimbusGlobalSans" w:cs="NimbusGlobalSans"/>
          <w:color w:val="000000"/>
          <w:sz w:val="16"/>
          <w:szCs w:val="16"/>
        </w:rPr>
      </w:pPr>
    </w:p>
    <w:p w14:paraId="6E227BBA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Servisní zásah zajištěn servisním technikem speciálně proškoleným na dodaný stroj.</w:t>
      </w:r>
    </w:p>
    <w:p w14:paraId="3BF17CCA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 xml:space="preserve">Záruční doba </w:t>
      </w:r>
      <w:proofErr w:type="gramStart"/>
      <w:r>
        <w:rPr>
          <w:rFonts w:ascii="NimbusGlobalSans" w:hAnsi="NimbusGlobalSans" w:cs="NimbusGlobalSans"/>
          <w:color w:val="000000"/>
          <w:sz w:val="20"/>
          <w:szCs w:val="20"/>
        </w:rPr>
        <w:t>minimálně  24</w:t>
      </w:r>
      <w:proofErr w:type="gramEnd"/>
      <w:r>
        <w:rPr>
          <w:rFonts w:ascii="NimbusGlobalSans" w:hAnsi="NimbusGlobalSans" w:cs="NimbusGlobalSans"/>
          <w:color w:val="000000"/>
          <w:sz w:val="20"/>
          <w:szCs w:val="20"/>
        </w:rPr>
        <w:t xml:space="preserve"> měsíců.</w:t>
      </w:r>
    </w:p>
    <w:p w14:paraId="3A4D32B7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Pozáruční servis zajištěn vyškoleným servisním technikem.</w:t>
      </w:r>
    </w:p>
    <w:p w14:paraId="3E9F6E72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Zajištění ročních servisních prohlídek stroje vyškoleným servisním technikem na dodaný stroj.</w:t>
      </w:r>
    </w:p>
    <w:p w14:paraId="055CEEB3" w14:textId="77777777" w:rsidR="00362662" w:rsidRDefault="00362662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>
        <w:rPr>
          <w:rFonts w:ascii="NimbusGlobalSans" w:hAnsi="NimbusGlobalSans" w:cs="NimbusGlobalSans"/>
          <w:color w:val="000000"/>
          <w:sz w:val="20"/>
          <w:szCs w:val="20"/>
        </w:rPr>
        <w:t>Telefonická podpora od 7.oo do 18.oo denně.</w:t>
      </w:r>
    </w:p>
    <w:p w14:paraId="593DEFFD" w14:textId="77777777" w:rsidR="00362662" w:rsidRPr="00DB58CB" w:rsidRDefault="00362662" w:rsidP="00362662">
      <w:pPr>
        <w:rPr>
          <w:rFonts w:ascii="NimbusGlobalSans" w:hAnsi="NimbusGlobalSans" w:cs="NimbusGlobalSans"/>
          <w:color w:val="000000"/>
          <w:sz w:val="16"/>
          <w:szCs w:val="16"/>
        </w:rPr>
      </w:pPr>
    </w:p>
    <w:p w14:paraId="53C0F33B" w14:textId="77777777" w:rsidR="00A73DDC" w:rsidRPr="00362662" w:rsidRDefault="00A73DDC" w:rsidP="00A73DDC">
      <w:pPr>
        <w:rPr>
          <w:rFonts w:ascii="NimbusGlobalSans" w:hAnsi="NimbusGlobalSans" w:cs="NimbusGlobalSans"/>
          <w:color w:val="000000"/>
          <w:sz w:val="20"/>
          <w:szCs w:val="20"/>
        </w:rPr>
      </w:pPr>
      <w:r w:rsidRPr="00362662">
        <w:rPr>
          <w:rFonts w:ascii="NimbusGlobalSans" w:hAnsi="NimbusGlobalSans" w:cs="NimbusGlobalSans"/>
          <w:color w:val="000000"/>
          <w:sz w:val="20"/>
          <w:szCs w:val="20"/>
        </w:rPr>
        <w:t>Nabídka musí zahrnovat:</w:t>
      </w:r>
    </w:p>
    <w:p w14:paraId="2C4003E3" w14:textId="77777777" w:rsidR="00A73DDC" w:rsidRPr="00362662" w:rsidRDefault="00A73DDC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 w:rsidRPr="00362662">
        <w:rPr>
          <w:rFonts w:ascii="NimbusGlobalSans" w:hAnsi="NimbusGlobalSans" w:cs="NimbusGlobalSans"/>
          <w:color w:val="000000"/>
          <w:sz w:val="20"/>
          <w:szCs w:val="20"/>
        </w:rPr>
        <w:t xml:space="preserve">Dopravu a </w:t>
      </w:r>
      <w:r w:rsidR="001D71B7" w:rsidRPr="00362662">
        <w:rPr>
          <w:rFonts w:ascii="NimbusGlobalSans" w:hAnsi="NimbusGlobalSans" w:cs="NimbusGlobalSans"/>
          <w:color w:val="000000"/>
          <w:sz w:val="20"/>
          <w:szCs w:val="20"/>
        </w:rPr>
        <w:t>instalaci</w:t>
      </w:r>
      <w:r w:rsidRPr="00362662">
        <w:rPr>
          <w:rFonts w:ascii="NimbusGlobalSans" w:hAnsi="NimbusGlobalSans" w:cs="NimbusGlobalSans"/>
          <w:color w:val="000000"/>
          <w:sz w:val="20"/>
          <w:szCs w:val="20"/>
        </w:rPr>
        <w:t xml:space="preserve"> na určené místo</w:t>
      </w:r>
    </w:p>
    <w:p w14:paraId="2EE1F30F" w14:textId="77777777" w:rsidR="00A73DDC" w:rsidRPr="00362662" w:rsidRDefault="00A73DDC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 w:rsidRPr="00362662">
        <w:rPr>
          <w:rFonts w:ascii="NimbusGlobalSans" w:hAnsi="NimbusGlobalSans" w:cs="NimbusGlobalSans"/>
          <w:color w:val="000000"/>
          <w:sz w:val="20"/>
          <w:szCs w:val="20"/>
        </w:rPr>
        <w:t>Technické zaškolení personálu</w:t>
      </w:r>
    </w:p>
    <w:p w14:paraId="2D3646E4" w14:textId="77777777" w:rsidR="00A73DDC" w:rsidRPr="00362662" w:rsidRDefault="00A73DDC" w:rsidP="00362662">
      <w:pPr>
        <w:rPr>
          <w:rFonts w:ascii="NimbusGlobalSans" w:hAnsi="NimbusGlobalSans" w:cs="NimbusGlobalSans"/>
          <w:color w:val="000000"/>
          <w:sz w:val="20"/>
          <w:szCs w:val="20"/>
        </w:rPr>
      </w:pPr>
      <w:r w:rsidRPr="00362662">
        <w:rPr>
          <w:rFonts w:ascii="NimbusGlobalSans" w:hAnsi="NimbusGlobalSans" w:cs="NimbusGlobalSans"/>
          <w:color w:val="000000"/>
          <w:sz w:val="20"/>
          <w:szCs w:val="20"/>
        </w:rPr>
        <w:t>Technologické zaškolení min</w:t>
      </w:r>
      <w:r w:rsidR="001D71B7" w:rsidRPr="00362662">
        <w:rPr>
          <w:rFonts w:ascii="NimbusGlobalSans" w:hAnsi="NimbusGlobalSans" w:cs="NimbusGlobalSans"/>
          <w:color w:val="000000"/>
          <w:sz w:val="20"/>
          <w:szCs w:val="20"/>
        </w:rPr>
        <w:t>.</w:t>
      </w:r>
      <w:r w:rsidRPr="00362662"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="001D71B7" w:rsidRPr="00362662">
        <w:rPr>
          <w:rFonts w:ascii="NimbusGlobalSans" w:hAnsi="NimbusGlobalSans" w:cs="NimbusGlobalSans"/>
          <w:color w:val="000000"/>
          <w:sz w:val="20"/>
          <w:szCs w:val="20"/>
        </w:rPr>
        <w:t>5 hodin</w:t>
      </w:r>
      <w:r w:rsidRPr="00362662">
        <w:rPr>
          <w:rFonts w:ascii="NimbusGlobalSans" w:hAnsi="NimbusGlobalSans" w:cs="NimbusGlobalSans"/>
          <w:color w:val="000000"/>
          <w:sz w:val="20"/>
          <w:szCs w:val="20"/>
        </w:rPr>
        <w:t xml:space="preserve"> </w:t>
      </w:r>
      <w:r w:rsidR="001D71B7" w:rsidRPr="00362662">
        <w:rPr>
          <w:rFonts w:ascii="NimbusGlobalSans" w:hAnsi="NimbusGlobalSans" w:cs="NimbusGlobalSans"/>
          <w:color w:val="000000"/>
          <w:sz w:val="20"/>
          <w:szCs w:val="20"/>
        </w:rPr>
        <w:t>školícím</w:t>
      </w:r>
      <w:r w:rsidRPr="00362662">
        <w:rPr>
          <w:rFonts w:ascii="NimbusGlobalSans" w:hAnsi="NimbusGlobalSans" w:cs="NimbusGlobalSans"/>
          <w:color w:val="000000"/>
          <w:sz w:val="20"/>
          <w:szCs w:val="20"/>
        </w:rPr>
        <w:t xml:space="preserve"> kuchařem</w:t>
      </w:r>
    </w:p>
    <w:p w14:paraId="044AD83C" w14:textId="24A7BFAF" w:rsidR="001C6EA0" w:rsidRPr="005C327E" w:rsidRDefault="001D71B7" w:rsidP="00362662">
      <w:pPr>
        <w:rPr>
          <w:rFonts w:ascii="Arial" w:hAnsi="Arial" w:cs="Arial"/>
          <w:sz w:val="28"/>
          <w:szCs w:val="28"/>
        </w:rPr>
      </w:pPr>
      <w:r w:rsidRPr="00362662">
        <w:rPr>
          <w:rFonts w:ascii="NimbusGlobalSans" w:hAnsi="NimbusGlobalSans" w:cs="NimbusGlobalSans"/>
          <w:color w:val="000000"/>
          <w:sz w:val="20"/>
          <w:szCs w:val="20"/>
        </w:rPr>
        <w:t>demontáž a ekologickou likvidaci starého zařízení</w:t>
      </w:r>
    </w:p>
    <w:sectPr w:rsidR="001C6EA0" w:rsidRPr="005C327E" w:rsidSect="00362662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5566B" w14:textId="77777777" w:rsidR="00B34AE7" w:rsidRDefault="00B34AE7" w:rsidP="006452A5">
      <w:r>
        <w:separator/>
      </w:r>
    </w:p>
  </w:endnote>
  <w:endnote w:type="continuationSeparator" w:id="0">
    <w:p w14:paraId="225E036E" w14:textId="77777777" w:rsidR="00B34AE7" w:rsidRDefault="00B34AE7" w:rsidP="006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imbusGlobal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BCFC9" w14:textId="77777777" w:rsidR="00B34AE7" w:rsidRDefault="00B34AE7" w:rsidP="006452A5">
      <w:r>
        <w:separator/>
      </w:r>
    </w:p>
  </w:footnote>
  <w:footnote w:type="continuationSeparator" w:id="0">
    <w:p w14:paraId="1FC051B9" w14:textId="77777777" w:rsidR="00B34AE7" w:rsidRDefault="00B34AE7" w:rsidP="0064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F907" w14:textId="77777777" w:rsidR="006452A5" w:rsidRDefault="006452A5" w:rsidP="00797732">
    <w:pPr>
      <w:pStyle w:val="Zhlav"/>
      <w:pBdr>
        <w:bottom w:val="single" w:sz="4" w:space="1" w:color="auto"/>
      </w:pBdr>
      <w:jc w:val="right"/>
    </w:pPr>
    <w:r>
      <w:t>Příloha č. 5 Zadávací dokumentace</w:t>
    </w:r>
  </w:p>
  <w:p w14:paraId="4E5458E9" w14:textId="77777777" w:rsidR="006452A5" w:rsidRDefault="006452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2EB5"/>
    <w:multiLevelType w:val="hybridMultilevel"/>
    <w:tmpl w:val="B284FF0E"/>
    <w:lvl w:ilvl="0" w:tplc="D8F854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8DD"/>
    <w:multiLevelType w:val="multilevel"/>
    <w:tmpl w:val="CA0A9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965A4"/>
    <w:multiLevelType w:val="multilevel"/>
    <w:tmpl w:val="2D4C2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16DC7"/>
    <w:multiLevelType w:val="multilevel"/>
    <w:tmpl w:val="0405001F"/>
    <w:numStyleLink w:val="Styl1"/>
  </w:abstractNum>
  <w:abstractNum w:abstractNumId="4" w15:restartNumberingAfterBreak="0">
    <w:nsid w:val="0B585B59"/>
    <w:multiLevelType w:val="hybridMultilevel"/>
    <w:tmpl w:val="0978BC40"/>
    <w:lvl w:ilvl="0" w:tplc="708047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506"/>
    <w:multiLevelType w:val="hybridMultilevel"/>
    <w:tmpl w:val="BE009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546"/>
    <w:multiLevelType w:val="hybridMultilevel"/>
    <w:tmpl w:val="BB1840D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2303D3"/>
    <w:multiLevelType w:val="hybridMultilevel"/>
    <w:tmpl w:val="DD42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26F79"/>
    <w:multiLevelType w:val="multilevel"/>
    <w:tmpl w:val="85360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A751B0"/>
    <w:multiLevelType w:val="hybridMultilevel"/>
    <w:tmpl w:val="DE6692FC"/>
    <w:lvl w:ilvl="0" w:tplc="A5A2E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CBB"/>
    <w:multiLevelType w:val="hybridMultilevel"/>
    <w:tmpl w:val="CAC6A3AA"/>
    <w:lvl w:ilvl="0" w:tplc="A22612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B7127"/>
    <w:multiLevelType w:val="multilevel"/>
    <w:tmpl w:val="0405001F"/>
    <w:numStyleLink w:val="Styl1"/>
  </w:abstractNum>
  <w:abstractNum w:abstractNumId="13" w15:restartNumberingAfterBreak="0">
    <w:nsid w:val="19922BDE"/>
    <w:multiLevelType w:val="hybridMultilevel"/>
    <w:tmpl w:val="46128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63D84"/>
    <w:multiLevelType w:val="hybridMultilevel"/>
    <w:tmpl w:val="436CD10A"/>
    <w:lvl w:ilvl="0" w:tplc="74624F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2DA"/>
    <w:multiLevelType w:val="hybridMultilevel"/>
    <w:tmpl w:val="58AC1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E16BE"/>
    <w:multiLevelType w:val="hybridMultilevel"/>
    <w:tmpl w:val="13283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FA533B"/>
    <w:multiLevelType w:val="hybridMultilevel"/>
    <w:tmpl w:val="85FA5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73765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C76CDD"/>
    <w:multiLevelType w:val="multilevel"/>
    <w:tmpl w:val="4F049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2913C8"/>
    <w:multiLevelType w:val="hybridMultilevel"/>
    <w:tmpl w:val="2758D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236A"/>
    <w:multiLevelType w:val="hybridMultilevel"/>
    <w:tmpl w:val="2EFAB438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F711F0C"/>
    <w:multiLevelType w:val="hybridMultilevel"/>
    <w:tmpl w:val="8D5A4052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1397512"/>
    <w:multiLevelType w:val="multilevel"/>
    <w:tmpl w:val="2026B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10435"/>
    <w:multiLevelType w:val="hybridMultilevel"/>
    <w:tmpl w:val="5B5C4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B23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770ED3"/>
    <w:multiLevelType w:val="multilevel"/>
    <w:tmpl w:val="B77E0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901E7"/>
    <w:multiLevelType w:val="multilevel"/>
    <w:tmpl w:val="3AF4F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163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2D66DC"/>
    <w:multiLevelType w:val="hybridMultilevel"/>
    <w:tmpl w:val="1C2AF560"/>
    <w:lvl w:ilvl="0" w:tplc="B6322B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5CDC"/>
    <w:multiLevelType w:val="hybridMultilevel"/>
    <w:tmpl w:val="F764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64A38"/>
    <w:multiLevelType w:val="hybridMultilevel"/>
    <w:tmpl w:val="806417E8"/>
    <w:lvl w:ilvl="0" w:tplc="4648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0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C356E"/>
    <w:multiLevelType w:val="hybridMultilevel"/>
    <w:tmpl w:val="0F86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6689"/>
    <w:multiLevelType w:val="multilevel"/>
    <w:tmpl w:val="0405001F"/>
    <w:numStyleLink w:val="Styl1"/>
  </w:abstractNum>
  <w:abstractNum w:abstractNumId="35" w15:restartNumberingAfterBreak="0">
    <w:nsid w:val="748D0B9C"/>
    <w:multiLevelType w:val="hybridMultilevel"/>
    <w:tmpl w:val="0ADAA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53796"/>
    <w:multiLevelType w:val="hybridMultilevel"/>
    <w:tmpl w:val="79FC48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046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540"/>
    <w:multiLevelType w:val="hybridMultilevel"/>
    <w:tmpl w:val="F5405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D53C0"/>
    <w:multiLevelType w:val="hybridMultilevel"/>
    <w:tmpl w:val="43E898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7"/>
  </w:num>
  <w:num w:numId="5">
    <w:abstractNumId w:val="21"/>
  </w:num>
  <w:num w:numId="6">
    <w:abstractNumId w:val="4"/>
  </w:num>
  <w:num w:numId="7">
    <w:abstractNumId w:val="3"/>
  </w:num>
  <w:num w:numId="8">
    <w:abstractNumId w:val="18"/>
  </w:num>
  <w:num w:numId="9">
    <w:abstractNumId w:val="28"/>
  </w:num>
  <w:num w:numId="10">
    <w:abstractNumId w:val="12"/>
  </w:num>
  <w:num w:numId="11">
    <w:abstractNumId w:val="37"/>
  </w:num>
  <w:num w:numId="12">
    <w:abstractNumId w:val="34"/>
  </w:num>
  <w:num w:numId="13">
    <w:abstractNumId w:val="32"/>
  </w:num>
  <w:num w:numId="14">
    <w:abstractNumId w:val="39"/>
  </w:num>
  <w:num w:numId="15">
    <w:abstractNumId w:val="25"/>
  </w:num>
  <w:num w:numId="16">
    <w:abstractNumId w:val="36"/>
  </w:num>
  <w:num w:numId="17">
    <w:abstractNumId w:val="35"/>
  </w:num>
  <w:num w:numId="18">
    <w:abstractNumId w:val="13"/>
  </w:num>
  <w:num w:numId="19">
    <w:abstractNumId w:val="14"/>
  </w:num>
  <w:num w:numId="20">
    <w:abstractNumId w:val="5"/>
  </w:num>
  <w:num w:numId="21">
    <w:abstractNumId w:val="15"/>
  </w:num>
  <w:num w:numId="22">
    <w:abstractNumId w:val="23"/>
  </w:num>
  <w:num w:numId="23">
    <w:abstractNumId w:val="27"/>
  </w:num>
  <w:num w:numId="24">
    <w:abstractNumId w:val="2"/>
  </w:num>
  <w:num w:numId="25">
    <w:abstractNumId w:val="1"/>
  </w:num>
  <w:num w:numId="26">
    <w:abstractNumId w:val="9"/>
  </w:num>
  <w:num w:numId="27">
    <w:abstractNumId w:val="19"/>
  </w:num>
  <w:num w:numId="28">
    <w:abstractNumId w:val="26"/>
  </w:num>
  <w:num w:numId="29">
    <w:abstractNumId w:val="20"/>
  </w:num>
  <w:num w:numId="30">
    <w:abstractNumId w:val="30"/>
  </w:num>
  <w:num w:numId="31">
    <w:abstractNumId w:val="33"/>
  </w:num>
  <w:num w:numId="32">
    <w:abstractNumId w:val="8"/>
  </w:num>
  <w:num w:numId="33">
    <w:abstractNumId w:val="31"/>
  </w:num>
  <w:num w:numId="34">
    <w:abstractNumId w:val="16"/>
  </w:num>
  <w:num w:numId="35">
    <w:abstractNumId w:val="6"/>
  </w:num>
  <w:num w:numId="36">
    <w:abstractNumId w:val="29"/>
  </w:num>
  <w:num w:numId="37">
    <w:abstractNumId w:val="10"/>
  </w:num>
  <w:num w:numId="38">
    <w:abstractNumId w:val="0"/>
  </w:num>
  <w:num w:numId="39">
    <w:abstractNumId w:val="3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C7"/>
    <w:rsid w:val="00001A95"/>
    <w:rsid w:val="00004C7A"/>
    <w:rsid w:val="000132ED"/>
    <w:rsid w:val="0002088E"/>
    <w:rsid w:val="000222CC"/>
    <w:rsid w:val="0002462D"/>
    <w:rsid w:val="000276CA"/>
    <w:rsid w:val="00031BDB"/>
    <w:rsid w:val="00033986"/>
    <w:rsid w:val="00042261"/>
    <w:rsid w:val="00051882"/>
    <w:rsid w:val="00054AD4"/>
    <w:rsid w:val="0005516E"/>
    <w:rsid w:val="000560C5"/>
    <w:rsid w:val="00074199"/>
    <w:rsid w:val="00076DF8"/>
    <w:rsid w:val="000831FC"/>
    <w:rsid w:val="00087F46"/>
    <w:rsid w:val="00091535"/>
    <w:rsid w:val="00094627"/>
    <w:rsid w:val="000949BC"/>
    <w:rsid w:val="00096965"/>
    <w:rsid w:val="000969F6"/>
    <w:rsid w:val="000A028F"/>
    <w:rsid w:val="000A1BEF"/>
    <w:rsid w:val="000A5A4E"/>
    <w:rsid w:val="000A6BFA"/>
    <w:rsid w:val="000B7FA4"/>
    <w:rsid w:val="000C08C3"/>
    <w:rsid w:val="000C1E70"/>
    <w:rsid w:val="000C2C30"/>
    <w:rsid w:val="000C6029"/>
    <w:rsid w:val="000C6430"/>
    <w:rsid w:val="000D2174"/>
    <w:rsid w:val="000D27FA"/>
    <w:rsid w:val="000D6BEB"/>
    <w:rsid w:val="000E715E"/>
    <w:rsid w:val="000F5625"/>
    <w:rsid w:val="000F5E61"/>
    <w:rsid w:val="00106995"/>
    <w:rsid w:val="0010767C"/>
    <w:rsid w:val="001204C3"/>
    <w:rsid w:val="0012106E"/>
    <w:rsid w:val="00122498"/>
    <w:rsid w:val="0013461A"/>
    <w:rsid w:val="00135C78"/>
    <w:rsid w:val="00135F73"/>
    <w:rsid w:val="00136C82"/>
    <w:rsid w:val="001431E2"/>
    <w:rsid w:val="001434FB"/>
    <w:rsid w:val="0014519A"/>
    <w:rsid w:val="00153EBC"/>
    <w:rsid w:val="00156293"/>
    <w:rsid w:val="0016007E"/>
    <w:rsid w:val="00162DAF"/>
    <w:rsid w:val="00163A72"/>
    <w:rsid w:val="00171B04"/>
    <w:rsid w:val="00175CF6"/>
    <w:rsid w:val="00176124"/>
    <w:rsid w:val="00177192"/>
    <w:rsid w:val="001771FB"/>
    <w:rsid w:val="00180BBD"/>
    <w:rsid w:val="00181110"/>
    <w:rsid w:val="001828CC"/>
    <w:rsid w:val="001855D6"/>
    <w:rsid w:val="00186074"/>
    <w:rsid w:val="00193A51"/>
    <w:rsid w:val="00195A6D"/>
    <w:rsid w:val="00195E75"/>
    <w:rsid w:val="0019718F"/>
    <w:rsid w:val="001A16FB"/>
    <w:rsid w:val="001B2AEE"/>
    <w:rsid w:val="001B2D92"/>
    <w:rsid w:val="001C3E7B"/>
    <w:rsid w:val="001C5328"/>
    <w:rsid w:val="001C68C0"/>
    <w:rsid w:val="001C6EA0"/>
    <w:rsid w:val="001C7487"/>
    <w:rsid w:val="001C7C4E"/>
    <w:rsid w:val="001D22BD"/>
    <w:rsid w:val="001D71B7"/>
    <w:rsid w:val="001E16EB"/>
    <w:rsid w:val="001F2166"/>
    <w:rsid w:val="001F229D"/>
    <w:rsid w:val="001F5585"/>
    <w:rsid w:val="00204A62"/>
    <w:rsid w:val="00220C09"/>
    <w:rsid w:val="002309E0"/>
    <w:rsid w:val="00231168"/>
    <w:rsid w:val="002358C6"/>
    <w:rsid w:val="00247D0C"/>
    <w:rsid w:val="00253C80"/>
    <w:rsid w:val="0025508F"/>
    <w:rsid w:val="00273C2E"/>
    <w:rsid w:val="00295C24"/>
    <w:rsid w:val="0029615D"/>
    <w:rsid w:val="002978D7"/>
    <w:rsid w:val="002A1BC2"/>
    <w:rsid w:val="002B02CA"/>
    <w:rsid w:val="002B3009"/>
    <w:rsid w:val="002C0563"/>
    <w:rsid w:val="002C2ECA"/>
    <w:rsid w:val="002C5830"/>
    <w:rsid w:val="002C7E46"/>
    <w:rsid w:val="002E12A0"/>
    <w:rsid w:val="002E30F4"/>
    <w:rsid w:val="002E3331"/>
    <w:rsid w:val="002E3412"/>
    <w:rsid w:val="002F71C1"/>
    <w:rsid w:val="002F7B5B"/>
    <w:rsid w:val="00300F3A"/>
    <w:rsid w:val="003038EB"/>
    <w:rsid w:val="00304E2A"/>
    <w:rsid w:val="00305C7D"/>
    <w:rsid w:val="003101A2"/>
    <w:rsid w:val="00310699"/>
    <w:rsid w:val="0031377F"/>
    <w:rsid w:val="0033058D"/>
    <w:rsid w:val="00331AEE"/>
    <w:rsid w:val="00337516"/>
    <w:rsid w:val="0035032B"/>
    <w:rsid w:val="00362662"/>
    <w:rsid w:val="0036720A"/>
    <w:rsid w:val="003809C9"/>
    <w:rsid w:val="003824DE"/>
    <w:rsid w:val="00382E54"/>
    <w:rsid w:val="0038546C"/>
    <w:rsid w:val="003925C4"/>
    <w:rsid w:val="00394C42"/>
    <w:rsid w:val="00394D34"/>
    <w:rsid w:val="003A0CA6"/>
    <w:rsid w:val="003A2367"/>
    <w:rsid w:val="003A2E32"/>
    <w:rsid w:val="003A55C6"/>
    <w:rsid w:val="003B04F9"/>
    <w:rsid w:val="003C1357"/>
    <w:rsid w:val="003E037E"/>
    <w:rsid w:val="003E092F"/>
    <w:rsid w:val="003E2774"/>
    <w:rsid w:val="003E39CB"/>
    <w:rsid w:val="003E442E"/>
    <w:rsid w:val="003F039B"/>
    <w:rsid w:val="003F4245"/>
    <w:rsid w:val="00402614"/>
    <w:rsid w:val="00403EEF"/>
    <w:rsid w:val="004110EC"/>
    <w:rsid w:val="00417F20"/>
    <w:rsid w:val="0042731C"/>
    <w:rsid w:val="00427EC9"/>
    <w:rsid w:val="00433DC8"/>
    <w:rsid w:val="00434EF3"/>
    <w:rsid w:val="00437AB7"/>
    <w:rsid w:val="00451D25"/>
    <w:rsid w:val="00453F96"/>
    <w:rsid w:val="004551E0"/>
    <w:rsid w:val="00461316"/>
    <w:rsid w:val="0046234F"/>
    <w:rsid w:val="00467C65"/>
    <w:rsid w:val="00471AB3"/>
    <w:rsid w:val="0047368E"/>
    <w:rsid w:val="004738F8"/>
    <w:rsid w:val="00475524"/>
    <w:rsid w:val="004776EC"/>
    <w:rsid w:val="0048778D"/>
    <w:rsid w:val="004A0356"/>
    <w:rsid w:val="004A2FA6"/>
    <w:rsid w:val="004B2D0D"/>
    <w:rsid w:val="004B30C3"/>
    <w:rsid w:val="004B3242"/>
    <w:rsid w:val="004C212F"/>
    <w:rsid w:val="004C2FCC"/>
    <w:rsid w:val="004C4AC7"/>
    <w:rsid w:val="004E17DF"/>
    <w:rsid w:val="004E27E0"/>
    <w:rsid w:val="004F3F7E"/>
    <w:rsid w:val="0050033E"/>
    <w:rsid w:val="00502201"/>
    <w:rsid w:val="00516C8E"/>
    <w:rsid w:val="00520ED6"/>
    <w:rsid w:val="00527DBE"/>
    <w:rsid w:val="00542994"/>
    <w:rsid w:val="005553C1"/>
    <w:rsid w:val="005603C6"/>
    <w:rsid w:val="0056525B"/>
    <w:rsid w:val="005672E1"/>
    <w:rsid w:val="00571C30"/>
    <w:rsid w:val="00572A0F"/>
    <w:rsid w:val="00573B42"/>
    <w:rsid w:val="00576F58"/>
    <w:rsid w:val="005773AF"/>
    <w:rsid w:val="0058065B"/>
    <w:rsid w:val="005911B9"/>
    <w:rsid w:val="00592FCD"/>
    <w:rsid w:val="00593925"/>
    <w:rsid w:val="005A2167"/>
    <w:rsid w:val="005C327E"/>
    <w:rsid w:val="005C3D39"/>
    <w:rsid w:val="005C5C4E"/>
    <w:rsid w:val="005C6436"/>
    <w:rsid w:val="005C6AAF"/>
    <w:rsid w:val="005D4142"/>
    <w:rsid w:val="005D44D8"/>
    <w:rsid w:val="005D4A15"/>
    <w:rsid w:val="005E098F"/>
    <w:rsid w:val="005F2E61"/>
    <w:rsid w:val="006021F2"/>
    <w:rsid w:val="00602691"/>
    <w:rsid w:val="0060466B"/>
    <w:rsid w:val="006200C0"/>
    <w:rsid w:val="00622C39"/>
    <w:rsid w:val="00623FC5"/>
    <w:rsid w:val="0062582D"/>
    <w:rsid w:val="00631CC7"/>
    <w:rsid w:val="00635798"/>
    <w:rsid w:val="00643AC5"/>
    <w:rsid w:val="006452A5"/>
    <w:rsid w:val="0064738E"/>
    <w:rsid w:val="00651D26"/>
    <w:rsid w:val="006608CF"/>
    <w:rsid w:val="00664081"/>
    <w:rsid w:val="00664860"/>
    <w:rsid w:val="00666A29"/>
    <w:rsid w:val="00667236"/>
    <w:rsid w:val="00667789"/>
    <w:rsid w:val="00672C6F"/>
    <w:rsid w:val="00673852"/>
    <w:rsid w:val="00681EC3"/>
    <w:rsid w:val="0068376C"/>
    <w:rsid w:val="006848AA"/>
    <w:rsid w:val="00691991"/>
    <w:rsid w:val="00692B4A"/>
    <w:rsid w:val="00694C8E"/>
    <w:rsid w:val="00695444"/>
    <w:rsid w:val="006A2493"/>
    <w:rsid w:val="006A2501"/>
    <w:rsid w:val="006A2C09"/>
    <w:rsid w:val="006A4B9C"/>
    <w:rsid w:val="006C1937"/>
    <w:rsid w:val="006C48AB"/>
    <w:rsid w:val="006C4E59"/>
    <w:rsid w:val="006D0991"/>
    <w:rsid w:val="006D1D05"/>
    <w:rsid w:val="006E10A3"/>
    <w:rsid w:val="006E5841"/>
    <w:rsid w:val="006E76AD"/>
    <w:rsid w:val="006F0FF3"/>
    <w:rsid w:val="00701923"/>
    <w:rsid w:val="007051EE"/>
    <w:rsid w:val="0071225B"/>
    <w:rsid w:val="00717A77"/>
    <w:rsid w:val="00723F19"/>
    <w:rsid w:val="00731685"/>
    <w:rsid w:val="00732097"/>
    <w:rsid w:val="007467A1"/>
    <w:rsid w:val="00762BA8"/>
    <w:rsid w:val="00765568"/>
    <w:rsid w:val="007717C6"/>
    <w:rsid w:val="00772780"/>
    <w:rsid w:val="007742BC"/>
    <w:rsid w:val="00775B34"/>
    <w:rsid w:val="00782840"/>
    <w:rsid w:val="007860CC"/>
    <w:rsid w:val="0079166D"/>
    <w:rsid w:val="007931D6"/>
    <w:rsid w:val="007970BE"/>
    <w:rsid w:val="00797732"/>
    <w:rsid w:val="007A10A5"/>
    <w:rsid w:val="007A1191"/>
    <w:rsid w:val="007A2C39"/>
    <w:rsid w:val="007A386F"/>
    <w:rsid w:val="007B1768"/>
    <w:rsid w:val="007B30F1"/>
    <w:rsid w:val="007B51CA"/>
    <w:rsid w:val="007E3307"/>
    <w:rsid w:val="0080214A"/>
    <w:rsid w:val="00802812"/>
    <w:rsid w:val="00802BB2"/>
    <w:rsid w:val="00803F51"/>
    <w:rsid w:val="008040A5"/>
    <w:rsid w:val="00804C58"/>
    <w:rsid w:val="0080749B"/>
    <w:rsid w:val="00814127"/>
    <w:rsid w:val="00815D7B"/>
    <w:rsid w:val="008178C5"/>
    <w:rsid w:val="00832851"/>
    <w:rsid w:val="00833116"/>
    <w:rsid w:val="00835C19"/>
    <w:rsid w:val="00836D90"/>
    <w:rsid w:val="008432FF"/>
    <w:rsid w:val="0084371B"/>
    <w:rsid w:val="00845997"/>
    <w:rsid w:val="00845B51"/>
    <w:rsid w:val="0084644F"/>
    <w:rsid w:val="0085456E"/>
    <w:rsid w:val="00874C8D"/>
    <w:rsid w:val="008769EA"/>
    <w:rsid w:val="00880B67"/>
    <w:rsid w:val="00881E18"/>
    <w:rsid w:val="008831C9"/>
    <w:rsid w:val="008850C7"/>
    <w:rsid w:val="00885BC4"/>
    <w:rsid w:val="00890EE0"/>
    <w:rsid w:val="008A367E"/>
    <w:rsid w:val="008B7173"/>
    <w:rsid w:val="008C173E"/>
    <w:rsid w:val="008C3095"/>
    <w:rsid w:val="008C3A21"/>
    <w:rsid w:val="008C4304"/>
    <w:rsid w:val="008D164D"/>
    <w:rsid w:val="008E421F"/>
    <w:rsid w:val="008E4519"/>
    <w:rsid w:val="008E49D5"/>
    <w:rsid w:val="008F1AE5"/>
    <w:rsid w:val="008F3F42"/>
    <w:rsid w:val="008F5B91"/>
    <w:rsid w:val="008F7098"/>
    <w:rsid w:val="008F79D7"/>
    <w:rsid w:val="00903CCE"/>
    <w:rsid w:val="009104CC"/>
    <w:rsid w:val="009233B6"/>
    <w:rsid w:val="00925363"/>
    <w:rsid w:val="00941BBE"/>
    <w:rsid w:val="0094312B"/>
    <w:rsid w:val="00943E18"/>
    <w:rsid w:val="009473F6"/>
    <w:rsid w:val="009550A6"/>
    <w:rsid w:val="00956957"/>
    <w:rsid w:val="0096032E"/>
    <w:rsid w:val="0096164E"/>
    <w:rsid w:val="0096500C"/>
    <w:rsid w:val="009658B6"/>
    <w:rsid w:val="00965D4E"/>
    <w:rsid w:val="00966183"/>
    <w:rsid w:val="00972D89"/>
    <w:rsid w:val="00976804"/>
    <w:rsid w:val="00997762"/>
    <w:rsid w:val="009A53B5"/>
    <w:rsid w:val="009B19F0"/>
    <w:rsid w:val="009B468E"/>
    <w:rsid w:val="009B4BEC"/>
    <w:rsid w:val="009D4500"/>
    <w:rsid w:val="009D7E15"/>
    <w:rsid w:val="009E46FC"/>
    <w:rsid w:val="009E6226"/>
    <w:rsid w:val="009F151C"/>
    <w:rsid w:val="009F57CC"/>
    <w:rsid w:val="00A0346D"/>
    <w:rsid w:val="00A12710"/>
    <w:rsid w:val="00A13234"/>
    <w:rsid w:val="00A15D3A"/>
    <w:rsid w:val="00A23A47"/>
    <w:rsid w:val="00A31BA7"/>
    <w:rsid w:val="00A3337D"/>
    <w:rsid w:val="00A34D83"/>
    <w:rsid w:val="00A43F51"/>
    <w:rsid w:val="00A45299"/>
    <w:rsid w:val="00A46290"/>
    <w:rsid w:val="00A64C8D"/>
    <w:rsid w:val="00A6726E"/>
    <w:rsid w:val="00A67282"/>
    <w:rsid w:val="00A704BF"/>
    <w:rsid w:val="00A72769"/>
    <w:rsid w:val="00A73DDC"/>
    <w:rsid w:val="00A8116F"/>
    <w:rsid w:val="00A84EE9"/>
    <w:rsid w:val="00A85E04"/>
    <w:rsid w:val="00A91CE3"/>
    <w:rsid w:val="00A94F2B"/>
    <w:rsid w:val="00A95184"/>
    <w:rsid w:val="00A96AC4"/>
    <w:rsid w:val="00A978A9"/>
    <w:rsid w:val="00AA30D2"/>
    <w:rsid w:val="00AA55D5"/>
    <w:rsid w:val="00AC2EF0"/>
    <w:rsid w:val="00AC72A7"/>
    <w:rsid w:val="00AC7D56"/>
    <w:rsid w:val="00AE1FB6"/>
    <w:rsid w:val="00AE5D5B"/>
    <w:rsid w:val="00AF0EB9"/>
    <w:rsid w:val="00AF1CAF"/>
    <w:rsid w:val="00AF2198"/>
    <w:rsid w:val="00AF3049"/>
    <w:rsid w:val="00AF7A9C"/>
    <w:rsid w:val="00B06D82"/>
    <w:rsid w:val="00B10D01"/>
    <w:rsid w:val="00B1471C"/>
    <w:rsid w:val="00B17701"/>
    <w:rsid w:val="00B17A75"/>
    <w:rsid w:val="00B302A4"/>
    <w:rsid w:val="00B337F3"/>
    <w:rsid w:val="00B34AE7"/>
    <w:rsid w:val="00B36B1A"/>
    <w:rsid w:val="00B40ED7"/>
    <w:rsid w:val="00B56687"/>
    <w:rsid w:val="00B708F4"/>
    <w:rsid w:val="00B71ACD"/>
    <w:rsid w:val="00B829F5"/>
    <w:rsid w:val="00B96695"/>
    <w:rsid w:val="00BA0C8B"/>
    <w:rsid w:val="00BB0CA1"/>
    <w:rsid w:val="00BB5280"/>
    <w:rsid w:val="00BC6830"/>
    <w:rsid w:val="00BD3C51"/>
    <w:rsid w:val="00BE4074"/>
    <w:rsid w:val="00BE4F24"/>
    <w:rsid w:val="00BE67D0"/>
    <w:rsid w:val="00C01E7E"/>
    <w:rsid w:val="00C02E39"/>
    <w:rsid w:val="00C04085"/>
    <w:rsid w:val="00C04AE3"/>
    <w:rsid w:val="00C05C15"/>
    <w:rsid w:val="00C1167C"/>
    <w:rsid w:val="00C172C2"/>
    <w:rsid w:val="00C35DEC"/>
    <w:rsid w:val="00C414C7"/>
    <w:rsid w:val="00C42416"/>
    <w:rsid w:val="00C43B23"/>
    <w:rsid w:val="00C45C5D"/>
    <w:rsid w:val="00C54151"/>
    <w:rsid w:val="00C65246"/>
    <w:rsid w:val="00C73234"/>
    <w:rsid w:val="00C758C2"/>
    <w:rsid w:val="00C75C5F"/>
    <w:rsid w:val="00C7619E"/>
    <w:rsid w:val="00C8107D"/>
    <w:rsid w:val="00C83AEC"/>
    <w:rsid w:val="00C87E85"/>
    <w:rsid w:val="00C949EC"/>
    <w:rsid w:val="00C94FA2"/>
    <w:rsid w:val="00CB49B4"/>
    <w:rsid w:val="00CB72E0"/>
    <w:rsid w:val="00CC6BC5"/>
    <w:rsid w:val="00CC7ADF"/>
    <w:rsid w:val="00CC7D52"/>
    <w:rsid w:val="00CD2C0B"/>
    <w:rsid w:val="00CD6FE3"/>
    <w:rsid w:val="00CE2DFB"/>
    <w:rsid w:val="00CE379B"/>
    <w:rsid w:val="00CE3B35"/>
    <w:rsid w:val="00CE5523"/>
    <w:rsid w:val="00CE6B21"/>
    <w:rsid w:val="00CF6338"/>
    <w:rsid w:val="00D01C4F"/>
    <w:rsid w:val="00D03061"/>
    <w:rsid w:val="00D127C6"/>
    <w:rsid w:val="00D12B09"/>
    <w:rsid w:val="00D12BB8"/>
    <w:rsid w:val="00D15173"/>
    <w:rsid w:val="00D44BBE"/>
    <w:rsid w:val="00D45485"/>
    <w:rsid w:val="00D46F52"/>
    <w:rsid w:val="00D508D8"/>
    <w:rsid w:val="00D57E46"/>
    <w:rsid w:val="00D60327"/>
    <w:rsid w:val="00D661A6"/>
    <w:rsid w:val="00D71837"/>
    <w:rsid w:val="00D71C5F"/>
    <w:rsid w:val="00D758A1"/>
    <w:rsid w:val="00D83A9A"/>
    <w:rsid w:val="00DA1517"/>
    <w:rsid w:val="00DA4979"/>
    <w:rsid w:val="00DA5ADA"/>
    <w:rsid w:val="00DA6840"/>
    <w:rsid w:val="00DB3FF5"/>
    <w:rsid w:val="00DB58CB"/>
    <w:rsid w:val="00DC353D"/>
    <w:rsid w:val="00DD3680"/>
    <w:rsid w:val="00DD4A0D"/>
    <w:rsid w:val="00DD7348"/>
    <w:rsid w:val="00DE55F5"/>
    <w:rsid w:val="00DE7AF1"/>
    <w:rsid w:val="00DF1F1C"/>
    <w:rsid w:val="00DF52CE"/>
    <w:rsid w:val="00DF57F9"/>
    <w:rsid w:val="00E02BF2"/>
    <w:rsid w:val="00E03F02"/>
    <w:rsid w:val="00E10BE1"/>
    <w:rsid w:val="00E13226"/>
    <w:rsid w:val="00E1410A"/>
    <w:rsid w:val="00E20DDF"/>
    <w:rsid w:val="00E22814"/>
    <w:rsid w:val="00E22B9D"/>
    <w:rsid w:val="00E440BA"/>
    <w:rsid w:val="00E450DF"/>
    <w:rsid w:val="00E46F5F"/>
    <w:rsid w:val="00E53B7C"/>
    <w:rsid w:val="00E56509"/>
    <w:rsid w:val="00E62734"/>
    <w:rsid w:val="00E64D19"/>
    <w:rsid w:val="00E65EE8"/>
    <w:rsid w:val="00E672D5"/>
    <w:rsid w:val="00E702D8"/>
    <w:rsid w:val="00E70763"/>
    <w:rsid w:val="00E77609"/>
    <w:rsid w:val="00E874D3"/>
    <w:rsid w:val="00E91E67"/>
    <w:rsid w:val="00E92E81"/>
    <w:rsid w:val="00EA224D"/>
    <w:rsid w:val="00EB2A5D"/>
    <w:rsid w:val="00EC540D"/>
    <w:rsid w:val="00ED1064"/>
    <w:rsid w:val="00EE0AA9"/>
    <w:rsid w:val="00EE2C45"/>
    <w:rsid w:val="00EF1484"/>
    <w:rsid w:val="00EF344B"/>
    <w:rsid w:val="00F04E34"/>
    <w:rsid w:val="00F12696"/>
    <w:rsid w:val="00F15D1B"/>
    <w:rsid w:val="00F2630C"/>
    <w:rsid w:val="00F343DC"/>
    <w:rsid w:val="00F46C71"/>
    <w:rsid w:val="00F50D29"/>
    <w:rsid w:val="00F61DF8"/>
    <w:rsid w:val="00F65B6B"/>
    <w:rsid w:val="00F676FE"/>
    <w:rsid w:val="00F70F09"/>
    <w:rsid w:val="00F71B36"/>
    <w:rsid w:val="00F722F5"/>
    <w:rsid w:val="00F729F4"/>
    <w:rsid w:val="00F74739"/>
    <w:rsid w:val="00F774BB"/>
    <w:rsid w:val="00F821A3"/>
    <w:rsid w:val="00F822AD"/>
    <w:rsid w:val="00F838B4"/>
    <w:rsid w:val="00F96977"/>
    <w:rsid w:val="00FA673A"/>
    <w:rsid w:val="00FA6A16"/>
    <w:rsid w:val="00FB0A77"/>
    <w:rsid w:val="00FB4FC5"/>
    <w:rsid w:val="00FB5160"/>
    <w:rsid w:val="00FB6A9E"/>
    <w:rsid w:val="00FB6AA0"/>
    <w:rsid w:val="00FC05E3"/>
    <w:rsid w:val="00FC3235"/>
    <w:rsid w:val="00FD50AE"/>
    <w:rsid w:val="00FD6115"/>
    <w:rsid w:val="00FE527B"/>
    <w:rsid w:val="00FE6F65"/>
    <w:rsid w:val="00FE7977"/>
    <w:rsid w:val="00FF1136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B949A"/>
  <w15:docId w15:val="{833BCFE8-03A6-4639-987A-DBF61265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10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A6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417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17F20"/>
    <w:rPr>
      <w:rFonts w:ascii="Segoe UI" w:hAnsi="Segoe UI" w:cs="Segoe UI"/>
      <w:sz w:val="18"/>
      <w:szCs w:val="18"/>
    </w:rPr>
  </w:style>
  <w:style w:type="numbering" w:customStyle="1" w:styleId="Styl1">
    <w:name w:val="Styl1"/>
    <w:rsid w:val="00695444"/>
    <w:pPr>
      <w:numPr>
        <w:numId w:val="8"/>
      </w:numPr>
    </w:pPr>
  </w:style>
  <w:style w:type="paragraph" w:styleId="Zkladntextodsazen">
    <w:name w:val="Body Text Indent"/>
    <w:basedOn w:val="Normln"/>
    <w:link w:val="ZkladntextodsazenChar"/>
    <w:rsid w:val="006452A5"/>
    <w:pPr>
      <w:widowControl w:val="0"/>
      <w:autoSpaceDE w:val="0"/>
      <w:autoSpaceDN w:val="0"/>
      <w:adjustRightInd w:val="0"/>
      <w:spacing w:before="120" w:line="240" w:lineRule="atLeast"/>
      <w:ind w:left="360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452A5"/>
  </w:style>
  <w:style w:type="paragraph" w:styleId="Zhlav">
    <w:name w:val="header"/>
    <w:basedOn w:val="Normln"/>
    <w:link w:val="ZhlavChar"/>
    <w:rsid w:val="00645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2A5"/>
    <w:rPr>
      <w:sz w:val="24"/>
      <w:szCs w:val="24"/>
    </w:rPr>
  </w:style>
  <w:style w:type="paragraph" w:styleId="Zpat">
    <w:name w:val="footer"/>
    <w:basedOn w:val="Normln"/>
    <w:link w:val="ZpatChar"/>
    <w:rsid w:val="00645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52A5"/>
    <w:rPr>
      <w:sz w:val="24"/>
      <w:szCs w:val="24"/>
    </w:rPr>
  </w:style>
  <w:style w:type="paragraph" w:customStyle="1" w:styleId="Odstavecseseznamem1">
    <w:name w:val="Odstavec se seznamem1"/>
    <w:basedOn w:val="Normln"/>
    <w:rsid w:val="000D2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D758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58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58A1"/>
  </w:style>
  <w:style w:type="paragraph" w:styleId="Pedmtkomente">
    <w:name w:val="annotation subject"/>
    <w:basedOn w:val="Textkomente"/>
    <w:next w:val="Textkomente"/>
    <w:link w:val="PedmtkomenteChar"/>
    <w:rsid w:val="00D75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758A1"/>
    <w:rPr>
      <w:b/>
      <w:bCs/>
    </w:rPr>
  </w:style>
  <w:style w:type="paragraph" w:styleId="Normlnweb">
    <w:name w:val="Normal (Web)"/>
    <w:basedOn w:val="Normln"/>
    <w:uiPriority w:val="99"/>
    <w:unhideWhenUsed/>
    <w:rsid w:val="00A73DDC"/>
    <w:pPr>
      <w:spacing w:before="100" w:beforeAutospacing="1" w:after="100" w:afterAutospacing="1"/>
    </w:pPr>
    <w:rPr>
      <w:rFonts w:eastAsia="Calibri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A73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bezdrátového signalizačního systému SESTRA/PACIENT</vt:lpstr>
    </vt:vector>
  </TitlesOfParts>
  <Company>Městský Ústav Sociální Péče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bezdrátového signalizačního systému SESTRA/PACIENT</dc:title>
  <dc:creator>zelinka</dc:creator>
  <cp:lastModifiedBy>Jindřich Kotrch</cp:lastModifiedBy>
  <cp:revision>3</cp:revision>
  <cp:lastPrinted>2020-08-24T20:34:00Z</cp:lastPrinted>
  <dcterms:created xsi:type="dcterms:W3CDTF">2020-08-24T20:34:00Z</dcterms:created>
  <dcterms:modified xsi:type="dcterms:W3CDTF">2020-08-24T20:35:00Z</dcterms:modified>
</cp:coreProperties>
</file>