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7"/>
        <w:tabs>
          <w:tab w:leader="none" w:pos="622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9"/>
          <w:b w:val="0"/>
          <w:bCs w:val="0"/>
        </w:rPr>
        <w:t xml:space="preserve">Inkasní data: </w:t>
      </w:r>
      <w:r>
        <w:rPr>
          <w:rStyle w:val="CharStyle10"/>
          <w:b/>
          <w:bCs/>
        </w:rPr>
        <w:t xml:space="preserve">Komerční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banka </w:t>
      </w:r>
      <w:r>
        <w:rPr>
          <w:rStyle w:val="CharStyle10"/>
          <w:b/>
          <w:bCs/>
        </w:rPr>
        <w:t>Třinec</w:t>
        <w:tab/>
      </w:r>
      <w:r>
        <w:rPr>
          <w:rStyle w:val="CharStyle11"/>
          <w:b/>
          <w:bCs/>
        </w:rPr>
        <w:t xml:space="preserve">Objednávka </w:t>
      </w:r>
      <w:r>
        <w:rPr>
          <w:rStyle w:val="CharStyle12"/>
          <w:b/>
          <w:bCs/>
        </w:rPr>
        <w:t>CÍslo</w:t>
      </w:r>
      <w:r>
        <w:rPr>
          <w:rStyle w:val="CharStyle13"/>
          <w:b/>
          <w:bCs/>
        </w:rPr>
        <w:t>i</w:t>
      </w:r>
      <w:r>
        <w:rPr>
          <w:rStyle w:val="CharStyle9"/>
          <w:b w:val="0"/>
          <w:bCs w:val="0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TNv00011/2020</w:t>
      </w:r>
    </w:p>
    <w:p>
      <w:pPr>
        <w:pStyle w:val="Style5"/>
        <w:tabs>
          <w:tab w:leader="none" w:pos="11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460" w:firstLine="138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č. ú. 29034 - 781 / 0100 </w:t>
      </w:r>
      <w:r>
        <w:rPr>
          <w:rStyle w:val="CharStyle18"/>
          <w:b w:val="0"/>
          <w:bCs w:val="0"/>
        </w:rPr>
        <w:t>DIČ: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CZ00534242</w:t>
      </w:r>
    </w:p>
    <w:p>
      <w:pPr>
        <w:pStyle w:val="Style5"/>
        <w:tabs>
          <w:tab w:leader="none" w:pos="11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8.65pt;margin-top:-0.45pt;width:123.85pt;height:78.95pt;z-index:-125829376;mso-wrap-distance-left:97.9pt;mso-wrap-distance-top:28.85pt;mso-wrap-distance-right:5.pt;mso-wrap-distance-bottom:19.6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LHL s.r.o.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Lipová 17/18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217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400 10 Ústí nad Labem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pBdr>
                      <w:top w:val="single" w:sz="4" w:space="1" w:color="auto"/>
                      <w:bottom w:val="single" w:sz="4" w:space="1" w:color="auto"/>
                      <w:left w:val="single" w:sz="4" w:space="4" w:color="auto"/>
                      <w:right w:val="single" w:sz="4" w:space="4" w:color="auto"/>
                    </w:pBdr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IČO: 27301800</w:t>
                  </w:r>
                </w:p>
              </w:txbxContent>
            </v:textbox>
            <w10:wrap type="square" side="left" anchorx="margin"/>
          </v:shape>
        </w:pict>
      </w:r>
      <w:r>
        <w:rPr>
          <w:rStyle w:val="CharStyle18"/>
          <w:b w:val="0"/>
          <w:bCs w:val="0"/>
        </w:rPr>
        <w:t>IČO: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00534242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201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Organizace je zapsána v obchodním rejstříku vedeném u Krajského soudu v Ostravě v oddílu PR, vložce číslo 908.</w:t>
      </w:r>
    </w:p>
    <w:p>
      <w:pPr>
        <w:pStyle w:val="Style19"/>
        <w:tabs>
          <w:tab w:leader="none" w:pos="2602" w:val="left"/>
        </w:tabs>
        <w:widowControl w:val="0"/>
        <w:keepNext w:val="0"/>
        <w:keepLines w:val="0"/>
        <w:shd w:val="clear" w:color="auto" w:fill="auto"/>
        <w:bidi w:val="0"/>
        <w:spacing w:before="0" w:after="249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 558 309111</w:t>
        <w:tab/>
        <w:t>Fax: 558 309100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124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Dopravní dispozice: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301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lhůta:</w:t>
      </w:r>
    </w:p>
    <w:p>
      <w:pPr>
        <w:pStyle w:val="Style19"/>
        <w:tabs>
          <w:tab w:leader="none" w:pos="8870" w:val="left"/>
        </w:tabs>
        <w:widowControl w:val="0"/>
        <w:keepNext w:val="0"/>
        <w:keepLines w:val="0"/>
        <w:shd w:val="clear" w:color="auto" w:fill="auto"/>
        <w:bidi w:val="0"/>
        <w:spacing w:before="0" w:after="213" w:line="240" w:lineRule="exact"/>
        <w:ind w:left="0" w:right="0" w:firstLine="0"/>
      </w:pPr>
      <w:r>
        <w:rPr>
          <w:rStyle w:val="CharStyle21"/>
          <w:b/>
          <w:bCs/>
        </w:rPr>
        <w:t>Specifikace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Ze dne: 22.10.2020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180" w:line="23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Vás dodání 2 ks přístrojů - Vysokoprůtoková nasální terapie TNI SoftFlow 50 včetně příslušenství dle cenové nabídky č. 20NA00969 ze dne 21. 10. 2020, cena 241 983,06 Kč vč. DPH.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4512" w:line="23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Nedílnou součástí dodávky je, dle zákona 268/2014 Sb. v platném znění, návod v českém jazyce v tištěné i elektronické podobě, prohlášení o shodě s vyznačením třídy zdravotnického prostředku a prokazatelné poučení obsluhujícího personálu.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197" w:line="22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 splnění povinnosti zákona č. 340/2015 Sb. prosíme podepište akceptaci této objednávky a zašlete neprodleně zpět na e-mail vyhotovitele.</w:t>
      </w:r>
    </w:p>
    <w:p>
      <w:pPr>
        <w:pStyle w:val="Style19"/>
        <w:tabs>
          <w:tab w:leader="dot" w:pos="6624" w:val="left"/>
        </w:tabs>
        <w:widowControl w:val="0"/>
        <w:keepNext w:val="0"/>
        <w:keepLines w:val="0"/>
        <w:shd w:val="clear" w:color="auto" w:fill="auto"/>
        <w:bidi w:val="0"/>
        <w:spacing w:before="0" w:after="23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Objednávku akceptujeme:</w:t>
        <w:tab/>
        <w:t>(datum a podpis dodavatele)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0" w:line="23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Faktury zasílejte na adresu sídla naší organizace, nebo elektronicky na e-mail: </w:t>
      </w:r>
      <w:r>
        <w:fldChar w:fldCharType="begin"/>
      </w:r>
      <w:r>
        <w:rPr>
          <w:color w:val="000000"/>
        </w:rPr>
        <w:instrText> HYPERLINK "mailto:faktury@nemtr.cz"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faktury@nemtr.cz</w:t>
      </w:r>
      <w:r>
        <w:fldChar w:fldCharType="end"/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208" w:line="23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spacing w:before="0" w:after="206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závazkový právní vztah se řídí platným občanským zákoníkem a předpisy souvisejícími.</w:t>
      </w:r>
    </w:p>
    <w:p>
      <w:pPr>
        <w:pStyle w:val="Style19"/>
        <w:widowControl w:val="0"/>
        <w:keepNext w:val="0"/>
        <w:keepLines w:val="0"/>
        <w:shd w:val="clear" w:color="auto" w:fill="auto"/>
        <w:bidi w:val="0"/>
        <w:jc w:val="left"/>
        <w:spacing w:before="0" w:after="0" w:line="336" w:lineRule="exact"/>
        <w:ind w:left="0" w:right="0" w:firstLine="0"/>
      </w:pPr>
      <w:r>
        <w:pict>
          <v:shape id="_x0000_s1027" type="#_x0000_t202" style="position:absolute;margin-left:341.5pt;margin-top:-3.55pt;width:132.95pt;height:34.55pt;z-index:-125829375;mso-wrap-distance-left:180.pt;mso-wrap-distance-right:5.pt;mso-wrap-distance-bottom:19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317" w:lineRule="exact"/>
                    <w:ind w:left="0" w:right="140" w:firstLine="0"/>
                  </w:pPr>
                  <w:r>
                    <w:rPr>
                      <w:rStyle w:val="CharStyle6"/>
                      <w:b/>
                      <w:bCs/>
                    </w:rPr>
                    <w:t>Bc. Jaroslav Brzyszkowski provozně-technický náměstek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Vyhotovil: GalijaševičováAurelie e-mail: </w:t>
      </w:r>
      <w:r>
        <w:fldChar w:fldCharType="begin"/>
      </w:r>
      <w:r>
        <w:rPr>
          <w:color w:val="000000"/>
        </w:rPr>
        <w:instrText> HYPERLINK "mailto:aurelie.galijasevicova@nemtr.cz"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aurelie.galijasevicova@nemtr.cz</w:t>
      </w:r>
      <w:r>
        <w:fldChar w:fldCharType="end"/>
      </w:r>
    </w:p>
    <w:sectPr>
      <w:headerReference w:type="default" r:id="rId5"/>
      <w:footnotePr>
        <w:pos w:val="pageBottom"/>
        <w:numFmt w:val="decimal"/>
        <w:numRestart w:val="continuous"/>
      </w:footnotePr>
      <w:pgSz w:w="11900" w:h="16840"/>
      <w:pgMar w:top="1290" w:left="538" w:right="635" w:bottom="512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35.05pt;margin-top:35.2pt;width:528.5pt;height:13.7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4"/>
                  <w:tabs>
                    <w:tab w:leader="none" w:pos="10570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6"/>
                    <w:b/>
                    <w:bCs/>
                  </w:rPr>
                  <w:t>Nemocnice Třinec, příspěvková organizace</w:t>
                  <w:tab/>
                  <w:t>Kaštanová 268, Dolní Líštná, 739 61 Třinec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Body text (5) Exact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Body text (4) Exact"/>
    <w:basedOn w:val="DefaultParagraphFont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8">
    <w:name w:val="Body text (3)_"/>
    <w:basedOn w:val="DefaultParagraphFont"/>
    <w:link w:val="Style7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9">
    <w:name w:val="Body text (3) + 10 pt,Not Bold"/>
    <w:basedOn w:val="CharStyle8"/>
    <w:rPr>
      <w:lang w:val="cs-CZ" w:eastAsia="cs-CZ" w:bidi="cs-CZ"/>
      <w:b/>
      <w:bCs/>
      <w:sz w:val="20"/>
      <w:szCs w:val="20"/>
      <w:w w:val="100"/>
      <w:spacing w:val="0"/>
      <w:color w:val="000000"/>
      <w:position w:val="0"/>
    </w:rPr>
  </w:style>
  <w:style w:type="character" w:customStyle="1" w:styleId="CharStyle10">
    <w:name w:val="Body text (3) + 10 pt"/>
    <w:basedOn w:val="CharStyle8"/>
    <w:rPr>
      <w:lang w:val="cs-CZ" w:eastAsia="cs-CZ" w:bidi="cs-CZ"/>
      <w:sz w:val="20"/>
      <w:szCs w:val="20"/>
      <w:w w:val="100"/>
      <w:spacing w:val="0"/>
      <w:color w:val="000000"/>
      <w:position w:val="0"/>
    </w:rPr>
  </w:style>
  <w:style w:type="character" w:customStyle="1" w:styleId="CharStyle11">
    <w:name w:val="Body text (3) + 14 pt"/>
    <w:basedOn w:val="CharStyle8"/>
    <w:rPr>
      <w:lang w:val="cs-CZ" w:eastAsia="cs-CZ" w:bidi="cs-CZ"/>
      <w:sz w:val="28"/>
      <w:szCs w:val="28"/>
      <w:w w:val="100"/>
      <w:spacing w:val="0"/>
      <w:color w:val="000000"/>
      <w:position w:val="0"/>
    </w:rPr>
  </w:style>
  <w:style w:type="character" w:customStyle="1" w:styleId="CharStyle12">
    <w:name w:val="Body text (3)"/>
    <w:basedOn w:val="CharStyle8"/>
    <w:rPr>
      <w:lang w:val="cs-CZ" w:eastAsia="cs-CZ" w:bidi="cs-CZ"/>
      <w:sz w:val="21"/>
      <w:szCs w:val="21"/>
      <w:w w:val="100"/>
      <w:spacing w:val="0"/>
      <w:color w:val="000000"/>
      <w:position w:val="0"/>
    </w:rPr>
  </w:style>
  <w:style w:type="character" w:customStyle="1" w:styleId="CharStyle13">
    <w:name w:val="Body text (3) + 9 pt,Italic"/>
    <w:basedOn w:val="CharStyle8"/>
    <w:rPr>
      <w:lang w:val="cs-CZ" w:eastAsia="cs-CZ" w:bidi="cs-CZ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15">
    <w:name w:val="Header or footer_"/>
    <w:basedOn w:val="DefaultParagraphFont"/>
    <w:link w:val="Style14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6">
    <w:name w:val="Header or footer"/>
    <w:basedOn w:val="CharStyle15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7">
    <w:name w:val="Body text (4)_"/>
    <w:basedOn w:val="DefaultParagraphFont"/>
    <w:link w:val="Style5"/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18">
    <w:name w:val="Body text (4) + Not Bold"/>
    <w:basedOn w:val="CharStyle1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0">
    <w:name w:val="Body text (2)_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1">
    <w:name w:val="Body text (2) + 12 pt,Bold,Spacing 2 pt"/>
    <w:basedOn w:val="CharStyle20"/>
    <w:rPr>
      <w:lang w:val="cs-CZ" w:eastAsia="cs-CZ" w:bidi="cs-CZ"/>
      <w:b/>
      <w:bCs/>
      <w:sz w:val="24"/>
      <w:szCs w:val="24"/>
      <w:w w:val="100"/>
      <w:spacing w:val="50"/>
      <w:color w:val="000000"/>
      <w:position w:val="0"/>
    </w:rPr>
  </w:style>
  <w:style w:type="paragraph" w:customStyle="1" w:styleId="Style3">
    <w:name w:val="Body text (5)"/>
    <w:basedOn w:val="Normal"/>
    <w:link w:val="CharStyle4"/>
    <w:pPr>
      <w:widowControl w:val="0"/>
      <w:shd w:val="clear" w:color="auto" w:fill="FFFFFF"/>
      <w:spacing w:line="341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Body text (4)"/>
    <w:basedOn w:val="Normal"/>
    <w:link w:val="CharStyle17"/>
    <w:pPr>
      <w:widowControl w:val="0"/>
      <w:shd w:val="clear" w:color="auto" w:fill="FFFFFF"/>
      <w:spacing w:line="322" w:lineRule="exact"/>
    </w:pPr>
    <w:rPr>
      <w:b/>
      <w:bCs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7">
    <w:name w:val="Body text (3)"/>
    <w:basedOn w:val="Normal"/>
    <w:link w:val="CharStyle8"/>
    <w:pPr>
      <w:widowControl w:val="0"/>
      <w:shd w:val="clear" w:color="auto" w:fill="FFFFFF"/>
      <w:jc w:val="both"/>
      <w:spacing w:line="322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4">
    <w:name w:val="Header or footer"/>
    <w:basedOn w:val="Normal"/>
    <w:link w:val="CharStyle15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9">
    <w:name w:val="Body text (2)"/>
    <w:basedOn w:val="Normal"/>
    <w:link w:val="CharStyle20"/>
    <w:pPr>
      <w:widowControl w:val="0"/>
      <w:shd w:val="clear" w:color="auto" w:fill="FFFFFF"/>
      <w:jc w:val="both"/>
      <w:spacing w:after="180" w:line="226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