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34" w:h="163" w:wrap="none" w:hAnchor="page" w:x="6675" w:y="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DOFRAVNI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3150235</wp:posOffset>
            </wp:positionH>
            <wp:positionV relativeFrom="margin">
              <wp:posOffset>0</wp:posOffset>
            </wp:positionV>
            <wp:extent cx="1298575" cy="5791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98575" cy="579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424" w:left="1111" w:right="742" w:bottom="1295" w:header="99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11/390 Rozseč - Vidonín, ze dne 11. 8. 2020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N-ST-1-2020-5-7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D4/55/2020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177800</wp:posOffset>
                </wp:positionV>
                <wp:extent cx="2953385" cy="374650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338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58601 Jihlava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59.94999999999999pt;margin-top:14.pt;width:232.55000000000001pt;height:29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1122/16, 58601 Jihlava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12700</wp:posOffset>
                </wp:positionV>
                <wp:extent cx="826135" cy="567055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613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 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9.69999999999999pt;margin-top:1.pt;width:65.049999999999997pt;height:44.6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 Kraj Vysočina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Zřizovatel: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„Objednatel")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Metrostav Infrastructure a.s.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Koželužská 2246/5,180 00 Praha 8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4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místopředsedou představenstva, 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členem představenstva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u Městského soudu v Praze, oddíl B, vložka 17819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24204005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CZ24204005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„Zhotovitel")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„Smluvnístrana")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nepodstatnou změnu závazku při realizaci díla, spočívající v záměně jedné položky, uzavírají smluvní strany v souladu s ustanovením § 222 odst. 7 zákona č. 134/2016 Sb., o zadávání veřejných zakázek (dále jen „zákon") tento dodatek č. 1 ke smlouvě o dílo číslo objednatele N-ST-1-2020-5-7, číslo zhotovitele D4/55/2020 ze dne 11. 8. 2020 (dále také SoD).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stavební práce tak, jak je uvedeno v příloze tohoto dodatku.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88900" distL="0" distR="0" simplePos="0" relativeHeight="125829382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0</wp:posOffset>
            </wp:positionV>
            <wp:extent cx="1304290" cy="579120"/>
            <wp:wrapTopAndBottom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30429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02590" distB="161925" distL="0" distR="0" simplePos="0" relativeHeight="125829383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402590</wp:posOffset>
                </wp:positionV>
                <wp:extent cx="405130" cy="10350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DOPRAVNÍ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2.94999999999999pt;margin-top:31.699999999999999pt;width:31.899999999999999pt;height:8.1500000000000004pt;z-index:-125829370;mso-wrap-distance-left:0;mso-wrap-distance-top:31.699999999999999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tbl>
      <w:tblPr>
        <w:tblOverlap w:val="never"/>
        <w:jc w:val="center"/>
        <w:tblLayout w:type="fixed"/>
      </w:tblPr>
      <w:tblGrid>
        <w:gridCol w:w="5328"/>
        <w:gridCol w:w="878"/>
        <w:gridCol w:w="2011"/>
      </w:tblGrid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Původní cena díla dle smlouvy o dílo bez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10 082 382,37 Kč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Hodnota původní položky Z1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3 320 859,02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Hodnota nové položky Z1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+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2 920 291,92 Kč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Nově sjednaná cena dle dodatku č. 1 bez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9 681 815,27 Kč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2 033 181,21 Kč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Nově sjednaná cena dle dodatku č. 1 včetně DPH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11 714 996,48 Kč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Záruka za jakost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X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10.1.,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Zhotovitel poskytuje na dílo, které je předmětem této Smlouvy, záruku za jakost v délce trvání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60 měsíců.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Zhotovitel poskytuje na dílo, které je předmětem této Smlouvy, záruku za jakost v délce trvání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72 měsíců.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8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tohoto dodatku je změna závazku Z1 z původní smlouvy na veřejnou zakázku, která se nepovažuje za podstatnou změnu závazku, neboť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222 odst. 7 zákona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na stavební práce nepovažuje záměna jedné nebo více položek soupisu stavebních prací jednou nebo více položkami, za předpokladu že: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88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položky soupisu stavebních prací představují srovnatelný druh materiálu nebo prací ve vztahu k nahrazovaným položkám,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88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materiálu nebo prací podle nových položek soupisu stavebních prací je ve vztahu k nahrazovaným položkám stejná nebo nižší,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88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materiál nebo práce podle nových položek soupisu stavebních prací jsou ve vztahu k nahrazovaným položkám kvalitativně stejné nebo vyšší.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změna závazku ze smlouvy Z1 spočívá v tom, že do recyklace za studená byla přidána asfaltová emulze v rozporu s TP 208 (pokládka distributorem). Provedená konstrukční vrstva i tak splňuje normové požadavky a požadavky projektové dokumentace. Nová položka tak představuje srovnatelný druh materiálu a cena položky je snížená ve vztahu k nahrazované položce o cenu asfaltové emulze. Materiál konstrukční vrstvy je ve vztahu k nahrazované položce kvalitativně stejný. Nová položka je vykázána v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(původní byla v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vrstva je provedena v tl. 20 cm). Snížení ceny díla činí 4 % původní hodnoty závazku.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10"/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2" w:left="1110" w:right="743" w:bottom="1724" w:header="123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ustanovení shora citované smlouvy se nemění a zůstávají v platnosti.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26720" cy="57277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2672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59" w:line="1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52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12"/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jejího uveřejnění v registru smluv.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Rozpis ocenění změn položek Změnového listu č.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62" w:left="1110" w:right="743" w:bottom="17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4"/>
        <w:keepNext w:val="0"/>
        <w:keepLines w:val="0"/>
        <w:framePr w:w="514" w:h="202" w:wrap="none" w:hAnchor="page" w:x="921" w:y="-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</w:p>
    <w:p>
      <w:pPr>
        <w:pStyle w:val="Style24"/>
        <w:keepNext w:val="0"/>
        <w:keepLines w:val="0"/>
        <w:framePr w:w="1790" w:h="259" w:wrap="none" w:hAnchor="page" w:x="12719" w:y="-65"/>
        <w:widowControl w:val="0"/>
        <w:shd w:val="clear" w:color="auto" w:fill="auto"/>
        <w:tabs>
          <w:tab w:pos="8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7. 10.2020</w:t>
      </w:r>
    </w:p>
    <w:p>
      <w:pPr>
        <w:pStyle w:val="Style24"/>
        <w:keepNext w:val="0"/>
        <w:keepLines w:val="0"/>
        <w:framePr w:w="1094" w:h="235" w:wrap="none" w:hAnchor="page" w:x="14975" w:y="-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12:24:28</w:t>
      </w:r>
    </w:p>
    <w:p>
      <w:pPr>
        <w:widowControl w:val="0"/>
        <w:spacing w:after="197" w:line="1" w:lineRule="exact"/>
      </w:pPr>
    </w:p>
    <w:p>
      <w:pPr>
        <w:widowControl w:val="0"/>
        <w:spacing w:line="1" w:lineRule="exact"/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32" w:left="718" w:right="694" w:bottom="172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37"/>
        <w:gridCol w:w="970"/>
        <w:gridCol w:w="3034"/>
        <w:gridCol w:w="691"/>
        <w:gridCol w:w="1128"/>
        <w:gridCol w:w="1003"/>
        <w:gridCol w:w="960"/>
        <w:gridCol w:w="869"/>
        <w:gridCol w:w="1162"/>
        <w:gridCol w:w="1003"/>
        <w:gridCol w:w="974"/>
        <w:gridCol w:w="1238"/>
        <w:gridCol w:w="1032"/>
        <w:gridCol w:w="926"/>
      </w:tblGrid>
      <w:tr>
        <w:trPr>
          <w:trHeight w:val="389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</w:t>
            </w:r>
          </w:p>
        </w:tc>
      </w:tr>
      <w:tr>
        <w:trPr>
          <w:trHeight w:val="37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 ZR 2020 - 11/390 Vidonín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Rozseč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Metrostav Infrastructure a.s.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 prací (SO/PS)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 001 - 11/390 Vidonín - Rozseč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 001 - 11/390 Vidonín - Rozseč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smlouvě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02610.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ZKOUŠENÍ KONSTRUKCÍ A PRACÍ ZKUŠEBNOU ZHOTOVITELE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02710.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POMOC PRÁCE ZŘÍZ NEBO ZAJIŠŤ OBJÍŽĎKY A BŘÍSTUP CESTY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02720.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POMOC PRÁCE ZŘÍZ NEBO ZAJIŠŤ REGULACI A OCHRANU DOPRAVY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02911.1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OSTATNÍ POŽÁDÁVKY- GEODETICKÉ ZAMĚŘENÍ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5,800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5,800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69 600,00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69 600,00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02991.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OSTATNÍ POŽADAVKY- INFORMAČNÍ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TABULE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03100.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ZAŘÍZENÍ STAVENÉTÉ - ZŘÍZENÍ, PROVOZ, DEMONTÁŽ KPL = stavba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03730.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POMOC PRÁCE ZAJIŠŤ NEBO ZŘÍZ OCHRANU INŽENÝRSKÝCH SÍTÍ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122838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ODKOPÁVKY A PROKOPÁVKY OBECNÉ TŘ 11, ODVOZ DO 20KM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663,56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13 271,20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13 271,20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123738.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ODKOP PRO SPOD STAVBU SILNIC 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ŽELEZNIC TŘ. I, ODVOZ DO 20KM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154,548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154,548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42 655,25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42 655,25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100MM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1 380,000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1 380,000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64 653,00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64 653,00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0.25M3/M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86,93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43 465,00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43 465,00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129958.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POTRUBÍ DN DO 600MM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427,27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13 672,64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13 672,64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17481.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ZÁSYP JAM A RÝH Z NAKUPOVANÝCH MATERIÁLŮ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735,25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3 676,25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3 676,25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17481.1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ZÁSYP JAM A RÝH Z NAKUPOVANÝCH MATERIÁLŮ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747,86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3 739,30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3 739,30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MC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5 736,00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114 720,00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114 720,00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32"/>
        <w:gridCol w:w="974"/>
        <w:gridCol w:w="3034"/>
        <w:gridCol w:w="691"/>
        <w:gridCol w:w="1128"/>
        <w:gridCol w:w="1003"/>
        <w:gridCol w:w="960"/>
        <w:gridCol w:w="869"/>
        <w:gridCol w:w="1157"/>
        <w:gridCol w:w="1003"/>
        <w:gridCol w:w="979"/>
        <w:gridCol w:w="1238"/>
        <w:gridCol w:w="1032"/>
        <w:gridCol w:w="917"/>
      </w:tblGrid>
      <w:tr>
        <w:trPr>
          <w:trHeight w:val="384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</w:t>
            </w:r>
          </w:p>
        </w:tc>
      </w:tr>
      <w:tr>
        <w:trPr>
          <w:trHeight w:val="37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 ZR 2020 -11/390 Vidonín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Rozseč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Metrostav Infrastructure a.s.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 prací (SO/PS)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 001 -11/390 Vidonín - Rozseč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 001 -11/390 Vidonín - Rozseč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smlouvě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567504.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PRO OBNOVU A OPRAVY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RECYK ZA STUDENÁ CEM A ASF EMULZÍ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2 330,640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-2 330,640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1 424,87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3 320 859,02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-3 320 859,02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-3 320 859,02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RECYKLOVANÉHO MATERIÁLU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155,376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155,376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459,95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71 465,19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71 465,19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1.0KG/M2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11 653,000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237 721,20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237 721,20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0.5KG/M2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11 221,600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11 221,600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148 125,12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148 125,12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11 135,280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11 135,280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226,73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2 524 702,03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2 524 702,03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 ACL16+, 16S TL. 50MM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11 329,500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11 329,500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244,24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2 767 117,08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2 767 117,08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9113A1.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SVODIDLO OCEL SILNIČ JEDNOSTR, ÚROVEŇ ZADRŽ NI, N2 - DODÁVKA A MONTÁŽ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972,08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116 649,60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116 649,60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9113A3.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SVODIDLO OCEL SILNIČ JEDNOSTR, ÚROVEŇ ZADRŽ NI, N2 - DEMONTÁŽ S PŘESUNEM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207,58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24 909,60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24 909,60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 VČETNĚ ODRAZNÉHO PÁSKU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405,24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34 850,64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34 850,64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912283.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HMOT- DEMONTÁŽ A ODVOZ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9 476,34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9 476,34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443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915111.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VODOROVNÉ DOPRAVNÍ ZNAČENÍ BARVOU HLADKÉ - DODÁVKA A POKLÁDKA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539,500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539,500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116,30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62 743,85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62 743,85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2 170,11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13 020,66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13 020,66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966158.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KONSTRUKCÍ Z PROST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BETONU S ODVOZEM DO 20KM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3 424,94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34 249,40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34 249,40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6830" distB="8890" distL="114300" distR="9404350" simplePos="0" relativeHeight="125829385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margin">
                  <wp:posOffset>36830</wp:posOffset>
                </wp:positionV>
                <wp:extent cx="326390" cy="11874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3.13.1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5.100000000000001pt;margin-top:2.8999999999999999pt;width:25.699999999999999pt;height:9.3499999999999996pt;z-index:-125829368;mso-wrap-distance-left:9.pt;mso-wrap-distance-top:2.8999999999999999pt;mso-wrap-distance-right:740.5pt;mso-wrap-distance-bottom:0.69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3.13.1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7606030" distR="1102360" simplePos="0" relativeHeight="125829387" behindDoc="0" locked="0" layoutInCell="1" allowOverlap="1">
                <wp:simplePos x="0" y="0"/>
                <wp:positionH relativeFrom="page">
                  <wp:posOffset>8064500</wp:posOffset>
                </wp:positionH>
                <wp:positionV relativeFrom="margin">
                  <wp:posOffset>0</wp:posOffset>
                </wp:positionV>
                <wp:extent cx="1136650" cy="16446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6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7. 10. 2020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35.pt;margin-top:0;width:89.5pt;height:12.949999999999999pt;z-index:-125829366;mso-wrap-distance-left:598.89999999999998pt;mso-wrap-distance-right:86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7. 10. 2020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415" distB="0" distL="9041765" distR="114300" simplePos="0" relativeHeight="125829389" behindDoc="0" locked="0" layoutInCell="1" allowOverlap="1">
                <wp:simplePos x="0" y="0"/>
                <wp:positionH relativeFrom="page">
                  <wp:posOffset>9500235</wp:posOffset>
                </wp:positionH>
                <wp:positionV relativeFrom="margin">
                  <wp:posOffset>18415</wp:posOffset>
                </wp:positionV>
                <wp:extent cx="688975" cy="14605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Čas. 12:24:28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748.04999999999995pt;margin-top:1.45pt;width:54.25pt;height:11.5pt;z-index:-125829364;mso-wrap-distance-left:711.95000000000005pt;mso-wrap-distance-top:1.4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Čas. 12:24:28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left"/>
        <w:tblLayout w:type="fixed"/>
      </w:tblPr>
      <w:tblGrid>
        <w:gridCol w:w="432"/>
        <w:gridCol w:w="974"/>
        <w:gridCol w:w="3029"/>
        <w:gridCol w:w="696"/>
        <w:gridCol w:w="1128"/>
        <w:gridCol w:w="1003"/>
        <w:gridCol w:w="960"/>
        <w:gridCol w:w="864"/>
        <w:gridCol w:w="1162"/>
        <w:gridCol w:w="1008"/>
        <w:gridCol w:w="974"/>
        <w:gridCol w:w="1238"/>
        <w:gridCol w:w="1032"/>
        <w:gridCol w:w="917"/>
      </w:tblGrid>
      <w:tr>
        <w:trPr>
          <w:trHeight w:val="384" w:hRule="exact"/>
        </w:trPr>
        <w:tc>
          <w:tcPr>
            <w:gridSpan w:val="1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</w:t>
            </w:r>
          </w:p>
        </w:tc>
      </w:tr>
      <w:tr>
        <w:trPr>
          <w:trHeight w:val="131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 ZR 2020 -11/390 Vidonín - Rozseč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 -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 001 -11/390 Vidonín - Rozseč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 001 -11/390 Vidonín - Rozseč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Metrostav Infrastructure a.s.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6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 prací (SO/PS)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01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567133115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Podklad ze směsi stmelené cementem SC C 5/6 (KSC n) tl 200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11 653,200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11 653,200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2 920 291,92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2 920 291,92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2 920 291,92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10 082 382,37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-3 320 859,02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2 920 291,92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9 681 815,27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-400 567,10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-3,97</w:t>
            </w:r>
          </w:p>
        </w:tc>
      </w:tr>
      <w:tr>
        <w:trPr>
          <w:trHeight w:val="42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Všechny změny celkem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18" w:h="3845" w:vSpace="274" w:wrap="notBeside" w:vAnchor="text" w:hAnchor="text" w:x="5" w:y="27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10 082 382,37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-3 320 859,02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2 920 291,92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9 681 815,27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-400 567,10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15418" w:h="3845" w:vSpace="274" w:wrap="notBeside" w:vAnchor="text" w:hAnchor="text" w:x="5" w:y="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-3,97</w:t>
            </w:r>
          </w:p>
        </w:tc>
      </w:tr>
    </w:tbl>
    <w:p>
      <w:pPr>
        <w:pStyle w:val="Style36"/>
        <w:keepNext w:val="0"/>
        <w:keepLines w:val="0"/>
        <w:framePr w:w="514" w:h="197" w:hSpace="4" w:wrap="notBeside" w:vAnchor="text" w:hAnchor="text" w:x="197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</w:p>
    <w:p>
      <w:pPr>
        <w:pStyle w:val="Style36"/>
        <w:keepNext w:val="0"/>
        <w:keepLines w:val="0"/>
        <w:framePr w:w="1786" w:h="259" w:hSpace="4" w:wrap="notBeside" w:vAnchor="text" w:hAnchor="text" w:x="12000" w:y="1"/>
        <w:widowControl w:val="0"/>
        <w:shd w:val="clear" w:color="auto" w:fill="auto"/>
        <w:tabs>
          <w:tab w:pos="8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7. 10. 2020</w:t>
      </w:r>
    </w:p>
    <w:p>
      <w:pPr>
        <w:pStyle w:val="Style36"/>
        <w:keepNext w:val="0"/>
        <w:keepLines w:val="0"/>
        <w:framePr w:w="1090" w:h="230" w:hSpace="4" w:wrap="notBeside" w:vAnchor="text" w:hAnchor="text" w:x="1425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12:24:28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892" w:left="706" w:right="708" w:bottom="191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5741035</wp:posOffset>
              </wp:positionH>
              <wp:positionV relativeFrom="page">
                <wp:posOffset>9958070</wp:posOffset>
              </wp:positionV>
              <wp:extent cx="567055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7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2.05000000000001pt;margin-top:784.10000000000002pt;width:44.649999999999999pt;height:6.2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9763125</wp:posOffset>
              </wp:positionV>
              <wp:extent cx="637032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703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799999999999997pt;margin-top:768.75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5763260</wp:posOffset>
              </wp:positionH>
              <wp:positionV relativeFrom="page">
                <wp:posOffset>9493250</wp:posOffset>
              </wp:positionV>
              <wp:extent cx="570230" cy="8255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0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53.80000000000001pt;margin-top:747.5pt;width:44.899999999999999pt;height:6.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9455150</wp:posOffset>
              </wp:positionV>
              <wp:extent cx="6373495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73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99999999999997pt;margin-top:744.5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6543040</wp:posOffset>
              </wp:positionV>
              <wp:extent cx="5528945" cy="10985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289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Za zhotovitele:</w:t>
                            <w:tab/>
                            <w:t>Za objednavatele: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24.pt;margin-top:515.20000000000005pt;width:435.35000000000002pt;height:8.6500000000000004pt;z-index:-18874405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Za zhotovitele:</w:t>
                      <w:tab/>
                      <w:t>Za objednavatele: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1943735</wp:posOffset>
              </wp:positionH>
              <wp:positionV relativeFrom="page">
                <wp:posOffset>6887845</wp:posOffset>
              </wp:positionV>
              <wp:extent cx="5154295" cy="9779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1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Datum:</w:t>
                            <w:tab/>
                            <w:t>Datum: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53.05000000000001pt;margin-top:542.35000000000002pt;width:405.85000000000002pt;height:7.7000000000000002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Datum:</w:t>
                      <w:tab/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1014095</wp:posOffset>
              </wp:positionV>
              <wp:extent cx="871855" cy="1460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71855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STATNÍ FOND DOPRAVNÍ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INFRASTRUKTURY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5.64999999999998pt;margin-top:79.849999999999994pt;width:68.650000000000006pt;height:11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STATNÍ FOND DOPRAVNÍ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INFRASTRUKTURY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1335405</wp:posOffset>
              </wp:positionV>
              <wp:extent cx="634873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487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105.15000000000001pt;width:499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386715</wp:posOffset>
              </wp:positionV>
              <wp:extent cx="9555480" cy="11557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5554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560" w:val="right"/>
                              <w:tab w:pos="150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Krajská správa a údržba silnic Vysočiny, příspěvková organizace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 xml:space="preserve">Strana: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7.649999999999999pt;margin-top:30.449999999999999pt;width:752.39999999999998pt;height:9.0999999999999996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560" w:val="right"/>
                        <w:tab w:pos="150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cs-CZ" w:eastAsia="cs-CZ" w:bidi="cs-CZ"/>
                      </w:rPr>
                      <w:t>Aspe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Krajská správa a údržba silnic Vysočiny, příspěvková organizace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cs-CZ" w:eastAsia="cs-CZ" w:bidi="cs-CZ"/>
                      </w:rPr>
                      <w:t xml:space="preserve">Strana: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543560</wp:posOffset>
              </wp:positionV>
              <wp:extent cx="9845040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8450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100000000000001pt;margin-top:42.799999999999997pt;width:775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1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5">
    <w:name w:val="Nadpis #2_"/>
    <w:basedOn w:val="DefaultParagraphFont"/>
    <w:link w:val="Style1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Základní text (5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7">
    <w:name w:val="Titulek tabulky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 w:line="25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1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FFFFFF"/>
      <w:spacing w:after="290"/>
    </w:pPr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20" w:line="245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Základní text (5)"/>
    <w:basedOn w:val="Normal"/>
    <w:link w:val="CharStyle2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6">
    <w:name w:val="Titulek tabulky"/>
    <w:basedOn w:val="Normal"/>
    <w:link w:val="CharStyle3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/Relationships>
</file>