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50018CBC" w:rsidR="0006031F" w:rsidRPr="00E4163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BONNO GASTRO SERVIS s.r.o.</w:t>
            </w:r>
          </w:p>
          <w:p w14:paraId="6E7EC2C0" w14:textId="765BBDF9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Husova 523</w:t>
            </w:r>
          </w:p>
          <w:p w14:paraId="10022ECC" w14:textId="37308A2D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370 21 České Budějovice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671160F9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6453945B" w14:textId="31D38E00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0417F661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BA4C3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1B72FBAA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9C1A50">
              <w:rPr>
                <w:rFonts w:ascii="Arial" w:hAnsi="Arial" w:cs="Arial"/>
                <w:sz w:val="22"/>
                <w:szCs w:val="22"/>
              </w:rPr>
              <w:t>5</w:t>
            </w:r>
            <w:r w:rsidR="00BA4C3B">
              <w:rPr>
                <w:rFonts w:ascii="Arial" w:hAnsi="Arial" w:cs="Arial"/>
                <w:sz w:val="22"/>
                <w:szCs w:val="22"/>
              </w:rPr>
              <w:t>90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652EE2F2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290EAA">
              <w:rPr>
                <w:rFonts w:ascii="Arial" w:hAnsi="Arial" w:cs="Arial"/>
                <w:sz w:val="22"/>
                <w:szCs w:val="22"/>
              </w:rPr>
              <w:t>6</w:t>
            </w:r>
            <w:r w:rsidR="00BA4C3B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6F777AC1" w:rsidR="00E969D7" w:rsidRPr="004C696C" w:rsidRDefault="009C1A5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A4C3B">
              <w:rPr>
                <w:rFonts w:ascii="Arial" w:hAnsi="Arial" w:cs="Arial"/>
                <w:sz w:val="22"/>
                <w:szCs w:val="22"/>
              </w:rPr>
              <w:t>6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522D5D3" w:rsidR="00132EE9" w:rsidRPr="00132EE9" w:rsidRDefault="00BA4C3B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1 50</w:t>
      </w:r>
      <w:r w:rsidR="009C1A50">
        <w:rPr>
          <w:rFonts w:ascii="Arial" w:hAnsi="Arial" w:cs="Arial"/>
          <w:sz w:val="22"/>
          <w:szCs w:val="22"/>
        </w:rPr>
        <w:t xml:space="preserve">0 ks </w:t>
      </w:r>
      <w:r>
        <w:rPr>
          <w:rFonts w:ascii="Arial" w:hAnsi="Arial" w:cs="Arial"/>
          <w:sz w:val="22"/>
          <w:szCs w:val="22"/>
        </w:rPr>
        <w:t>jednorázový plášť návštěvnický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1823C3BC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465C0BD9" w:rsidR="00753B26" w:rsidRDefault="00BA4C3B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07AFB677" w:rsidR="00A8152F" w:rsidRDefault="00C812E7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01 Děčín 2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536FD074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39CE516" w14:textId="350D2288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80540" w14:textId="77777777" w:rsidR="00C33207" w:rsidRDefault="00C33207" w:rsidP="008901AB">
      <w:r>
        <w:separator/>
      </w:r>
    </w:p>
  </w:endnote>
  <w:endnote w:type="continuationSeparator" w:id="0">
    <w:p w14:paraId="3CECC6E1" w14:textId="77777777" w:rsidR="00C33207" w:rsidRDefault="00C33207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C33207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544EC" w14:textId="77777777" w:rsidR="00C33207" w:rsidRDefault="00C33207" w:rsidP="008901AB">
      <w:r>
        <w:separator/>
      </w:r>
    </w:p>
  </w:footnote>
  <w:footnote w:type="continuationSeparator" w:id="0">
    <w:p w14:paraId="14DEF5A3" w14:textId="77777777" w:rsidR="00C33207" w:rsidRDefault="00C33207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A3EBE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3565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1A50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BA4C3B"/>
    <w:rsid w:val="00C07B84"/>
    <w:rsid w:val="00C33207"/>
    <w:rsid w:val="00C771B4"/>
    <w:rsid w:val="00C812E7"/>
    <w:rsid w:val="00CB027F"/>
    <w:rsid w:val="00CB3510"/>
    <w:rsid w:val="00CC08BF"/>
    <w:rsid w:val="00CD773B"/>
    <w:rsid w:val="00CF7D45"/>
    <w:rsid w:val="00D12B4F"/>
    <w:rsid w:val="00D16466"/>
    <w:rsid w:val="00D20A98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2020-10-26T07:08:00Z</cp:lastPrinted>
  <dcterms:created xsi:type="dcterms:W3CDTF">2020-10-27T09:22:00Z</dcterms:created>
  <dcterms:modified xsi:type="dcterms:W3CDTF">2020-10-27T09:22:00Z</dcterms:modified>
</cp:coreProperties>
</file>