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A7" w:rsidRPr="00057299" w:rsidRDefault="00EA65A7" w:rsidP="00EA65A7">
      <w:pPr>
        <w:jc w:val="center"/>
        <w:rPr>
          <w:rFonts w:asciiTheme="minorHAnsi" w:hAnsiTheme="minorHAnsi"/>
          <w:color w:val="000000"/>
          <w:sz w:val="28"/>
          <w:szCs w:val="28"/>
        </w:rPr>
      </w:pPr>
      <w:r w:rsidRPr="00057299">
        <w:rPr>
          <w:rFonts w:asciiTheme="minorHAnsi" w:hAnsiTheme="minorHAnsi"/>
          <w:b/>
          <w:bCs/>
          <w:color w:val="000000"/>
          <w:sz w:val="28"/>
          <w:szCs w:val="28"/>
        </w:rPr>
        <w:t>SMLOUVA O POSKYTOVÁNÍ PRÁVNÍCH SLUŽEB</w:t>
      </w:r>
    </w:p>
    <w:p w:rsidR="001010FF" w:rsidRPr="00057299" w:rsidRDefault="001010FF" w:rsidP="00EC2DF2">
      <w:pPr>
        <w:rPr>
          <w:rFonts w:asciiTheme="minorHAnsi" w:hAnsiTheme="minorHAnsi"/>
          <w:sz w:val="22"/>
          <w:szCs w:val="22"/>
        </w:rPr>
      </w:pPr>
    </w:p>
    <w:p w:rsidR="006229A3" w:rsidRPr="006229A3" w:rsidRDefault="006229A3" w:rsidP="006229A3">
      <w:pPr>
        <w:rPr>
          <w:rFonts w:asciiTheme="minorHAnsi" w:hAnsiTheme="minorHAnsi"/>
          <w:b/>
          <w:sz w:val="22"/>
          <w:szCs w:val="22"/>
        </w:rPr>
      </w:pPr>
      <w:r w:rsidRPr="006229A3">
        <w:rPr>
          <w:rFonts w:asciiTheme="minorHAnsi" w:hAnsiTheme="minorHAnsi"/>
          <w:b/>
          <w:sz w:val="22"/>
          <w:szCs w:val="22"/>
        </w:rPr>
        <w:t>Město Tišnov</w:t>
      </w:r>
    </w:p>
    <w:p w:rsidR="006229A3" w:rsidRPr="006229A3" w:rsidRDefault="006229A3" w:rsidP="006229A3">
      <w:pPr>
        <w:rPr>
          <w:rFonts w:asciiTheme="minorHAnsi" w:hAnsiTheme="minorHAnsi"/>
          <w:sz w:val="22"/>
          <w:szCs w:val="22"/>
        </w:rPr>
      </w:pPr>
      <w:r w:rsidRPr="006229A3">
        <w:rPr>
          <w:rFonts w:asciiTheme="minorHAnsi" w:hAnsiTheme="minorHAnsi"/>
          <w:sz w:val="22"/>
          <w:szCs w:val="22"/>
        </w:rPr>
        <w:t>se sídlem náměstí Míru 111, 666 19 Tišnov</w:t>
      </w:r>
    </w:p>
    <w:p w:rsidR="006229A3" w:rsidRDefault="006229A3" w:rsidP="006229A3">
      <w:pPr>
        <w:rPr>
          <w:rFonts w:asciiTheme="minorHAnsi" w:hAnsiTheme="minorHAnsi"/>
          <w:sz w:val="22"/>
          <w:szCs w:val="22"/>
        </w:rPr>
      </w:pPr>
      <w:r w:rsidRPr="006229A3">
        <w:rPr>
          <w:rFonts w:asciiTheme="minorHAnsi" w:hAnsiTheme="minorHAnsi"/>
          <w:sz w:val="22"/>
          <w:szCs w:val="22"/>
        </w:rPr>
        <w:t>IČO 00282707</w:t>
      </w:r>
    </w:p>
    <w:p w:rsidR="00057299" w:rsidRPr="00BA36CF" w:rsidRDefault="006229A3" w:rsidP="006229A3">
      <w:pPr>
        <w:rPr>
          <w:rFonts w:asciiTheme="minorHAnsi" w:hAnsiTheme="minorHAnsi"/>
          <w:sz w:val="22"/>
          <w:szCs w:val="22"/>
        </w:rPr>
      </w:pPr>
      <w:r w:rsidRPr="00BA36CF">
        <w:rPr>
          <w:rFonts w:asciiTheme="minorHAnsi" w:hAnsiTheme="minorHAnsi"/>
          <w:sz w:val="22"/>
          <w:szCs w:val="22"/>
        </w:rPr>
        <w:t>zastoupené starostou</w:t>
      </w:r>
    </w:p>
    <w:p w:rsidR="004C414F" w:rsidRPr="00E573D4" w:rsidRDefault="00816751" w:rsidP="006229A3">
      <w:pPr>
        <w:rPr>
          <w:rFonts w:asciiTheme="minorHAnsi" w:hAnsiTheme="minorHAnsi"/>
          <w:color w:val="FF0000"/>
          <w:sz w:val="22"/>
          <w:szCs w:val="22"/>
        </w:rPr>
      </w:pPr>
      <w:r w:rsidRPr="00816751">
        <w:rPr>
          <w:rFonts w:asciiTheme="minorHAnsi" w:hAnsiTheme="minorHAnsi"/>
          <w:sz w:val="22"/>
          <w:szCs w:val="22"/>
        </w:rPr>
        <w:t xml:space="preserve">v této věci jedná </w:t>
      </w:r>
      <w:r w:rsidRPr="00BA36CF">
        <w:rPr>
          <w:rFonts w:asciiTheme="minorHAnsi" w:hAnsiTheme="minorHAnsi"/>
          <w:sz w:val="22"/>
          <w:szCs w:val="22"/>
        </w:rPr>
        <w:t>tajemnic</w:t>
      </w:r>
      <w:r w:rsidR="00BA36CF" w:rsidRPr="00BA36CF">
        <w:rPr>
          <w:rFonts w:asciiTheme="minorHAnsi" w:hAnsiTheme="minorHAnsi"/>
          <w:sz w:val="22"/>
          <w:szCs w:val="22"/>
        </w:rPr>
        <w:t>í</w:t>
      </w:r>
    </w:p>
    <w:p w:rsidR="00057299" w:rsidRPr="00057299" w:rsidRDefault="00057299" w:rsidP="00057299">
      <w:pPr>
        <w:rPr>
          <w:rFonts w:asciiTheme="minorHAnsi" w:hAnsiTheme="minorHAnsi"/>
          <w:sz w:val="22"/>
          <w:szCs w:val="22"/>
        </w:rPr>
      </w:pPr>
      <w:r w:rsidRPr="00057299">
        <w:rPr>
          <w:rFonts w:asciiTheme="minorHAnsi" w:hAnsiTheme="minorHAnsi"/>
          <w:sz w:val="22"/>
          <w:szCs w:val="22"/>
        </w:rPr>
        <w:t>(dále jen jako „</w:t>
      </w:r>
      <w:r w:rsidRPr="00057299">
        <w:rPr>
          <w:rFonts w:asciiTheme="minorHAnsi" w:hAnsiTheme="minorHAnsi"/>
          <w:b/>
          <w:bCs/>
          <w:sz w:val="22"/>
          <w:szCs w:val="22"/>
        </w:rPr>
        <w:t>klient</w:t>
      </w:r>
      <w:r w:rsidRPr="00057299">
        <w:rPr>
          <w:rFonts w:asciiTheme="minorHAnsi" w:hAnsiTheme="minorHAnsi"/>
          <w:sz w:val="22"/>
          <w:szCs w:val="22"/>
        </w:rPr>
        <w:t>“ na straně jedné)</w:t>
      </w: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sz w:val="22"/>
          <w:szCs w:val="22"/>
        </w:rPr>
      </w:pPr>
      <w:r w:rsidRPr="00057299">
        <w:rPr>
          <w:rFonts w:asciiTheme="minorHAnsi" w:hAnsiTheme="minorHAnsi"/>
          <w:sz w:val="22"/>
          <w:szCs w:val="22"/>
        </w:rPr>
        <w:t>a</w:t>
      </w: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b/>
          <w:bCs/>
          <w:sz w:val="22"/>
          <w:szCs w:val="22"/>
        </w:rPr>
      </w:pPr>
      <w:r w:rsidRPr="00057299">
        <w:rPr>
          <w:rFonts w:asciiTheme="minorHAnsi" w:hAnsiTheme="minorHAnsi"/>
          <w:b/>
          <w:bCs/>
          <w:sz w:val="22"/>
          <w:szCs w:val="22"/>
        </w:rPr>
        <w:t>Fiala, Tejkal a partneři, advokátní kancelář, s.r.o.,</w:t>
      </w:r>
    </w:p>
    <w:p w:rsidR="00057299" w:rsidRPr="00057299" w:rsidRDefault="00057299" w:rsidP="00057299">
      <w:pPr>
        <w:rPr>
          <w:rFonts w:asciiTheme="minorHAnsi" w:hAnsiTheme="minorHAnsi"/>
          <w:sz w:val="22"/>
          <w:szCs w:val="22"/>
        </w:rPr>
      </w:pPr>
      <w:r w:rsidRPr="00057299">
        <w:rPr>
          <w:rFonts w:asciiTheme="minorHAnsi" w:hAnsiTheme="minorHAnsi"/>
          <w:sz w:val="22"/>
          <w:szCs w:val="22"/>
        </w:rPr>
        <w:t>se sídlem Brno, Helfertova 2040/13, PSČ 613 00</w:t>
      </w:r>
    </w:p>
    <w:p w:rsidR="00057299" w:rsidRPr="00057299" w:rsidRDefault="00057299" w:rsidP="00057299">
      <w:pPr>
        <w:rPr>
          <w:rFonts w:asciiTheme="minorHAnsi" w:hAnsiTheme="minorHAnsi"/>
          <w:bCs/>
          <w:sz w:val="22"/>
          <w:szCs w:val="22"/>
        </w:rPr>
      </w:pPr>
      <w:r w:rsidRPr="00057299">
        <w:rPr>
          <w:rFonts w:asciiTheme="minorHAnsi" w:hAnsiTheme="minorHAnsi"/>
          <w:sz w:val="22"/>
          <w:szCs w:val="22"/>
        </w:rPr>
        <w:t xml:space="preserve">IČO </w:t>
      </w:r>
      <w:r w:rsidRPr="00057299">
        <w:rPr>
          <w:rFonts w:asciiTheme="minorHAnsi" w:hAnsiTheme="minorHAnsi"/>
          <w:bCs/>
          <w:sz w:val="22"/>
          <w:szCs w:val="22"/>
        </w:rPr>
        <w:t>28360125</w:t>
      </w:r>
    </w:p>
    <w:p w:rsidR="00057299" w:rsidRPr="00057299" w:rsidRDefault="00057299" w:rsidP="00057299">
      <w:pPr>
        <w:rPr>
          <w:rFonts w:asciiTheme="minorHAnsi" w:hAnsiTheme="minorHAnsi"/>
          <w:bCs/>
          <w:sz w:val="22"/>
          <w:szCs w:val="22"/>
        </w:rPr>
      </w:pPr>
      <w:r w:rsidRPr="00057299">
        <w:rPr>
          <w:rFonts w:asciiTheme="minorHAnsi" w:hAnsiTheme="minorHAnsi"/>
          <w:bCs/>
          <w:sz w:val="22"/>
          <w:szCs w:val="22"/>
        </w:rPr>
        <w:t>zapsaná v obchodním rejstříku vedeném Krajským soudem v Brně</w:t>
      </w:r>
      <w:r w:rsidRPr="00057299">
        <w:rPr>
          <w:rFonts w:asciiTheme="minorHAnsi" w:hAnsiTheme="minorHAnsi"/>
          <w:sz w:val="22"/>
          <w:szCs w:val="22"/>
        </w:rPr>
        <w:t xml:space="preserve"> </w:t>
      </w:r>
      <w:r w:rsidRPr="00057299">
        <w:rPr>
          <w:rFonts w:asciiTheme="minorHAnsi" w:hAnsiTheme="minorHAnsi"/>
          <w:bCs/>
          <w:sz w:val="22"/>
          <w:szCs w:val="22"/>
        </w:rPr>
        <w:t>pod sp. zn. C 63681</w:t>
      </w:r>
    </w:p>
    <w:p w:rsidR="00057299" w:rsidRPr="00057299" w:rsidRDefault="00057299" w:rsidP="00057299">
      <w:pPr>
        <w:rPr>
          <w:rFonts w:asciiTheme="minorHAnsi" w:hAnsiTheme="minorHAnsi"/>
          <w:bCs/>
          <w:sz w:val="22"/>
          <w:szCs w:val="22"/>
        </w:rPr>
      </w:pPr>
      <w:r w:rsidRPr="00057299">
        <w:rPr>
          <w:rFonts w:asciiTheme="minorHAnsi" w:hAnsiTheme="minorHAnsi"/>
          <w:bCs/>
          <w:sz w:val="22"/>
          <w:szCs w:val="22"/>
        </w:rPr>
        <w:t>zastoupená jednatelem společnosti</w:t>
      </w:r>
    </w:p>
    <w:p w:rsidR="00057299" w:rsidRPr="00057299" w:rsidRDefault="00057299" w:rsidP="00057299">
      <w:pPr>
        <w:rPr>
          <w:rFonts w:asciiTheme="minorHAnsi" w:hAnsiTheme="minorHAnsi"/>
          <w:sz w:val="22"/>
          <w:szCs w:val="22"/>
        </w:rPr>
      </w:pPr>
      <w:r w:rsidRPr="00057299">
        <w:rPr>
          <w:rFonts w:asciiTheme="minorHAnsi" w:hAnsiTheme="minorHAnsi"/>
          <w:sz w:val="22"/>
          <w:szCs w:val="22"/>
        </w:rPr>
        <w:t>(dále jen jako „</w:t>
      </w:r>
      <w:r w:rsidRPr="00057299">
        <w:rPr>
          <w:rFonts w:asciiTheme="minorHAnsi" w:hAnsiTheme="minorHAnsi"/>
          <w:b/>
          <w:sz w:val="22"/>
          <w:szCs w:val="22"/>
        </w:rPr>
        <w:t>a</w:t>
      </w:r>
      <w:r w:rsidRPr="00057299">
        <w:rPr>
          <w:rFonts w:asciiTheme="minorHAnsi" w:hAnsiTheme="minorHAnsi"/>
          <w:b/>
          <w:bCs/>
          <w:sz w:val="22"/>
          <w:szCs w:val="22"/>
        </w:rPr>
        <w:t>dvokátní kancelář</w:t>
      </w:r>
      <w:r w:rsidRPr="00057299">
        <w:rPr>
          <w:rFonts w:asciiTheme="minorHAnsi" w:hAnsiTheme="minorHAnsi"/>
          <w:sz w:val="22"/>
          <w:szCs w:val="22"/>
        </w:rPr>
        <w:t>“ na straně druhé)</w:t>
      </w:r>
    </w:p>
    <w:p w:rsidR="00057299" w:rsidRPr="00057299" w:rsidRDefault="00057299" w:rsidP="00057299">
      <w:pPr>
        <w:rPr>
          <w:rFonts w:asciiTheme="minorHAnsi" w:hAnsiTheme="minorHAnsi"/>
          <w:sz w:val="22"/>
          <w:szCs w:val="22"/>
        </w:rPr>
      </w:pPr>
    </w:p>
    <w:p w:rsidR="00057299" w:rsidRPr="00057299" w:rsidRDefault="00057299" w:rsidP="00057299">
      <w:pPr>
        <w:jc w:val="center"/>
        <w:rPr>
          <w:rFonts w:asciiTheme="minorHAnsi" w:hAnsiTheme="minorHAnsi"/>
          <w:sz w:val="22"/>
          <w:szCs w:val="22"/>
        </w:rPr>
      </w:pPr>
      <w:r w:rsidRPr="00057299">
        <w:rPr>
          <w:rFonts w:asciiTheme="minorHAnsi" w:hAnsiTheme="minorHAnsi"/>
          <w:sz w:val="22"/>
          <w:szCs w:val="22"/>
        </w:rPr>
        <w:t xml:space="preserve">(klient a advokátní kancelář jsou dále označováni společně také jako </w:t>
      </w:r>
      <w:r w:rsidRPr="00057299">
        <w:rPr>
          <w:rFonts w:asciiTheme="minorHAnsi" w:hAnsiTheme="minorHAnsi"/>
          <w:b/>
          <w:bCs/>
          <w:sz w:val="22"/>
          <w:szCs w:val="22"/>
        </w:rPr>
        <w:t>„smluvní strany“</w:t>
      </w:r>
      <w:r w:rsidRPr="00057299">
        <w:rPr>
          <w:rFonts w:asciiTheme="minorHAnsi" w:hAnsiTheme="minorHAnsi"/>
          <w:sz w:val="22"/>
          <w:szCs w:val="22"/>
        </w:rPr>
        <w:t xml:space="preserve"> a jednotlivě jako</w:t>
      </w:r>
      <w:r w:rsidRPr="00057299">
        <w:rPr>
          <w:rFonts w:asciiTheme="minorHAnsi" w:hAnsiTheme="minorHAnsi"/>
          <w:b/>
          <w:bCs/>
          <w:sz w:val="22"/>
          <w:szCs w:val="22"/>
        </w:rPr>
        <w:t xml:space="preserve"> „smluvní strana</w:t>
      </w:r>
      <w:r w:rsidRPr="00057299">
        <w:rPr>
          <w:rFonts w:asciiTheme="minorHAnsi" w:hAnsiTheme="minorHAnsi"/>
          <w:sz w:val="22"/>
          <w:szCs w:val="22"/>
        </w:rPr>
        <w:t xml:space="preserve">“ a tato smlouva dále jako </w:t>
      </w:r>
      <w:r w:rsidRPr="00057299">
        <w:rPr>
          <w:rFonts w:asciiTheme="minorHAnsi" w:hAnsiTheme="minorHAnsi"/>
          <w:b/>
          <w:bCs/>
          <w:sz w:val="22"/>
          <w:szCs w:val="22"/>
        </w:rPr>
        <w:t>„smlouva“</w:t>
      </w:r>
      <w:r w:rsidRPr="00057299">
        <w:rPr>
          <w:rFonts w:asciiTheme="minorHAnsi" w:hAnsiTheme="minorHAnsi"/>
          <w:sz w:val="22"/>
          <w:szCs w:val="22"/>
        </w:rPr>
        <w:t>)</w:t>
      </w:r>
    </w:p>
    <w:p w:rsidR="009F5DD0" w:rsidRPr="00057299" w:rsidRDefault="009F5DD0" w:rsidP="000A6883">
      <w:pPr>
        <w:rPr>
          <w:rFonts w:asciiTheme="minorHAnsi" w:hAnsiTheme="minorHAnsi"/>
          <w:sz w:val="22"/>
          <w:szCs w:val="22"/>
        </w:rPr>
      </w:pPr>
    </w:p>
    <w:p w:rsidR="001010FF" w:rsidRPr="00057299" w:rsidRDefault="006A6B3D" w:rsidP="006A6B3D">
      <w:pPr>
        <w:jc w:val="center"/>
        <w:rPr>
          <w:rFonts w:asciiTheme="minorHAnsi" w:hAnsiTheme="minorHAnsi"/>
          <w:b/>
          <w:sz w:val="22"/>
          <w:szCs w:val="22"/>
        </w:rPr>
      </w:pPr>
      <w:r w:rsidRPr="00057299">
        <w:rPr>
          <w:rFonts w:asciiTheme="minorHAnsi" w:hAnsiTheme="minorHAnsi"/>
          <w:b/>
          <w:sz w:val="22"/>
          <w:szCs w:val="22"/>
        </w:rPr>
        <w:t xml:space="preserve">I. </w:t>
      </w:r>
      <w:r w:rsidR="001010FF" w:rsidRPr="00057299">
        <w:rPr>
          <w:rFonts w:asciiTheme="minorHAnsi" w:hAnsiTheme="minorHAnsi"/>
          <w:b/>
          <w:sz w:val="22"/>
          <w:szCs w:val="22"/>
        </w:rPr>
        <w:t xml:space="preserve">Vymezení </w:t>
      </w:r>
      <w:r w:rsidR="004F7AE6" w:rsidRPr="00057299">
        <w:rPr>
          <w:rFonts w:asciiTheme="minorHAnsi" w:hAnsiTheme="minorHAnsi"/>
          <w:b/>
          <w:sz w:val="22"/>
          <w:szCs w:val="22"/>
        </w:rPr>
        <w:t xml:space="preserve">předmětu </w:t>
      </w:r>
      <w:r w:rsidR="001010FF" w:rsidRPr="00057299">
        <w:rPr>
          <w:rFonts w:asciiTheme="minorHAnsi" w:hAnsiTheme="minorHAnsi"/>
          <w:b/>
          <w:sz w:val="22"/>
          <w:szCs w:val="22"/>
        </w:rPr>
        <w:t>právní služby</w:t>
      </w:r>
    </w:p>
    <w:p w:rsidR="00272B2E" w:rsidRPr="00057299" w:rsidRDefault="00272B2E" w:rsidP="000A6883">
      <w:pPr>
        <w:numPr>
          <w:ilvl w:val="0"/>
          <w:numId w:val="3"/>
        </w:numPr>
        <w:rPr>
          <w:rFonts w:asciiTheme="minorHAnsi" w:hAnsiTheme="minorHAnsi"/>
          <w:sz w:val="22"/>
          <w:szCs w:val="22"/>
        </w:rPr>
      </w:pPr>
      <w:r w:rsidRPr="00057299">
        <w:rPr>
          <w:rFonts w:asciiTheme="minorHAnsi" w:hAnsiTheme="minorHAnsi"/>
          <w:sz w:val="22"/>
          <w:szCs w:val="22"/>
        </w:rPr>
        <w:t>Touto smlouvou se advokátní kancelář zavazuje poskytovat klientovi dále vymezené právní služby.</w:t>
      </w:r>
    </w:p>
    <w:p w:rsidR="00057299" w:rsidRPr="009B6142" w:rsidRDefault="001E5530" w:rsidP="00E67B1D">
      <w:pPr>
        <w:numPr>
          <w:ilvl w:val="0"/>
          <w:numId w:val="3"/>
        </w:numPr>
        <w:rPr>
          <w:rFonts w:asciiTheme="minorHAnsi" w:hAnsiTheme="minorHAnsi"/>
          <w:sz w:val="22"/>
          <w:szCs w:val="22"/>
        </w:rPr>
      </w:pPr>
      <w:r w:rsidRPr="00517495">
        <w:rPr>
          <w:rFonts w:asciiTheme="minorHAnsi" w:hAnsiTheme="minorHAnsi"/>
          <w:sz w:val="22"/>
          <w:szCs w:val="22"/>
        </w:rPr>
        <w:t xml:space="preserve">Předmětem této smlouvy je poskytování právních služeb advokátní kanceláří </w:t>
      </w:r>
      <w:r w:rsidR="006229A3">
        <w:rPr>
          <w:rFonts w:asciiTheme="minorHAnsi" w:hAnsiTheme="minorHAnsi"/>
          <w:sz w:val="22"/>
          <w:szCs w:val="22"/>
        </w:rPr>
        <w:t>v</w:t>
      </w:r>
      <w:r w:rsidR="00E67B1D">
        <w:rPr>
          <w:rFonts w:asciiTheme="minorHAnsi" w:hAnsiTheme="minorHAnsi"/>
          <w:sz w:val="22"/>
          <w:szCs w:val="22"/>
        </w:rPr>
        <w:t xml:space="preserve"> podobě zastupování klienta </w:t>
      </w:r>
      <w:r w:rsidR="00E67B1D" w:rsidRPr="00E67B1D">
        <w:rPr>
          <w:rFonts w:asciiTheme="minorHAnsi" w:hAnsiTheme="minorHAnsi"/>
          <w:sz w:val="22"/>
          <w:szCs w:val="22"/>
        </w:rPr>
        <w:t xml:space="preserve">v řízení vedeném u Krajského soudu v Brně pod </w:t>
      </w:r>
      <w:proofErr w:type="spellStart"/>
      <w:proofErr w:type="gramStart"/>
      <w:r w:rsidR="00E67B1D" w:rsidRPr="00E67B1D">
        <w:rPr>
          <w:rFonts w:asciiTheme="minorHAnsi" w:hAnsiTheme="minorHAnsi"/>
          <w:sz w:val="22"/>
          <w:szCs w:val="22"/>
        </w:rPr>
        <w:t>sp.zn</w:t>
      </w:r>
      <w:proofErr w:type="spellEnd"/>
      <w:r w:rsidR="00E67B1D" w:rsidRPr="00E67B1D">
        <w:rPr>
          <w:rFonts w:asciiTheme="minorHAnsi" w:hAnsiTheme="minorHAnsi"/>
          <w:sz w:val="22"/>
          <w:szCs w:val="22"/>
        </w:rPr>
        <w:t>.</w:t>
      </w:r>
      <w:proofErr w:type="gramEnd"/>
      <w:r w:rsidR="00E67B1D" w:rsidRPr="00E67B1D">
        <w:rPr>
          <w:rFonts w:asciiTheme="minorHAnsi" w:hAnsiTheme="minorHAnsi"/>
          <w:sz w:val="22"/>
          <w:szCs w:val="22"/>
        </w:rPr>
        <w:t xml:space="preserve"> 63 A 1/2017, včetně zastupování v navazujícím řízení o kasační stížnosti.</w:t>
      </w:r>
      <w:r w:rsidR="00517495">
        <w:rPr>
          <w:rFonts w:asciiTheme="minorHAnsi" w:hAnsiTheme="minorHAnsi"/>
          <w:sz w:val="22"/>
          <w:szCs w:val="22"/>
        </w:rPr>
        <w:t xml:space="preserve"> </w:t>
      </w:r>
      <w:r w:rsidRPr="00517495">
        <w:rPr>
          <w:rFonts w:asciiTheme="minorHAnsi" w:hAnsiTheme="minorHAnsi"/>
          <w:sz w:val="22"/>
          <w:szCs w:val="22"/>
        </w:rPr>
        <w:t>Konkrétní rozsah poskytovaných právních sl</w:t>
      </w:r>
      <w:r w:rsidR="00BD2E95" w:rsidRPr="00517495">
        <w:rPr>
          <w:rFonts w:asciiTheme="minorHAnsi" w:hAnsiTheme="minorHAnsi"/>
          <w:sz w:val="22"/>
          <w:szCs w:val="22"/>
        </w:rPr>
        <w:t xml:space="preserve">užeb se řídí </w:t>
      </w:r>
      <w:r w:rsidR="009B6142">
        <w:rPr>
          <w:rFonts w:asciiTheme="minorHAnsi" w:hAnsiTheme="minorHAnsi"/>
          <w:sz w:val="22"/>
          <w:szCs w:val="22"/>
        </w:rPr>
        <w:t xml:space="preserve">pokyny </w:t>
      </w:r>
      <w:r w:rsidR="00BD2E95" w:rsidRPr="00517495">
        <w:rPr>
          <w:rFonts w:asciiTheme="minorHAnsi" w:hAnsiTheme="minorHAnsi"/>
          <w:sz w:val="22"/>
          <w:szCs w:val="22"/>
        </w:rPr>
        <w:t>klienta</w:t>
      </w:r>
      <w:r w:rsidR="00057299" w:rsidRPr="009B6142">
        <w:rPr>
          <w:rFonts w:asciiTheme="minorHAnsi" w:hAnsiTheme="minorHAnsi"/>
          <w:sz w:val="22"/>
          <w:szCs w:val="22"/>
        </w:rPr>
        <w:t>.</w:t>
      </w:r>
    </w:p>
    <w:p w:rsidR="009F5DD0" w:rsidRPr="00057299" w:rsidRDefault="009F5DD0" w:rsidP="003C7DDA">
      <w:pPr>
        <w:pStyle w:val="Odstavecseseznamem"/>
        <w:ind w:left="0"/>
        <w:rPr>
          <w:rFonts w:asciiTheme="minorHAnsi" w:hAnsiTheme="minorHAnsi"/>
          <w:sz w:val="22"/>
          <w:szCs w:val="22"/>
        </w:rPr>
      </w:pPr>
    </w:p>
    <w:p w:rsidR="001010FF" w:rsidRPr="00057299" w:rsidRDefault="001010FF" w:rsidP="000A6883">
      <w:pPr>
        <w:jc w:val="center"/>
        <w:rPr>
          <w:rFonts w:asciiTheme="minorHAnsi" w:hAnsiTheme="minorHAnsi"/>
          <w:b/>
          <w:sz w:val="22"/>
          <w:szCs w:val="22"/>
        </w:rPr>
      </w:pPr>
      <w:r w:rsidRPr="00057299">
        <w:rPr>
          <w:rFonts w:asciiTheme="minorHAnsi" w:hAnsiTheme="minorHAnsi"/>
          <w:b/>
          <w:sz w:val="22"/>
          <w:szCs w:val="22"/>
        </w:rPr>
        <w:t>II.</w:t>
      </w:r>
      <w:r w:rsidR="0041358A" w:rsidRPr="00057299">
        <w:rPr>
          <w:rFonts w:asciiTheme="minorHAnsi" w:hAnsiTheme="minorHAnsi"/>
          <w:b/>
          <w:sz w:val="22"/>
          <w:szCs w:val="22"/>
        </w:rPr>
        <w:t xml:space="preserve"> </w:t>
      </w:r>
      <w:r w:rsidRPr="00057299">
        <w:rPr>
          <w:rFonts w:asciiTheme="minorHAnsi" w:hAnsiTheme="minorHAnsi"/>
          <w:b/>
          <w:sz w:val="22"/>
          <w:szCs w:val="22"/>
        </w:rPr>
        <w:t>Zmocnění</w:t>
      </w:r>
    </w:p>
    <w:p w:rsidR="004B0EF6" w:rsidRPr="00057299" w:rsidRDefault="001010FF" w:rsidP="000A6883">
      <w:pPr>
        <w:numPr>
          <w:ilvl w:val="0"/>
          <w:numId w:val="7"/>
        </w:numPr>
        <w:rPr>
          <w:rFonts w:asciiTheme="minorHAnsi" w:hAnsiTheme="minorHAnsi"/>
          <w:sz w:val="22"/>
          <w:szCs w:val="22"/>
        </w:rPr>
      </w:pPr>
      <w:r w:rsidRPr="00057299">
        <w:rPr>
          <w:rFonts w:asciiTheme="minorHAnsi" w:hAnsiTheme="minorHAnsi"/>
          <w:sz w:val="22"/>
          <w:szCs w:val="22"/>
        </w:rPr>
        <w:t>K zastupování klienta před soud</w:t>
      </w:r>
      <w:r w:rsidR="009B6142">
        <w:rPr>
          <w:rFonts w:asciiTheme="minorHAnsi" w:hAnsiTheme="minorHAnsi"/>
          <w:sz w:val="22"/>
          <w:szCs w:val="22"/>
        </w:rPr>
        <w:t>y</w:t>
      </w:r>
      <w:r w:rsidRPr="00057299">
        <w:rPr>
          <w:rFonts w:asciiTheme="minorHAnsi" w:hAnsiTheme="minorHAnsi"/>
          <w:sz w:val="22"/>
          <w:szCs w:val="22"/>
        </w:rPr>
        <w:t xml:space="preserve"> nebo jiným</w:t>
      </w:r>
      <w:r w:rsidR="009B6142">
        <w:rPr>
          <w:rFonts w:asciiTheme="minorHAnsi" w:hAnsiTheme="minorHAnsi"/>
          <w:sz w:val="22"/>
          <w:szCs w:val="22"/>
        </w:rPr>
        <w:t>i subjekty</w:t>
      </w:r>
      <w:r w:rsidRPr="00057299">
        <w:rPr>
          <w:rFonts w:asciiTheme="minorHAnsi" w:hAnsiTheme="minorHAnsi"/>
          <w:sz w:val="22"/>
          <w:szCs w:val="22"/>
        </w:rPr>
        <w:t xml:space="preserve"> vybaví klient advokátní kancelář příslušnou plnou mocí. </w:t>
      </w:r>
      <w:r w:rsidR="004B0EF6" w:rsidRPr="00057299">
        <w:rPr>
          <w:rFonts w:asciiTheme="minorHAnsi" w:hAnsiTheme="minorHAnsi"/>
          <w:sz w:val="22"/>
          <w:szCs w:val="22"/>
        </w:rPr>
        <w:t xml:space="preserve">Klient bere na vědomí, že advokátní kancelář </w:t>
      </w:r>
      <w:r w:rsidR="00E1775B" w:rsidRPr="00057299">
        <w:rPr>
          <w:rFonts w:asciiTheme="minorHAnsi" w:hAnsiTheme="minorHAnsi"/>
          <w:sz w:val="22"/>
          <w:szCs w:val="22"/>
        </w:rPr>
        <w:t xml:space="preserve">je </w:t>
      </w:r>
      <w:r w:rsidR="004B0EF6" w:rsidRPr="00057299">
        <w:rPr>
          <w:rFonts w:asciiTheme="minorHAnsi" w:hAnsiTheme="minorHAnsi"/>
          <w:sz w:val="22"/>
          <w:szCs w:val="22"/>
        </w:rPr>
        <w:t>oprávněna si ustanovit za sebe zástupce, a pokud jich ustanoví víc, souhlasím s tím, aby každý z nich jednal samostatně.</w:t>
      </w:r>
    </w:p>
    <w:p w:rsidR="00E50712" w:rsidRPr="00057299" w:rsidRDefault="00E50712" w:rsidP="000A6883">
      <w:pPr>
        <w:jc w:val="center"/>
        <w:rPr>
          <w:rFonts w:asciiTheme="minorHAnsi" w:hAnsiTheme="minorHAnsi"/>
          <w:b/>
          <w:sz w:val="22"/>
          <w:szCs w:val="22"/>
          <w:highlight w:val="yellow"/>
        </w:rPr>
      </w:pPr>
    </w:p>
    <w:p w:rsidR="001010FF" w:rsidRPr="00057299" w:rsidRDefault="00E50712" w:rsidP="00E50712">
      <w:pPr>
        <w:jc w:val="center"/>
        <w:rPr>
          <w:rFonts w:asciiTheme="minorHAnsi" w:hAnsiTheme="minorHAnsi"/>
          <w:b/>
          <w:bCs/>
          <w:sz w:val="22"/>
          <w:szCs w:val="22"/>
        </w:rPr>
      </w:pPr>
      <w:r w:rsidRPr="00057299">
        <w:rPr>
          <w:rFonts w:asciiTheme="minorHAnsi" w:hAnsiTheme="minorHAnsi"/>
          <w:b/>
          <w:sz w:val="22"/>
          <w:szCs w:val="22"/>
        </w:rPr>
        <w:t>III</w:t>
      </w:r>
      <w:r w:rsidR="001010FF" w:rsidRPr="00057299">
        <w:rPr>
          <w:rFonts w:asciiTheme="minorHAnsi" w:hAnsiTheme="minorHAnsi"/>
          <w:b/>
          <w:sz w:val="22"/>
          <w:szCs w:val="22"/>
        </w:rPr>
        <w:t>.</w:t>
      </w:r>
      <w:r w:rsidRPr="00057299">
        <w:rPr>
          <w:rFonts w:asciiTheme="minorHAnsi" w:hAnsiTheme="minorHAnsi"/>
          <w:b/>
          <w:sz w:val="22"/>
          <w:szCs w:val="22"/>
        </w:rPr>
        <w:t xml:space="preserve"> </w:t>
      </w:r>
      <w:r w:rsidR="001010FF" w:rsidRPr="00057299">
        <w:rPr>
          <w:rFonts w:asciiTheme="minorHAnsi" w:hAnsiTheme="minorHAnsi"/>
          <w:b/>
          <w:bCs/>
          <w:sz w:val="22"/>
          <w:szCs w:val="22"/>
        </w:rPr>
        <w:t>Povinnost mlčenlivosti</w:t>
      </w:r>
    </w:p>
    <w:p w:rsidR="001010FF" w:rsidRPr="00057299" w:rsidRDefault="001010FF" w:rsidP="000A6883">
      <w:pPr>
        <w:pStyle w:val="Zkladntext"/>
        <w:numPr>
          <w:ilvl w:val="0"/>
          <w:numId w:val="2"/>
        </w:numPr>
        <w:spacing w:line="240" w:lineRule="auto"/>
        <w:ind w:hanging="420"/>
        <w:rPr>
          <w:rFonts w:asciiTheme="minorHAnsi" w:hAnsiTheme="minorHAnsi"/>
          <w:b w:val="0"/>
          <w:bCs w:val="0"/>
          <w:sz w:val="22"/>
          <w:szCs w:val="22"/>
        </w:rPr>
      </w:pPr>
      <w:r w:rsidRPr="00057299">
        <w:rPr>
          <w:rFonts w:asciiTheme="minorHAnsi" w:hAnsiTheme="minorHAnsi"/>
          <w:b w:val="0"/>
          <w:bCs w:val="0"/>
          <w:sz w:val="22"/>
          <w:szCs w:val="22"/>
        </w:rPr>
        <w:t>Advokátní kancelář</w:t>
      </w:r>
      <w:r w:rsidR="00EB218F" w:rsidRPr="00057299">
        <w:rPr>
          <w:rFonts w:asciiTheme="minorHAnsi" w:hAnsiTheme="minorHAnsi"/>
          <w:b w:val="0"/>
          <w:bCs w:val="0"/>
          <w:sz w:val="22"/>
          <w:szCs w:val="22"/>
        </w:rPr>
        <w:t xml:space="preserve"> a osoby v ní působící </w:t>
      </w:r>
      <w:r w:rsidR="004B0EF6" w:rsidRPr="00057299">
        <w:rPr>
          <w:rFonts w:asciiTheme="minorHAnsi" w:hAnsiTheme="minorHAnsi"/>
          <w:b w:val="0"/>
          <w:bCs w:val="0"/>
          <w:sz w:val="22"/>
          <w:szCs w:val="22"/>
        </w:rPr>
        <w:t>jsou povinny</w:t>
      </w:r>
      <w:r w:rsidRPr="00057299">
        <w:rPr>
          <w:rFonts w:asciiTheme="minorHAnsi" w:hAnsiTheme="minorHAnsi"/>
          <w:b w:val="0"/>
          <w:bCs w:val="0"/>
          <w:sz w:val="22"/>
          <w:szCs w:val="22"/>
        </w:rPr>
        <w:t xml:space="preserve"> zachovávat mlčenlivost o všech skutečnostech, o nich</w:t>
      </w:r>
      <w:r w:rsidR="00EB218F" w:rsidRPr="00057299">
        <w:rPr>
          <w:rFonts w:asciiTheme="minorHAnsi" w:hAnsiTheme="minorHAnsi"/>
          <w:b w:val="0"/>
          <w:bCs w:val="0"/>
          <w:sz w:val="22"/>
          <w:szCs w:val="22"/>
        </w:rPr>
        <w:t>ž</w:t>
      </w:r>
      <w:r w:rsidRPr="00057299">
        <w:rPr>
          <w:rFonts w:asciiTheme="minorHAnsi" w:hAnsiTheme="minorHAnsi"/>
          <w:b w:val="0"/>
          <w:bCs w:val="0"/>
          <w:sz w:val="22"/>
          <w:szCs w:val="22"/>
        </w:rPr>
        <w:t xml:space="preserve"> se dozvěděl</w:t>
      </w:r>
      <w:r w:rsidR="004B0EF6" w:rsidRPr="00057299">
        <w:rPr>
          <w:rFonts w:asciiTheme="minorHAnsi" w:hAnsiTheme="minorHAnsi"/>
          <w:b w:val="0"/>
          <w:bCs w:val="0"/>
          <w:sz w:val="22"/>
          <w:szCs w:val="22"/>
        </w:rPr>
        <w:t>y</w:t>
      </w:r>
      <w:r w:rsidRPr="00057299">
        <w:rPr>
          <w:rFonts w:asciiTheme="minorHAnsi" w:hAnsiTheme="minorHAnsi"/>
          <w:b w:val="0"/>
          <w:bCs w:val="0"/>
          <w:sz w:val="22"/>
          <w:szCs w:val="22"/>
        </w:rPr>
        <w:t xml:space="preserve"> v souvislosti s poskytováním právních služeb. Porušením mlčenlivosti advokátní kancelář</w:t>
      </w:r>
      <w:r w:rsidR="00D43FFE" w:rsidRPr="00057299">
        <w:rPr>
          <w:rFonts w:asciiTheme="minorHAnsi" w:hAnsiTheme="minorHAnsi"/>
          <w:b w:val="0"/>
          <w:bCs w:val="0"/>
          <w:sz w:val="22"/>
          <w:szCs w:val="22"/>
        </w:rPr>
        <w:t>í nebo osobou v ní působící</w:t>
      </w:r>
      <w:r w:rsidRPr="00057299">
        <w:rPr>
          <w:rFonts w:asciiTheme="minorHAnsi" w:hAnsiTheme="minorHAnsi"/>
          <w:b w:val="0"/>
          <w:bCs w:val="0"/>
          <w:sz w:val="22"/>
          <w:szCs w:val="22"/>
        </w:rPr>
        <w:t xml:space="preserve"> není předání informací o klientovi a jeho případu osobě, kterou pověřuje provedením jednotlivých úkonů, je-li tato osoba </w:t>
      </w:r>
      <w:r w:rsidR="00D43FFE" w:rsidRPr="00057299">
        <w:rPr>
          <w:rFonts w:asciiTheme="minorHAnsi" w:hAnsiTheme="minorHAnsi"/>
          <w:b w:val="0"/>
          <w:bCs w:val="0"/>
          <w:sz w:val="22"/>
          <w:szCs w:val="22"/>
        </w:rPr>
        <w:t>vázána mlčenlivostí, nebo jiné</w:t>
      </w:r>
      <w:r w:rsidRPr="00057299">
        <w:rPr>
          <w:rFonts w:asciiTheme="minorHAnsi" w:hAnsiTheme="minorHAnsi"/>
          <w:b w:val="0"/>
          <w:bCs w:val="0"/>
          <w:sz w:val="22"/>
          <w:szCs w:val="22"/>
        </w:rPr>
        <w:t xml:space="preserve"> advokátní kanceláři</w:t>
      </w:r>
      <w:r w:rsidR="00D43FFE" w:rsidRPr="00057299">
        <w:rPr>
          <w:rFonts w:asciiTheme="minorHAnsi" w:hAnsiTheme="minorHAnsi"/>
          <w:b w:val="0"/>
          <w:bCs w:val="0"/>
          <w:sz w:val="22"/>
          <w:szCs w:val="22"/>
        </w:rPr>
        <w:t xml:space="preserve"> nebo jinému advokátovi</w:t>
      </w:r>
      <w:r w:rsidRPr="00057299">
        <w:rPr>
          <w:rFonts w:asciiTheme="minorHAnsi" w:hAnsiTheme="minorHAnsi"/>
          <w:b w:val="0"/>
          <w:bCs w:val="0"/>
          <w:sz w:val="22"/>
          <w:szCs w:val="22"/>
        </w:rPr>
        <w:t>, kterým</w:t>
      </w:r>
      <w:r w:rsidR="00D43FFE" w:rsidRPr="00057299">
        <w:rPr>
          <w:rFonts w:asciiTheme="minorHAnsi" w:hAnsiTheme="minorHAnsi"/>
          <w:b w:val="0"/>
          <w:bCs w:val="0"/>
          <w:sz w:val="22"/>
          <w:szCs w:val="22"/>
        </w:rPr>
        <w:t>i</w:t>
      </w:r>
      <w:r w:rsidRPr="00057299">
        <w:rPr>
          <w:rFonts w:asciiTheme="minorHAnsi" w:hAnsiTheme="minorHAnsi"/>
          <w:b w:val="0"/>
          <w:bCs w:val="0"/>
          <w:sz w:val="22"/>
          <w:szCs w:val="22"/>
        </w:rPr>
        <w:t xml:space="preserve"> se nechal</w:t>
      </w:r>
      <w:r w:rsidR="008556C1" w:rsidRPr="00057299">
        <w:rPr>
          <w:rFonts w:asciiTheme="minorHAnsi" w:hAnsiTheme="minorHAnsi"/>
          <w:b w:val="0"/>
          <w:bCs w:val="0"/>
          <w:sz w:val="22"/>
          <w:szCs w:val="22"/>
        </w:rPr>
        <w:t xml:space="preserve">i </w:t>
      </w:r>
      <w:r w:rsidRPr="00057299">
        <w:rPr>
          <w:rFonts w:asciiTheme="minorHAnsi" w:hAnsiTheme="minorHAnsi"/>
          <w:b w:val="0"/>
          <w:bCs w:val="0"/>
          <w:sz w:val="22"/>
          <w:szCs w:val="22"/>
        </w:rPr>
        <w:t>ve věci klienta zastoupit.</w:t>
      </w:r>
    </w:p>
    <w:p w:rsidR="003C7DDA" w:rsidRPr="00057299" w:rsidRDefault="003C7DDA" w:rsidP="000A6883">
      <w:pPr>
        <w:rPr>
          <w:rFonts w:asciiTheme="minorHAnsi" w:hAnsiTheme="minorHAnsi"/>
          <w:sz w:val="22"/>
          <w:szCs w:val="22"/>
          <w:highlight w:val="yellow"/>
        </w:rPr>
      </w:pPr>
    </w:p>
    <w:p w:rsidR="001010FF" w:rsidRPr="00057299" w:rsidRDefault="007B1FC2" w:rsidP="004F7AE6">
      <w:pPr>
        <w:jc w:val="center"/>
        <w:rPr>
          <w:rFonts w:asciiTheme="minorHAnsi" w:hAnsiTheme="minorHAnsi"/>
          <w:bCs/>
          <w:sz w:val="22"/>
          <w:szCs w:val="22"/>
        </w:rPr>
      </w:pPr>
      <w:r w:rsidRPr="00057299">
        <w:rPr>
          <w:rFonts w:asciiTheme="minorHAnsi" w:hAnsiTheme="minorHAnsi"/>
          <w:b/>
          <w:sz w:val="22"/>
          <w:szCs w:val="22"/>
        </w:rPr>
        <w:t>IV</w:t>
      </w:r>
      <w:r w:rsidR="001010FF" w:rsidRPr="00057299">
        <w:rPr>
          <w:rFonts w:asciiTheme="minorHAnsi" w:hAnsiTheme="minorHAnsi"/>
          <w:b/>
          <w:sz w:val="22"/>
          <w:szCs w:val="22"/>
        </w:rPr>
        <w:t>.</w:t>
      </w:r>
      <w:r w:rsidR="004F7AE6" w:rsidRPr="00057299">
        <w:rPr>
          <w:rFonts w:asciiTheme="minorHAnsi" w:hAnsiTheme="minorHAnsi"/>
          <w:b/>
          <w:sz w:val="22"/>
          <w:szCs w:val="22"/>
        </w:rPr>
        <w:t xml:space="preserve"> </w:t>
      </w:r>
      <w:r w:rsidR="001010FF" w:rsidRPr="00057299">
        <w:rPr>
          <w:rFonts w:asciiTheme="minorHAnsi" w:hAnsiTheme="minorHAnsi"/>
          <w:b/>
          <w:bCs/>
          <w:sz w:val="22"/>
          <w:szCs w:val="22"/>
        </w:rPr>
        <w:t>Součinnost klienta</w:t>
      </w:r>
    </w:p>
    <w:p w:rsidR="007A5138" w:rsidRPr="00057299" w:rsidRDefault="001010FF" w:rsidP="00926FBC">
      <w:pPr>
        <w:numPr>
          <w:ilvl w:val="0"/>
          <w:numId w:val="4"/>
        </w:numPr>
        <w:tabs>
          <w:tab w:val="clear" w:pos="720"/>
        </w:tabs>
        <w:ind w:left="426" w:hanging="426"/>
        <w:rPr>
          <w:rFonts w:asciiTheme="minorHAnsi" w:hAnsiTheme="minorHAnsi"/>
          <w:sz w:val="22"/>
          <w:szCs w:val="22"/>
        </w:rPr>
      </w:pPr>
      <w:r w:rsidRPr="00057299">
        <w:rPr>
          <w:rFonts w:asciiTheme="minorHAnsi" w:hAnsiTheme="minorHAnsi"/>
          <w:sz w:val="22"/>
          <w:szCs w:val="22"/>
        </w:rPr>
        <w:t>Klient se zavazuje sdělit advokátní kanceláři veškeré skutečnosti k věci, ve které má být právní služba poskytnuta, a to včetně skutečností, které nejsou pro klienta příznivé. Rovněž se zavazuje předat v čase určeném advokátní kancelář</w:t>
      </w:r>
      <w:r w:rsidR="00D43FFE" w:rsidRPr="00057299">
        <w:rPr>
          <w:rFonts w:asciiTheme="minorHAnsi" w:hAnsiTheme="minorHAnsi"/>
          <w:sz w:val="22"/>
          <w:szCs w:val="22"/>
        </w:rPr>
        <w:t>í</w:t>
      </w:r>
      <w:r w:rsidRPr="00057299">
        <w:rPr>
          <w:rFonts w:asciiTheme="minorHAnsi" w:hAnsiTheme="minorHAnsi"/>
          <w:sz w:val="22"/>
          <w:szCs w:val="22"/>
        </w:rPr>
        <w:t xml:space="preserve"> a podle </w:t>
      </w:r>
      <w:r w:rsidR="00D43FFE" w:rsidRPr="00057299">
        <w:rPr>
          <w:rFonts w:asciiTheme="minorHAnsi" w:hAnsiTheme="minorHAnsi"/>
          <w:sz w:val="22"/>
          <w:szCs w:val="22"/>
        </w:rPr>
        <w:t>jejích</w:t>
      </w:r>
      <w:r w:rsidRPr="00057299">
        <w:rPr>
          <w:rFonts w:asciiTheme="minorHAnsi" w:hAnsiTheme="minorHAnsi"/>
          <w:sz w:val="22"/>
          <w:szCs w:val="22"/>
        </w:rPr>
        <w:t xml:space="preserve"> pokynů veškeré podklady k poskytnutí právní služby. </w:t>
      </w:r>
    </w:p>
    <w:p w:rsidR="001010FF" w:rsidRPr="00057299" w:rsidRDefault="001010FF" w:rsidP="000A6883">
      <w:pPr>
        <w:numPr>
          <w:ilvl w:val="0"/>
          <w:numId w:val="4"/>
        </w:numPr>
        <w:tabs>
          <w:tab w:val="clear" w:pos="720"/>
        </w:tabs>
        <w:ind w:left="426" w:hanging="426"/>
        <w:rPr>
          <w:rFonts w:asciiTheme="minorHAnsi" w:hAnsiTheme="minorHAnsi"/>
          <w:sz w:val="22"/>
          <w:szCs w:val="22"/>
        </w:rPr>
      </w:pPr>
      <w:r w:rsidRPr="00057299">
        <w:rPr>
          <w:rFonts w:asciiTheme="minorHAnsi" w:hAnsiTheme="minorHAnsi"/>
          <w:sz w:val="22"/>
          <w:szCs w:val="22"/>
        </w:rPr>
        <w:t>Klient je povinen advokátní kancelář informovat o všech skutečnostech, které nastaly po převzetí věci a této věci se týkají.</w:t>
      </w:r>
    </w:p>
    <w:p w:rsidR="00117FC3" w:rsidRPr="00057299" w:rsidRDefault="00117FC3" w:rsidP="000A6883">
      <w:pPr>
        <w:numPr>
          <w:ilvl w:val="0"/>
          <w:numId w:val="4"/>
        </w:numPr>
        <w:tabs>
          <w:tab w:val="clear" w:pos="720"/>
        </w:tabs>
        <w:ind w:left="426" w:hanging="426"/>
        <w:rPr>
          <w:rFonts w:asciiTheme="minorHAnsi" w:hAnsiTheme="minorHAnsi"/>
          <w:sz w:val="22"/>
          <w:szCs w:val="22"/>
        </w:rPr>
      </w:pPr>
      <w:r>
        <w:rPr>
          <w:rFonts w:asciiTheme="minorHAnsi" w:hAnsiTheme="minorHAnsi"/>
          <w:sz w:val="22"/>
          <w:szCs w:val="22"/>
        </w:rPr>
        <w:t>Klient se zavazuje poskytnout advokátní kanceláři na její žádost písemnou referenci o provedení právních služeb na základě této smlouvy.</w:t>
      </w:r>
    </w:p>
    <w:p w:rsidR="003C7DDA" w:rsidRPr="00057299" w:rsidRDefault="003C7DDA" w:rsidP="000A6883">
      <w:pPr>
        <w:rPr>
          <w:rFonts w:asciiTheme="minorHAnsi" w:hAnsiTheme="minorHAnsi"/>
          <w:sz w:val="22"/>
          <w:szCs w:val="22"/>
        </w:rPr>
      </w:pPr>
    </w:p>
    <w:p w:rsidR="00A9042B" w:rsidRPr="00057299" w:rsidRDefault="00BB2E27" w:rsidP="00BB2E27">
      <w:pPr>
        <w:jc w:val="center"/>
        <w:rPr>
          <w:rFonts w:asciiTheme="minorHAnsi" w:hAnsiTheme="minorHAnsi"/>
          <w:bCs/>
          <w:sz w:val="22"/>
          <w:szCs w:val="22"/>
        </w:rPr>
      </w:pPr>
      <w:r w:rsidRPr="00057299">
        <w:rPr>
          <w:rFonts w:asciiTheme="minorHAnsi" w:hAnsiTheme="minorHAnsi"/>
          <w:b/>
          <w:sz w:val="22"/>
          <w:szCs w:val="22"/>
        </w:rPr>
        <w:t>V</w:t>
      </w:r>
      <w:r w:rsidR="00A9042B" w:rsidRPr="00057299">
        <w:rPr>
          <w:rFonts w:asciiTheme="minorHAnsi" w:hAnsiTheme="minorHAnsi"/>
          <w:b/>
          <w:sz w:val="22"/>
          <w:szCs w:val="22"/>
        </w:rPr>
        <w:t>.</w:t>
      </w:r>
      <w:r w:rsidRPr="00057299">
        <w:rPr>
          <w:rFonts w:asciiTheme="minorHAnsi" w:hAnsiTheme="minorHAnsi"/>
          <w:b/>
          <w:sz w:val="22"/>
          <w:szCs w:val="22"/>
        </w:rPr>
        <w:t xml:space="preserve"> </w:t>
      </w:r>
      <w:r w:rsidR="00A9042B" w:rsidRPr="00057299">
        <w:rPr>
          <w:rFonts w:asciiTheme="minorHAnsi" w:hAnsiTheme="minorHAnsi"/>
          <w:b/>
          <w:bCs/>
          <w:sz w:val="22"/>
          <w:szCs w:val="22"/>
        </w:rPr>
        <w:t>Odměna</w:t>
      </w:r>
    </w:p>
    <w:p w:rsidR="009B6142" w:rsidRPr="009B6142" w:rsidRDefault="009B6142" w:rsidP="009B6142">
      <w:pPr>
        <w:numPr>
          <w:ilvl w:val="0"/>
          <w:numId w:val="12"/>
        </w:numPr>
        <w:rPr>
          <w:rFonts w:asciiTheme="minorHAnsi" w:hAnsiTheme="minorHAnsi"/>
          <w:sz w:val="22"/>
          <w:szCs w:val="22"/>
        </w:rPr>
      </w:pPr>
      <w:r w:rsidRPr="009B6142">
        <w:rPr>
          <w:rFonts w:asciiTheme="minorHAnsi" w:hAnsiTheme="minorHAnsi"/>
          <w:sz w:val="22"/>
          <w:szCs w:val="22"/>
        </w:rPr>
        <w:t>Advokátní kanceláři přísluší za poskytování právních služeb odměna ve výši 1.800,- Kč (slovy: tisíc osm set korun českých) za jednu hodinu poskytovaných právních služeb. Tato odměna byla stanovena na základě dohody smluvních stran.</w:t>
      </w:r>
    </w:p>
    <w:p w:rsidR="009B6142" w:rsidRPr="009B6142" w:rsidRDefault="009B6142" w:rsidP="009B6142">
      <w:pPr>
        <w:rPr>
          <w:rFonts w:asciiTheme="minorHAnsi" w:hAnsiTheme="minorHAnsi"/>
          <w:sz w:val="22"/>
          <w:szCs w:val="22"/>
        </w:rPr>
      </w:pPr>
    </w:p>
    <w:p w:rsidR="009B6142" w:rsidRPr="009B6142" w:rsidRDefault="009B6142" w:rsidP="00E465AF">
      <w:pPr>
        <w:numPr>
          <w:ilvl w:val="0"/>
          <w:numId w:val="12"/>
        </w:numPr>
        <w:rPr>
          <w:rFonts w:asciiTheme="minorHAnsi" w:hAnsiTheme="minorHAnsi"/>
          <w:i/>
          <w:sz w:val="22"/>
          <w:szCs w:val="22"/>
        </w:rPr>
      </w:pPr>
      <w:r w:rsidRPr="009B6142">
        <w:rPr>
          <w:rFonts w:asciiTheme="minorHAnsi" w:hAnsiTheme="minorHAnsi"/>
          <w:sz w:val="22"/>
          <w:szCs w:val="22"/>
        </w:rPr>
        <w:t>Odměna za právní služby je splatná na základě daňového dokladu vystaveného advokátní kanceláří</w:t>
      </w:r>
      <w:r w:rsidR="00E465AF">
        <w:rPr>
          <w:rFonts w:asciiTheme="minorHAnsi" w:hAnsiTheme="minorHAnsi"/>
          <w:sz w:val="22"/>
          <w:szCs w:val="22"/>
        </w:rPr>
        <w:t xml:space="preserve"> vždy po skončení </w:t>
      </w:r>
      <w:r w:rsidR="00E465AF" w:rsidRPr="00E465AF">
        <w:rPr>
          <w:rFonts w:asciiTheme="minorHAnsi" w:hAnsiTheme="minorHAnsi"/>
          <w:sz w:val="22"/>
          <w:szCs w:val="22"/>
        </w:rPr>
        <w:t>každého kalendářního měsíce, v němž byly poskytovány právní služby klientovi.</w:t>
      </w:r>
      <w:r w:rsidR="00E465AF">
        <w:rPr>
          <w:rFonts w:asciiTheme="minorHAnsi" w:hAnsiTheme="minorHAnsi"/>
          <w:sz w:val="22"/>
          <w:szCs w:val="22"/>
        </w:rPr>
        <w:t xml:space="preserve"> </w:t>
      </w:r>
      <w:r w:rsidRPr="009B6142">
        <w:rPr>
          <w:rFonts w:asciiTheme="minorHAnsi" w:hAnsiTheme="minorHAnsi"/>
          <w:sz w:val="22"/>
          <w:szCs w:val="22"/>
        </w:rPr>
        <w:t xml:space="preserve">Daňový doklad je splatný do </w:t>
      </w:r>
      <w:r w:rsidR="00E465AF">
        <w:rPr>
          <w:rFonts w:asciiTheme="minorHAnsi" w:hAnsiTheme="minorHAnsi"/>
          <w:sz w:val="22"/>
          <w:szCs w:val="22"/>
        </w:rPr>
        <w:t>14</w:t>
      </w:r>
      <w:r w:rsidRPr="009B6142">
        <w:rPr>
          <w:rFonts w:asciiTheme="minorHAnsi" w:hAnsiTheme="minorHAnsi"/>
          <w:sz w:val="22"/>
          <w:szCs w:val="22"/>
        </w:rPr>
        <w:t xml:space="preserve"> dnů ode dne jeho vystavení. K účtované částce bude připočteno DPH podle právních předpisů platných v době vystavení daňového dokladu advokátní kanceláří.</w:t>
      </w:r>
    </w:p>
    <w:p w:rsidR="009B6142" w:rsidRPr="009B6142" w:rsidRDefault="009B6142" w:rsidP="009B6142">
      <w:pPr>
        <w:rPr>
          <w:rFonts w:asciiTheme="minorHAnsi" w:hAnsiTheme="minorHAnsi"/>
          <w:sz w:val="22"/>
          <w:szCs w:val="22"/>
        </w:rPr>
      </w:pPr>
    </w:p>
    <w:p w:rsidR="009B6142" w:rsidRPr="009B6142" w:rsidRDefault="009B6142" w:rsidP="009B6142">
      <w:pPr>
        <w:numPr>
          <w:ilvl w:val="0"/>
          <w:numId w:val="12"/>
        </w:numPr>
        <w:rPr>
          <w:rFonts w:asciiTheme="minorHAnsi" w:hAnsiTheme="minorHAnsi"/>
          <w:sz w:val="22"/>
          <w:szCs w:val="22"/>
        </w:rPr>
      </w:pPr>
      <w:r w:rsidRPr="009B6142">
        <w:rPr>
          <w:rFonts w:asciiTheme="minorHAnsi" w:hAnsiTheme="minorHAnsi"/>
          <w:sz w:val="22"/>
          <w:szCs w:val="22"/>
        </w:rPr>
        <w:t>Advokátní kanceláři dále přísluší náhrada hotových výdajů jí účelně vynaložených v souvislosti s poskytováním právních služeb dle této smlouvy, tj. zejména na soudní a jiné poplatky, znalecké posudky a odborná vyjádření, překlady, opisy apod. Tyto výlohy jsou splatné měsíčně zpětně spolu s odměnou advokátní kanceláře.</w:t>
      </w:r>
    </w:p>
    <w:p w:rsidR="00E3473B" w:rsidRPr="00057299" w:rsidRDefault="00E3473B" w:rsidP="000A6883">
      <w:pPr>
        <w:rPr>
          <w:rFonts w:asciiTheme="minorHAnsi" w:hAnsiTheme="minorHAnsi"/>
          <w:sz w:val="22"/>
          <w:szCs w:val="22"/>
        </w:rPr>
      </w:pPr>
    </w:p>
    <w:p w:rsidR="001010FF" w:rsidRPr="00057299" w:rsidRDefault="00F90107" w:rsidP="006F70F9">
      <w:pPr>
        <w:keepNext/>
        <w:jc w:val="center"/>
        <w:rPr>
          <w:rFonts w:asciiTheme="minorHAnsi" w:hAnsiTheme="minorHAnsi"/>
          <w:b/>
          <w:bCs/>
          <w:sz w:val="22"/>
          <w:szCs w:val="22"/>
        </w:rPr>
      </w:pPr>
      <w:r w:rsidRPr="00057299">
        <w:rPr>
          <w:rFonts w:asciiTheme="minorHAnsi" w:hAnsiTheme="minorHAnsi"/>
          <w:b/>
          <w:sz w:val="22"/>
          <w:szCs w:val="22"/>
        </w:rPr>
        <w:t>VI</w:t>
      </w:r>
      <w:r w:rsidR="001010FF" w:rsidRPr="00057299">
        <w:rPr>
          <w:rFonts w:asciiTheme="minorHAnsi" w:hAnsiTheme="minorHAnsi"/>
          <w:b/>
          <w:sz w:val="22"/>
          <w:szCs w:val="22"/>
        </w:rPr>
        <w:t>.</w:t>
      </w:r>
      <w:r w:rsidR="006F70F9" w:rsidRPr="00057299">
        <w:rPr>
          <w:rFonts w:asciiTheme="minorHAnsi" w:hAnsiTheme="minorHAnsi"/>
          <w:b/>
          <w:sz w:val="22"/>
          <w:szCs w:val="22"/>
        </w:rPr>
        <w:t xml:space="preserve"> </w:t>
      </w:r>
      <w:r w:rsidR="001010FF" w:rsidRPr="00057299">
        <w:rPr>
          <w:rFonts w:asciiTheme="minorHAnsi" w:hAnsiTheme="minorHAnsi"/>
          <w:b/>
          <w:bCs/>
          <w:sz w:val="22"/>
          <w:szCs w:val="22"/>
        </w:rPr>
        <w:t>Závěrečná ujednání</w:t>
      </w:r>
    </w:p>
    <w:p w:rsidR="00F90107" w:rsidRPr="00057299" w:rsidRDefault="00F90107" w:rsidP="009620EA">
      <w:pPr>
        <w:numPr>
          <w:ilvl w:val="0"/>
          <w:numId w:val="6"/>
        </w:numPr>
        <w:tabs>
          <w:tab w:val="clear" w:pos="720"/>
        </w:tabs>
        <w:ind w:left="426" w:hanging="426"/>
        <w:rPr>
          <w:rFonts w:asciiTheme="minorHAnsi" w:hAnsiTheme="minorHAnsi"/>
          <w:sz w:val="22"/>
          <w:szCs w:val="22"/>
        </w:rPr>
      </w:pPr>
      <w:r w:rsidRPr="00057299">
        <w:rPr>
          <w:rFonts w:asciiTheme="minorHAnsi" w:hAnsiTheme="minorHAnsi"/>
          <w:sz w:val="22"/>
          <w:szCs w:val="22"/>
        </w:rPr>
        <w:t xml:space="preserve">Tato smlouva se sjednává na dobu neurčitou, může být ukončena písemnou dohodou smluvních stran nebo písemnou výpovědí dle následující věty. Smluvní strany jsou oprávněny tuto smlouvu písemně vypovědět, přičemž výpověďní doba činí </w:t>
      </w:r>
      <w:r w:rsidR="00FD5ECF" w:rsidRPr="00057299">
        <w:rPr>
          <w:rFonts w:asciiTheme="minorHAnsi" w:hAnsiTheme="minorHAnsi"/>
          <w:sz w:val="22"/>
          <w:szCs w:val="22"/>
        </w:rPr>
        <w:t>dva</w:t>
      </w:r>
      <w:r w:rsidRPr="00057299">
        <w:rPr>
          <w:rFonts w:asciiTheme="minorHAnsi" w:hAnsiTheme="minorHAnsi"/>
          <w:sz w:val="22"/>
          <w:szCs w:val="22"/>
        </w:rPr>
        <w:t xml:space="preserve"> měsíce a počíná plynout prvním dnem kalendářního měsíce následujícího po měsíci, v němž byla výpověď doručena druhé smluvní straně.</w:t>
      </w:r>
    </w:p>
    <w:p w:rsidR="00E1775B" w:rsidRDefault="00E1775B" w:rsidP="00E1775B">
      <w:pPr>
        <w:numPr>
          <w:ilvl w:val="0"/>
          <w:numId w:val="6"/>
        </w:numPr>
        <w:tabs>
          <w:tab w:val="clear" w:pos="720"/>
        </w:tabs>
        <w:ind w:left="426" w:hanging="426"/>
        <w:rPr>
          <w:rFonts w:asciiTheme="minorHAnsi" w:hAnsiTheme="minorHAnsi"/>
          <w:sz w:val="22"/>
          <w:szCs w:val="22"/>
        </w:rPr>
      </w:pPr>
      <w:r w:rsidRPr="00057299">
        <w:rPr>
          <w:rFonts w:asciiTheme="minorHAnsi" w:hAnsiTheme="minorHAnsi"/>
          <w:sz w:val="22"/>
          <w:szCs w:val="22"/>
        </w:rPr>
        <w:t>Tato smlouva je platná a účinná ode dne jejího podpisu oběma smluvními stranami a může být měněna pouze písemnými dodatky.</w:t>
      </w:r>
    </w:p>
    <w:p w:rsidR="004C414F" w:rsidRPr="00816751" w:rsidRDefault="004C414F" w:rsidP="00E1775B">
      <w:pPr>
        <w:numPr>
          <w:ilvl w:val="0"/>
          <w:numId w:val="6"/>
        </w:numPr>
        <w:tabs>
          <w:tab w:val="clear" w:pos="720"/>
        </w:tabs>
        <w:ind w:left="426" w:hanging="426"/>
        <w:rPr>
          <w:rFonts w:asciiTheme="minorHAnsi" w:hAnsiTheme="minorHAnsi"/>
          <w:sz w:val="22"/>
          <w:szCs w:val="22"/>
        </w:rPr>
      </w:pPr>
      <w:r w:rsidRPr="00816751">
        <w:rPr>
          <w:rFonts w:asciiTheme="minorHAnsi" w:hAnsiTheme="minorHAnsi"/>
          <w:sz w:val="22"/>
          <w:szCs w:val="22"/>
        </w:rPr>
        <w:t>Smluvní strany souhlasí se zveřejněním této smlouvy.</w:t>
      </w:r>
    </w:p>
    <w:p w:rsidR="001010FF" w:rsidRPr="00057299" w:rsidRDefault="001010FF" w:rsidP="000A6883">
      <w:pPr>
        <w:rPr>
          <w:rFonts w:asciiTheme="minorHAnsi" w:hAnsiTheme="minorHAnsi"/>
          <w:sz w:val="22"/>
          <w:szCs w:val="22"/>
          <w:highlight w:val="yellow"/>
        </w:rPr>
      </w:pPr>
    </w:p>
    <w:p w:rsidR="00EB711D" w:rsidRPr="00057299" w:rsidRDefault="00EB711D" w:rsidP="00EB711D">
      <w:pPr>
        <w:rPr>
          <w:rFonts w:asciiTheme="minorHAnsi" w:hAnsiTheme="minorHAnsi"/>
          <w:sz w:val="22"/>
          <w:szCs w:val="22"/>
        </w:rPr>
      </w:pPr>
    </w:p>
    <w:p w:rsidR="007D78A1" w:rsidRPr="00057299" w:rsidRDefault="007D78A1" w:rsidP="00EB711D">
      <w:pPr>
        <w:rPr>
          <w:rFonts w:asciiTheme="minorHAnsi" w:hAnsiTheme="minorHAnsi"/>
          <w:sz w:val="22"/>
          <w:szCs w:val="22"/>
        </w:rPr>
        <w:sectPr w:rsidR="007D78A1" w:rsidRPr="00057299" w:rsidSect="00F90107">
          <w:footerReference w:type="even" r:id="rId9"/>
          <w:footerReference w:type="default" r:id="rId10"/>
          <w:pgSz w:w="11906" w:h="16838"/>
          <w:pgMar w:top="1134" w:right="1134" w:bottom="1134" w:left="1134" w:header="709" w:footer="546" w:gutter="0"/>
          <w:cols w:space="708"/>
          <w:docGrid w:linePitch="360"/>
        </w:sectPr>
      </w:pPr>
    </w:p>
    <w:p w:rsidR="00057299" w:rsidRPr="00057299" w:rsidRDefault="00057299" w:rsidP="00057299">
      <w:pPr>
        <w:rPr>
          <w:rFonts w:asciiTheme="minorHAnsi" w:hAnsiTheme="minorHAnsi"/>
          <w:sz w:val="22"/>
          <w:szCs w:val="22"/>
        </w:rPr>
      </w:pPr>
      <w:r w:rsidRPr="00057299">
        <w:rPr>
          <w:rFonts w:asciiTheme="minorHAnsi" w:hAnsiTheme="minorHAnsi"/>
          <w:sz w:val="22"/>
          <w:szCs w:val="22"/>
        </w:rPr>
        <w:lastRenderedPageBreak/>
        <w:t>V Brně dne</w:t>
      </w:r>
      <w:r w:rsidRPr="00057299">
        <w:rPr>
          <w:rFonts w:asciiTheme="minorHAnsi" w:hAnsiTheme="minorHAnsi"/>
          <w:sz w:val="22"/>
          <w:szCs w:val="22"/>
        </w:rPr>
        <w:tab/>
      </w:r>
      <w:r w:rsidRPr="00057299">
        <w:rPr>
          <w:rFonts w:asciiTheme="minorHAnsi" w:hAnsiTheme="minorHAnsi"/>
          <w:sz w:val="22"/>
          <w:szCs w:val="22"/>
        </w:rPr>
        <w:tab/>
      </w:r>
      <w:r w:rsidRPr="00057299">
        <w:rPr>
          <w:rFonts w:asciiTheme="minorHAnsi" w:hAnsiTheme="minorHAnsi"/>
          <w:sz w:val="22"/>
          <w:szCs w:val="22"/>
        </w:rPr>
        <w:tab/>
      </w:r>
      <w:r w:rsidRPr="00057299">
        <w:rPr>
          <w:rFonts w:asciiTheme="minorHAnsi" w:hAnsiTheme="minorHAnsi"/>
          <w:sz w:val="22"/>
          <w:szCs w:val="22"/>
        </w:rPr>
        <w:tab/>
      </w:r>
      <w:r w:rsidRPr="00057299">
        <w:rPr>
          <w:rFonts w:asciiTheme="minorHAnsi" w:hAnsiTheme="minorHAnsi"/>
          <w:sz w:val="22"/>
          <w:szCs w:val="22"/>
        </w:rPr>
        <w:tab/>
      </w:r>
      <w:r w:rsidRPr="00057299">
        <w:rPr>
          <w:rFonts w:asciiTheme="minorHAnsi" w:hAnsiTheme="minorHAnsi"/>
          <w:sz w:val="22"/>
          <w:szCs w:val="22"/>
        </w:rPr>
        <w:tab/>
      </w:r>
      <w:r w:rsidRPr="00057299">
        <w:rPr>
          <w:rFonts w:asciiTheme="minorHAnsi" w:hAnsiTheme="minorHAnsi"/>
          <w:sz w:val="22"/>
          <w:szCs w:val="22"/>
        </w:rPr>
        <w:tab/>
        <w:t>V</w:t>
      </w:r>
      <w:r w:rsidR="009B6142">
        <w:rPr>
          <w:rFonts w:asciiTheme="minorHAnsi" w:hAnsiTheme="minorHAnsi"/>
          <w:sz w:val="22"/>
          <w:szCs w:val="22"/>
        </w:rPr>
        <w:t> </w:t>
      </w:r>
      <w:r w:rsidR="00834A97">
        <w:rPr>
          <w:rFonts w:asciiTheme="minorHAnsi" w:hAnsiTheme="minorHAnsi"/>
          <w:sz w:val="22"/>
          <w:szCs w:val="22"/>
        </w:rPr>
        <w:t>Tišnově</w:t>
      </w:r>
      <w:r w:rsidR="009B6142">
        <w:rPr>
          <w:rFonts w:asciiTheme="minorHAnsi" w:hAnsiTheme="minorHAnsi"/>
          <w:sz w:val="22"/>
          <w:szCs w:val="22"/>
        </w:rPr>
        <w:t xml:space="preserve"> </w:t>
      </w:r>
      <w:r w:rsidRPr="00057299">
        <w:rPr>
          <w:rFonts w:asciiTheme="minorHAnsi" w:hAnsiTheme="minorHAnsi"/>
          <w:sz w:val="22"/>
          <w:szCs w:val="22"/>
        </w:rPr>
        <w:t>dne</w:t>
      </w: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sz w:val="22"/>
          <w:szCs w:val="22"/>
        </w:rPr>
      </w:pPr>
      <w:r w:rsidRPr="00057299">
        <w:rPr>
          <w:rFonts w:asciiTheme="minorHAnsi" w:hAnsiTheme="minorHAnsi"/>
          <w:sz w:val="22"/>
          <w:szCs w:val="22"/>
        </w:rPr>
        <w:t>......................................................</w:t>
      </w:r>
      <w:r w:rsidRPr="00057299">
        <w:rPr>
          <w:rFonts w:asciiTheme="minorHAnsi" w:hAnsiTheme="minorHAnsi"/>
          <w:sz w:val="22"/>
          <w:szCs w:val="22"/>
        </w:rPr>
        <w:tab/>
      </w:r>
      <w:r w:rsidRPr="00057299">
        <w:rPr>
          <w:rFonts w:asciiTheme="minorHAnsi" w:hAnsiTheme="minorHAnsi"/>
          <w:sz w:val="22"/>
          <w:szCs w:val="22"/>
        </w:rPr>
        <w:tab/>
      </w:r>
      <w:r w:rsidRPr="00057299">
        <w:rPr>
          <w:rFonts w:asciiTheme="minorHAnsi" w:hAnsiTheme="minorHAnsi"/>
          <w:sz w:val="22"/>
          <w:szCs w:val="22"/>
        </w:rPr>
        <w:tab/>
      </w:r>
      <w:r w:rsidRPr="00057299">
        <w:rPr>
          <w:rFonts w:asciiTheme="minorHAnsi" w:hAnsiTheme="minorHAnsi"/>
          <w:sz w:val="22"/>
          <w:szCs w:val="22"/>
        </w:rPr>
        <w:tab/>
        <w:t>......................................................</w:t>
      </w:r>
    </w:p>
    <w:p w:rsidR="00EC59DE" w:rsidRPr="00EC59DE" w:rsidRDefault="00057299" w:rsidP="00EC59DE">
      <w:pPr>
        <w:rPr>
          <w:rFonts w:asciiTheme="minorHAnsi" w:hAnsiTheme="minorHAnsi"/>
          <w:b/>
          <w:sz w:val="22"/>
          <w:szCs w:val="22"/>
        </w:rPr>
      </w:pPr>
      <w:r w:rsidRPr="00057299">
        <w:rPr>
          <w:rFonts w:asciiTheme="minorHAnsi" w:hAnsiTheme="minorHAnsi"/>
          <w:b/>
          <w:bCs/>
          <w:sz w:val="22"/>
          <w:szCs w:val="22"/>
        </w:rPr>
        <w:t>Fiala, Tejkal a partneři, advokátní kancelář, s.r.o.</w:t>
      </w:r>
      <w:r w:rsidRPr="00057299">
        <w:rPr>
          <w:rFonts w:asciiTheme="minorHAnsi" w:hAnsiTheme="minorHAnsi"/>
          <w:bCs/>
          <w:sz w:val="22"/>
          <w:szCs w:val="22"/>
        </w:rPr>
        <w:tab/>
      </w:r>
      <w:r w:rsidRPr="00057299">
        <w:rPr>
          <w:rFonts w:asciiTheme="minorHAnsi" w:hAnsiTheme="minorHAnsi"/>
          <w:bCs/>
          <w:sz w:val="22"/>
          <w:szCs w:val="22"/>
        </w:rPr>
        <w:tab/>
      </w:r>
      <w:r w:rsidR="00EC59DE" w:rsidRPr="00EC59DE">
        <w:rPr>
          <w:rFonts w:asciiTheme="minorHAnsi" w:hAnsiTheme="minorHAnsi"/>
          <w:b/>
          <w:sz w:val="22"/>
          <w:szCs w:val="22"/>
        </w:rPr>
        <w:t>Město Tišnov</w:t>
      </w:r>
    </w:p>
    <w:p w:rsidR="00057299" w:rsidRPr="00BA36CF" w:rsidRDefault="00057299" w:rsidP="00057299">
      <w:pPr>
        <w:rPr>
          <w:rFonts w:asciiTheme="minorHAnsi" w:hAnsiTheme="minorHAnsi"/>
          <w:b/>
          <w:sz w:val="22"/>
          <w:szCs w:val="22"/>
        </w:rPr>
      </w:pPr>
      <w:r w:rsidRPr="00057299">
        <w:rPr>
          <w:rFonts w:asciiTheme="minorHAnsi" w:hAnsiTheme="minorHAnsi"/>
          <w:b/>
          <w:sz w:val="22"/>
          <w:szCs w:val="22"/>
        </w:rPr>
        <w:t>advokátní kancelář</w:t>
      </w:r>
      <w:r w:rsidRPr="00057299">
        <w:rPr>
          <w:rFonts w:asciiTheme="minorHAnsi" w:hAnsiTheme="minorHAnsi"/>
          <w:b/>
          <w:sz w:val="22"/>
          <w:szCs w:val="22"/>
        </w:rPr>
        <w:tab/>
      </w:r>
      <w:r w:rsidRPr="00057299">
        <w:rPr>
          <w:rFonts w:asciiTheme="minorHAnsi" w:hAnsiTheme="minorHAnsi"/>
          <w:b/>
          <w:sz w:val="22"/>
          <w:szCs w:val="22"/>
        </w:rPr>
        <w:tab/>
      </w:r>
      <w:r w:rsidRPr="00057299">
        <w:rPr>
          <w:rFonts w:asciiTheme="minorHAnsi" w:hAnsiTheme="minorHAnsi"/>
          <w:b/>
          <w:sz w:val="22"/>
          <w:szCs w:val="22"/>
        </w:rPr>
        <w:tab/>
      </w:r>
      <w:r w:rsidRPr="00057299">
        <w:rPr>
          <w:rFonts w:asciiTheme="minorHAnsi" w:hAnsiTheme="minorHAnsi"/>
          <w:b/>
          <w:sz w:val="22"/>
          <w:szCs w:val="22"/>
        </w:rPr>
        <w:tab/>
      </w:r>
      <w:r w:rsidRPr="00057299">
        <w:rPr>
          <w:rFonts w:asciiTheme="minorHAnsi" w:hAnsiTheme="minorHAnsi"/>
          <w:b/>
          <w:sz w:val="22"/>
          <w:szCs w:val="22"/>
        </w:rPr>
        <w:tab/>
      </w:r>
      <w:r w:rsidRPr="00057299">
        <w:rPr>
          <w:rFonts w:asciiTheme="minorHAnsi" w:hAnsiTheme="minorHAnsi"/>
          <w:b/>
          <w:sz w:val="22"/>
          <w:szCs w:val="22"/>
        </w:rPr>
        <w:tab/>
      </w:r>
      <w:bookmarkStart w:id="0" w:name="_GoBack"/>
      <w:r w:rsidR="00816751" w:rsidRPr="00BA36CF">
        <w:rPr>
          <w:rFonts w:asciiTheme="minorHAnsi" w:hAnsiTheme="minorHAnsi"/>
          <w:sz w:val="22"/>
          <w:szCs w:val="22"/>
        </w:rPr>
        <w:t>tajemnice</w:t>
      </w:r>
    </w:p>
    <w:bookmarkEnd w:id="0"/>
    <w:p w:rsidR="004C414F" w:rsidRPr="006229A3" w:rsidRDefault="00057299" w:rsidP="004C414F">
      <w:pPr>
        <w:ind w:left="5664" w:hanging="5664"/>
        <w:rPr>
          <w:rFonts w:asciiTheme="minorHAnsi" w:hAnsiTheme="minorHAnsi"/>
          <w:sz w:val="22"/>
          <w:szCs w:val="22"/>
        </w:rPr>
      </w:pPr>
      <w:r w:rsidRPr="00BA36CF">
        <w:rPr>
          <w:rFonts w:asciiTheme="minorHAnsi" w:hAnsiTheme="minorHAnsi"/>
          <w:sz w:val="22"/>
          <w:szCs w:val="22"/>
        </w:rPr>
        <w:t>jednatel společnosti</w:t>
      </w:r>
      <w:r w:rsidRPr="00057299">
        <w:rPr>
          <w:rFonts w:asciiTheme="minorHAnsi" w:hAnsiTheme="minorHAnsi"/>
          <w:sz w:val="22"/>
          <w:szCs w:val="22"/>
        </w:rPr>
        <w:tab/>
      </w:r>
    </w:p>
    <w:p w:rsidR="00057299" w:rsidRPr="00057299" w:rsidRDefault="00057299" w:rsidP="00057299">
      <w:pPr>
        <w:rPr>
          <w:rFonts w:asciiTheme="minorHAnsi" w:hAnsiTheme="minorHAnsi"/>
          <w:sz w:val="22"/>
          <w:szCs w:val="22"/>
        </w:rPr>
      </w:pPr>
    </w:p>
    <w:p w:rsidR="00057299" w:rsidRPr="00057299" w:rsidRDefault="00057299" w:rsidP="00057299">
      <w:pPr>
        <w:rPr>
          <w:rFonts w:asciiTheme="minorHAnsi" w:hAnsiTheme="minorHAnsi"/>
          <w:sz w:val="22"/>
          <w:szCs w:val="22"/>
        </w:rPr>
      </w:pPr>
    </w:p>
    <w:p w:rsidR="007D78A1" w:rsidRPr="00057299" w:rsidRDefault="007D78A1" w:rsidP="00057299">
      <w:pPr>
        <w:rPr>
          <w:rFonts w:asciiTheme="minorHAnsi" w:hAnsiTheme="minorHAnsi"/>
          <w:sz w:val="22"/>
          <w:szCs w:val="22"/>
        </w:rPr>
      </w:pPr>
    </w:p>
    <w:p w:rsidR="00057299" w:rsidRPr="00057299" w:rsidRDefault="00057299">
      <w:pPr>
        <w:rPr>
          <w:rFonts w:asciiTheme="minorHAnsi" w:hAnsiTheme="minorHAnsi"/>
          <w:sz w:val="22"/>
          <w:szCs w:val="22"/>
        </w:rPr>
      </w:pPr>
    </w:p>
    <w:sectPr w:rsidR="00057299" w:rsidRPr="00057299" w:rsidSect="0005729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42" w:rsidRDefault="00B22942">
      <w:r>
        <w:separator/>
      </w:r>
    </w:p>
  </w:endnote>
  <w:endnote w:type="continuationSeparator" w:id="0">
    <w:p w:rsidR="00B22942" w:rsidRDefault="00B2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EB" w:rsidRDefault="009F40D3" w:rsidP="00400889">
    <w:pPr>
      <w:pStyle w:val="Zpat"/>
      <w:framePr w:wrap="around" w:vAnchor="text" w:hAnchor="margin" w:xAlign="center" w:y="1"/>
      <w:rPr>
        <w:rStyle w:val="slostrnky"/>
      </w:rPr>
    </w:pPr>
    <w:r>
      <w:rPr>
        <w:rStyle w:val="slostrnky"/>
      </w:rPr>
      <w:fldChar w:fldCharType="begin"/>
    </w:r>
    <w:r w:rsidR="006137EB">
      <w:rPr>
        <w:rStyle w:val="slostrnky"/>
      </w:rPr>
      <w:instrText xml:space="preserve">PAGE  </w:instrText>
    </w:r>
    <w:r>
      <w:rPr>
        <w:rStyle w:val="slostrnky"/>
      </w:rPr>
      <w:fldChar w:fldCharType="end"/>
    </w:r>
  </w:p>
  <w:p w:rsidR="006137EB" w:rsidRDefault="006137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EB" w:rsidRPr="00E35068" w:rsidRDefault="009F40D3" w:rsidP="00400889">
    <w:pPr>
      <w:pStyle w:val="Zpat"/>
      <w:framePr w:wrap="around" w:vAnchor="text" w:hAnchor="margin" w:xAlign="center" w:y="1"/>
      <w:rPr>
        <w:rStyle w:val="slostrnky"/>
        <w:sz w:val="22"/>
        <w:szCs w:val="22"/>
      </w:rPr>
    </w:pPr>
    <w:r w:rsidRPr="00E35068">
      <w:rPr>
        <w:rStyle w:val="slostrnky"/>
        <w:sz w:val="22"/>
        <w:szCs w:val="22"/>
      </w:rPr>
      <w:fldChar w:fldCharType="begin"/>
    </w:r>
    <w:r w:rsidR="006137EB" w:rsidRPr="00E35068">
      <w:rPr>
        <w:rStyle w:val="slostrnky"/>
        <w:sz w:val="22"/>
        <w:szCs w:val="22"/>
      </w:rPr>
      <w:instrText xml:space="preserve">PAGE  </w:instrText>
    </w:r>
    <w:r w:rsidRPr="00E35068">
      <w:rPr>
        <w:rStyle w:val="slostrnky"/>
        <w:sz w:val="22"/>
        <w:szCs w:val="22"/>
      </w:rPr>
      <w:fldChar w:fldCharType="separate"/>
    </w:r>
    <w:r w:rsidR="00BA36CF">
      <w:rPr>
        <w:rStyle w:val="slostrnky"/>
        <w:noProof/>
        <w:sz w:val="22"/>
        <w:szCs w:val="22"/>
      </w:rPr>
      <w:t>2</w:t>
    </w:r>
    <w:r w:rsidRPr="00E35068">
      <w:rPr>
        <w:rStyle w:val="slostrnky"/>
        <w:sz w:val="22"/>
        <w:szCs w:val="22"/>
      </w:rPr>
      <w:fldChar w:fldCharType="end"/>
    </w:r>
  </w:p>
  <w:p w:rsidR="006137EB" w:rsidRDefault="006137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42" w:rsidRDefault="00B22942">
      <w:r>
        <w:separator/>
      </w:r>
    </w:p>
  </w:footnote>
  <w:footnote w:type="continuationSeparator" w:id="0">
    <w:p w:rsidR="00B22942" w:rsidRDefault="00B22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E3D"/>
    <w:multiLevelType w:val="hybridMultilevel"/>
    <w:tmpl w:val="C4081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9C2C07"/>
    <w:multiLevelType w:val="hybridMultilevel"/>
    <w:tmpl w:val="AAC03142"/>
    <w:lvl w:ilvl="0" w:tplc="FE5C99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E780A"/>
    <w:multiLevelType w:val="hybridMultilevel"/>
    <w:tmpl w:val="DBACEE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D94993"/>
    <w:multiLevelType w:val="hybridMultilevel"/>
    <w:tmpl w:val="BA7005EE"/>
    <w:lvl w:ilvl="0" w:tplc="27E040B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D37A49"/>
    <w:multiLevelType w:val="hybridMultilevel"/>
    <w:tmpl w:val="0694DC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1D2944"/>
    <w:multiLevelType w:val="hybridMultilevel"/>
    <w:tmpl w:val="F21479F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F1243D"/>
    <w:multiLevelType w:val="hybridMultilevel"/>
    <w:tmpl w:val="2B583102"/>
    <w:lvl w:ilvl="0" w:tplc="A386DB0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7">
    <w:nsid w:val="19D95351"/>
    <w:multiLevelType w:val="hybridMultilevel"/>
    <w:tmpl w:val="0C20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4137B1"/>
    <w:multiLevelType w:val="hybridMultilevel"/>
    <w:tmpl w:val="64462C02"/>
    <w:lvl w:ilvl="0" w:tplc="B93842A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430E2B"/>
    <w:multiLevelType w:val="hybridMultilevel"/>
    <w:tmpl w:val="D6EEED34"/>
    <w:lvl w:ilvl="0" w:tplc="A386DB0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0">
    <w:nsid w:val="25C812FF"/>
    <w:multiLevelType w:val="hybridMultilevel"/>
    <w:tmpl w:val="C9C62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627D0A"/>
    <w:multiLevelType w:val="hybridMultilevel"/>
    <w:tmpl w:val="0F78CC02"/>
    <w:lvl w:ilvl="0" w:tplc="F74A8B1C">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1D93372"/>
    <w:multiLevelType w:val="hybridMultilevel"/>
    <w:tmpl w:val="D946CBDC"/>
    <w:lvl w:ilvl="0" w:tplc="A386DB08">
      <w:start w:val="1"/>
      <w:numFmt w:val="decimal"/>
      <w:lvlText w:val="%1."/>
      <w:lvlJc w:val="left"/>
      <w:pPr>
        <w:tabs>
          <w:tab w:val="num" w:pos="420"/>
        </w:tabs>
        <w:ind w:left="420" w:hanging="360"/>
      </w:pPr>
      <w:rPr>
        <w:rFonts w:hint="default"/>
        <w:i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3">
    <w:nsid w:val="5BEC3F36"/>
    <w:multiLevelType w:val="hybridMultilevel"/>
    <w:tmpl w:val="5A76C71C"/>
    <w:lvl w:ilvl="0" w:tplc="A386DB0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4">
    <w:nsid w:val="62616928"/>
    <w:multiLevelType w:val="hybridMultilevel"/>
    <w:tmpl w:val="9DAA29C0"/>
    <w:lvl w:ilvl="0" w:tplc="A386DB08">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5">
    <w:nsid w:val="76310857"/>
    <w:multiLevelType w:val="hybridMultilevel"/>
    <w:tmpl w:val="F5B001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C8B435D"/>
    <w:multiLevelType w:val="hybridMultilevel"/>
    <w:tmpl w:val="5E2C4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4"/>
  </w:num>
  <w:num w:numId="4">
    <w:abstractNumId w:val="0"/>
  </w:num>
  <w:num w:numId="5">
    <w:abstractNumId w:val="12"/>
  </w:num>
  <w:num w:numId="6">
    <w:abstractNumId w:val="15"/>
  </w:num>
  <w:num w:numId="7">
    <w:abstractNumId w:val="6"/>
  </w:num>
  <w:num w:numId="8">
    <w:abstractNumId w:val="9"/>
  </w:num>
  <w:num w:numId="9">
    <w:abstractNumId w:val="4"/>
  </w:num>
  <w:num w:numId="10">
    <w:abstractNumId w:val="8"/>
  </w:num>
  <w:num w:numId="11">
    <w:abstractNumId w:val="10"/>
  </w:num>
  <w:num w:numId="12">
    <w:abstractNumId w:val="11"/>
  </w:num>
  <w:num w:numId="13">
    <w:abstractNumId w:val="5"/>
  </w:num>
  <w:num w:numId="14">
    <w:abstractNumId w:val="1"/>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A7"/>
    <w:rsid w:val="0001693E"/>
    <w:rsid w:val="0002048A"/>
    <w:rsid w:val="00021D01"/>
    <w:rsid w:val="00057299"/>
    <w:rsid w:val="00094B8E"/>
    <w:rsid w:val="000A5E3C"/>
    <w:rsid w:val="000A6883"/>
    <w:rsid w:val="000D1478"/>
    <w:rsid w:val="001010FF"/>
    <w:rsid w:val="00102766"/>
    <w:rsid w:val="00104985"/>
    <w:rsid w:val="0011055E"/>
    <w:rsid w:val="0011671A"/>
    <w:rsid w:val="00117FC3"/>
    <w:rsid w:val="0012541C"/>
    <w:rsid w:val="00130376"/>
    <w:rsid w:val="00171F9D"/>
    <w:rsid w:val="00174D4D"/>
    <w:rsid w:val="00193AA5"/>
    <w:rsid w:val="001B1992"/>
    <w:rsid w:val="001B2E8A"/>
    <w:rsid w:val="001E5530"/>
    <w:rsid w:val="001E70D8"/>
    <w:rsid w:val="001F2B2B"/>
    <w:rsid w:val="00212FAC"/>
    <w:rsid w:val="0022030F"/>
    <w:rsid w:val="002275C0"/>
    <w:rsid w:val="002334BF"/>
    <w:rsid w:val="002358E7"/>
    <w:rsid w:val="00253A9E"/>
    <w:rsid w:val="00254DB4"/>
    <w:rsid w:val="00255B39"/>
    <w:rsid w:val="00272B2E"/>
    <w:rsid w:val="002741EC"/>
    <w:rsid w:val="0029785D"/>
    <w:rsid w:val="002A194E"/>
    <w:rsid w:val="002B475C"/>
    <w:rsid w:val="00305DE7"/>
    <w:rsid w:val="00335EEC"/>
    <w:rsid w:val="003366D4"/>
    <w:rsid w:val="00347736"/>
    <w:rsid w:val="00354AA3"/>
    <w:rsid w:val="00387A00"/>
    <w:rsid w:val="003908E9"/>
    <w:rsid w:val="003A0085"/>
    <w:rsid w:val="003A5B4E"/>
    <w:rsid w:val="003A6B57"/>
    <w:rsid w:val="003C7DDA"/>
    <w:rsid w:val="00400889"/>
    <w:rsid w:val="0041358A"/>
    <w:rsid w:val="00417C03"/>
    <w:rsid w:val="00440A15"/>
    <w:rsid w:val="00446DF4"/>
    <w:rsid w:val="004526E0"/>
    <w:rsid w:val="00460E40"/>
    <w:rsid w:val="00466294"/>
    <w:rsid w:val="00470A67"/>
    <w:rsid w:val="00482F1D"/>
    <w:rsid w:val="004B0EF6"/>
    <w:rsid w:val="004C414F"/>
    <w:rsid w:val="004C4DB5"/>
    <w:rsid w:val="004C6AF5"/>
    <w:rsid w:val="004C777C"/>
    <w:rsid w:val="004D6DB9"/>
    <w:rsid w:val="004F05B9"/>
    <w:rsid w:val="004F7AE6"/>
    <w:rsid w:val="0051676B"/>
    <w:rsid w:val="00517495"/>
    <w:rsid w:val="00524DA7"/>
    <w:rsid w:val="00537877"/>
    <w:rsid w:val="00563E2B"/>
    <w:rsid w:val="00567DF9"/>
    <w:rsid w:val="00575B2D"/>
    <w:rsid w:val="00576213"/>
    <w:rsid w:val="00584FD8"/>
    <w:rsid w:val="00592905"/>
    <w:rsid w:val="005A0DAC"/>
    <w:rsid w:val="005A6FBB"/>
    <w:rsid w:val="005C31C0"/>
    <w:rsid w:val="005C7198"/>
    <w:rsid w:val="005E05FB"/>
    <w:rsid w:val="005E18AE"/>
    <w:rsid w:val="00610913"/>
    <w:rsid w:val="006137EB"/>
    <w:rsid w:val="006229A3"/>
    <w:rsid w:val="00623E99"/>
    <w:rsid w:val="00647515"/>
    <w:rsid w:val="00663884"/>
    <w:rsid w:val="00673402"/>
    <w:rsid w:val="0069211F"/>
    <w:rsid w:val="006A6B3D"/>
    <w:rsid w:val="006B35FC"/>
    <w:rsid w:val="006E4AB8"/>
    <w:rsid w:val="006F0F3C"/>
    <w:rsid w:val="006F70F9"/>
    <w:rsid w:val="00710B1E"/>
    <w:rsid w:val="00735A5C"/>
    <w:rsid w:val="00761035"/>
    <w:rsid w:val="0076484E"/>
    <w:rsid w:val="007747A5"/>
    <w:rsid w:val="007973BD"/>
    <w:rsid w:val="007A155A"/>
    <w:rsid w:val="007A5138"/>
    <w:rsid w:val="007B1F54"/>
    <w:rsid w:val="007B1FC2"/>
    <w:rsid w:val="007D2C9F"/>
    <w:rsid w:val="007D5BA1"/>
    <w:rsid w:val="007D78A1"/>
    <w:rsid w:val="00816751"/>
    <w:rsid w:val="00833A40"/>
    <w:rsid w:val="0083437E"/>
    <w:rsid w:val="00834A97"/>
    <w:rsid w:val="00841753"/>
    <w:rsid w:val="00845B34"/>
    <w:rsid w:val="00847A30"/>
    <w:rsid w:val="008556C1"/>
    <w:rsid w:val="00877BA1"/>
    <w:rsid w:val="008B0E60"/>
    <w:rsid w:val="008C160D"/>
    <w:rsid w:val="008C5B5E"/>
    <w:rsid w:val="009160DF"/>
    <w:rsid w:val="00926FBC"/>
    <w:rsid w:val="009271F8"/>
    <w:rsid w:val="00952C55"/>
    <w:rsid w:val="00960E60"/>
    <w:rsid w:val="00961DD6"/>
    <w:rsid w:val="009620EA"/>
    <w:rsid w:val="00962F5D"/>
    <w:rsid w:val="00963D66"/>
    <w:rsid w:val="00993A9A"/>
    <w:rsid w:val="00995425"/>
    <w:rsid w:val="009B6142"/>
    <w:rsid w:val="009D5A2E"/>
    <w:rsid w:val="009F40D3"/>
    <w:rsid w:val="009F5DD0"/>
    <w:rsid w:val="009F6074"/>
    <w:rsid w:val="009F6353"/>
    <w:rsid w:val="00A037A9"/>
    <w:rsid w:val="00A170D7"/>
    <w:rsid w:val="00A42B59"/>
    <w:rsid w:val="00A74218"/>
    <w:rsid w:val="00A831D6"/>
    <w:rsid w:val="00A9042B"/>
    <w:rsid w:val="00AA6512"/>
    <w:rsid w:val="00AC114B"/>
    <w:rsid w:val="00AE10FC"/>
    <w:rsid w:val="00AE65B3"/>
    <w:rsid w:val="00AF2461"/>
    <w:rsid w:val="00B157A7"/>
    <w:rsid w:val="00B224A0"/>
    <w:rsid w:val="00B22942"/>
    <w:rsid w:val="00B42894"/>
    <w:rsid w:val="00B5337C"/>
    <w:rsid w:val="00B56971"/>
    <w:rsid w:val="00B63B35"/>
    <w:rsid w:val="00B703B0"/>
    <w:rsid w:val="00BA0FEA"/>
    <w:rsid w:val="00BA36CF"/>
    <w:rsid w:val="00BA39EC"/>
    <w:rsid w:val="00BB2E27"/>
    <w:rsid w:val="00BD24F8"/>
    <w:rsid w:val="00BD2E95"/>
    <w:rsid w:val="00BE68C8"/>
    <w:rsid w:val="00C018C8"/>
    <w:rsid w:val="00C16520"/>
    <w:rsid w:val="00C42A17"/>
    <w:rsid w:val="00C63B30"/>
    <w:rsid w:val="00CC3CA1"/>
    <w:rsid w:val="00CE0782"/>
    <w:rsid w:val="00CE2B10"/>
    <w:rsid w:val="00CE4742"/>
    <w:rsid w:val="00D232A9"/>
    <w:rsid w:val="00D35972"/>
    <w:rsid w:val="00D43FFE"/>
    <w:rsid w:val="00D46498"/>
    <w:rsid w:val="00D63124"/>
    <w:rsid w:val="00D6572C"/>
    <w:rsid w:val="00D942AC"/>
    <w:rsid w:val="00D97A22"/>
    <w:rsid w:val="00DA00F8"/>
    <w:rsid w:val="00DA2728"/>
    <w:rsid w:val="00DE3A3E"/>
    <w:rsid w:val="00E06BE7"/>
    <w:rsid w:val="00E1775B"/>
    <w:rsid w:val="00E210E8"/>
    <w:rsid w:val="00E30C82"/>
    <w:rsid w:val="00E3473B"/>
    <w:rsid w:val="00E35068"/>
    <w:rsid w:val="00E4071A"/>
    <w:rsid w:val="00E44EF7"/>
    <w:rsid w:val="00E465AF"/>
    <w:rsid w:val="00E50712"/>
    <w:rsid w:val="00E573D4"/>
    <w:rsid w:val="00E67B1D"/>
    <w:rsid w:val="00E76BD2"/>
    <w:rsid w:val="00E77B7E"/>
    <w:rsid w:val="00E95F58"/>
    <w:rsid w:val="00EA2CBF"/>
    <w:rsid w:val="00EA65A7"/>
    <w:rsid w:val="00EB218F"/>
    <w:rsid w:val="00EB711D"/>
    <w:rsid w:val="00EB7B0B"/>
    <w:rsid w:val="00EC15D2"/>
    <w:rsid w:val="00EC2DF2"/>
    <w:rsid w:val="00EC2EB1"/>
    <w:rsid w:val="00EC59DE"/>
    <w:rsid w:val="00F463B1"/>
    <w:rsid w:val="00F64A13"/>
    <w:rsid w:val="00F704C2"/>
    <w:rsid w:val="00F90107"/>
    <w:rsid w:val="00F92447"/>
    <w:rsid w:val="00F957CD"/>
    <w:rsid w:val="00FD5ECF"/>
    <w:rsid w:val="00FE0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5A7"/>
    <w:pPr>
      <w:jc w:val="both"/>
    </w:pPr>
    <w:rPr>
      <w:sz w:val="24"/>
    </w:rPr>
  </w:style>
  <w:style w:type="paragraph" w:styleId="Nadpis1">
    <w:name w:val="heading 1"/>
    <w:basedOn w:val="Normln"/>
    <w:next w:val="Normln"/>
    <w:qFormat/>
    <w:rsid w:val="001010FF"/>
    <w:pPr>
      <w:keepNext/>
      <w:jc w:val="left"/>
      <w:outlineLvl w:val="0"/>
    </w:pPr>
    <w:rPr>
      <w:b/>
      <w:bCs/>
      <w:szCs w:val="24"/>
    </w:rPr>
  </w:style>
  <w:style w:type="paragraph" w:styleId="Nadpis2">
    <w:name w:val="heading 2"/>
    <w:basedOn w:val="Normln"/>
    <w:next w:val="Normln"/>
    <w:qFormat/>
    <w:rsid w:val="001010FF"/>
    <w:pPr>
      <w:keepNext/>
      <w:jc w:val="left"/>
      <w:outlineLvl w:val="1"/>
    </w:pPr>
    <w:rPr>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EA65A7"/>
  </w:style>
  <w:style w:type="paragraph" w:customStyle="1" w:styleId="jednotka3tabulator">
    <w:name w:val="jednotka3_tabulator"/>
    <w:basedOn w:val="Normln"/>
    <w:rsid w:val="00EA65A7"/>
    <w:pPr>
      <w:tabs>
        <w:tab w:val="left" w:pos="340"/>
      </w:tabs>
      <w:jc w:val="left"/>
    </w:pPr>
    <w:rPr>
      <w:sz w:val="22"/>
      <w:szCs w:val="24"/>
    </w:rPr>
  </w:style>
  <w:style w:type="paragraph" w:styleId="Zkladntext">
    <w:name w:val="Body Text"/>
    <w:basedOn w:val="Normln"/>
    <w:rsid w:val="001010FF"/>
    <w:pPr>
      <w:tabs>
        <w:tab w:val="left" w:pos="3060"/>
      </w:tabs>
      <w:spacing w:line="300" w:lineRule="atLeast"/>
    </w:pPr>
    <w:rPr>
      <w:b/>
      <w:bCs/>
      <w:sz w:val="26"/>
      <w:szCs w:val="24"/>
    </w:rPr>
  </w:style>
  <w:style w:type="paragraph" w:styleId="Zpat">
    <w:name w:val="footer"/>
    <w:basedOn w:val="Normln"/>
    <w:rsid w:val="00E35068"/>
    <w:pPr>
      <w:tabs>
        <w:tab w:val="center" w:pos="4536"/>
        <w:tab w:val="right" w:pos="9072"/>
      </w:tabs>
    </w:pPr>
  </w:style>
  <w:style w:type="character" w:styleId="slostrnky">
    <w:name w:val="page number"/>
    <w:basedOn w:val="Standardnpsmoodstavce"/>
    <w:rsid w:val="00E35068"/>
  </w:style>
  <w:style w:type="paragraph" w:styleId="Zhlav">
    <w:name w:val="header"/>
    <w:basedOn w:val="Normln"/>
    <w:rsid w:val="00E35068"/>
    <w:pPr>
      <w:tabs>
        <w:tab w:val="center" w:pos="4536"/>
        <w:tab w:val="right" w:pos="9072"/>
      </w:tabs>
    </w:pPr>
  </w:style>
  <w:style w:type="paragraph" w:styleId="Odstavecseseznamem">
    <w:name w:val="List Paragraph"/>
    <w:basedOn w:val="Normln"/>
    <w:qFormat/>
    <w:rsid w:val="009620EA"/>
    <w:pPr>
      <w:ind w:left="708"/>
    </w:pPr>
  </w:style>
  <w:style w:type="paragraph" w:styleId="Textbubliny">
    <w:name w:val="Balloon Text"/>
    <w:basedOn w:val="Normln"/>
    <w:link w:val="TextbublinyChar"/>
    <w:rsid w:val="0002048A"/>
    <w:rPr>
      <w:rFonts w:ascii="Tahoma" w:hAnsi="Tahoma" w:cs="Tahoma"/>
      <w:sz w:val="16"/>
      <w:szCs w:val="16"/>
    </w:rPr>
  </w:style>
  <w:style w:type="character" w:customStyle="1" w:styleId="TextbublinyChar">
    <w:name w:val="Text bubliny Char"/>
    <w:basedOn w:val="Standardnpsmoodstavce"/>
    <w:link w:val="Textbubliny"/>
    <w:rsid w:val="00020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5A7"/>
    <w:pPr>
      <w:jc w:val="both"/>
    </w:pPr>
    <w:rPr>
      <w:sz w:val="24"/>
    </w:rPr>
  </w:style>
  <w:style w:type="paragraph" w:styleId="Nadpis1">
    <w:name w:val="heading 1"/>
    <w:basedOn w:val="Normln"/>
    <w:next w:val="Normln"/>
    <w:qFormat/>
    <w:rsid w:val="001010FF"/>
    <w:pPr>
      <w:keepNext/>
      <w:jc w:val="left"/>
      <w:outlineLvl w:val="0"/>
    </w:pPr>
    <w:rPr>
      <w:b/>
      <w:bCs/>
      <w:szCs w:val="24"/>
    </w:rPr>
  </w:style>
  <w:style w:type="paragraph" w:styleId="Nadpis2">
    <w:name w:val="heading 2"/>
    <w:basedOn w:val="Normln"/>
    <w:next w:val="Normln"/>
    <w:qFormat/>
    <w:rsid w:val="001010FF"/>
    <w:pPr>
      <w:keepNext/>
      <w:jc w:val="left"/>
      <w:outlineLvl w:val="1"/>
    </w:pPr>
    <w:rPr>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EA65A7"/>
  </w:style>
  <w:style w:type="paragraph" w:customStyle="1" w:styleId="jednotka3tabulator">
    <w:name w:val="jednotka3_tabulator"/>
    <w:basedOn w:val="Normln"/>
    <w:rsid w:val="00EA65A7"/>
    <w:pPr>
      <w:tabs>
        <w:tab w:val="left" w:pos="340"/>
      </w:tabs>
      <w:jc w:val="left"/>
    </w:pPr>
    <w:rPr>
      <w:sz w:val="22"/>
      <w:szCs w:val="24"/>
    </w:rPr>
  </w:style>
  <w:style w:type="paragraph" w:styleId="Zkladntext">
    <w:name w:val="Body Text"/>
    <w:basedOn w:val="Normln"/>
    <w:rsid w:val="001010FF"/>
    <w:pPr>
      <w:tabs>
        <w:tab w:val="left" w:pos="3060"/>
      </w:tabs>
      <w:spacing w:line="300" w:lineRule="atLeast"/>
    </w:pPr>
    <w:rPr>
      <w:b/>
      <w:bCs/>
      <w:sz w:val="26"/>
      <w:szCs w:val="24"/>
    </w:rPr>
  </w:style>
  <w:style w:type="paragraph" w:styleId="Zpat">
    <w:name w:val="footer"/>
    <w:basedOn w:val="Normln"/>
    <w:rsid w:val="00E35068"/>
    <w:pPr>
      <w:tabs>
        <w:tab w:val="center" w:pos="4536"/>
        <w:tab w:val="right" w:pos="9072"/>
      </w:tabs>
    </w:pPr>
  </w:style>
  <w:style w:type="character" w:styleId="slostrnky">
    <w:name w:val="page number"/>
    <w:basedOn w:val="Standardnpsmoodstavce"/>
    <w:rsid w:val="00E35068"/>
  </w:style>
  <w:style w:type="paragraph" w:styleId="Zhlav">
    <w:name w:val="header"/>
    <w:basedOn w:val="Normln"/>
    <w:rsid w:val="00E35068"/>
    <w:pPr>
      <w:tabs>
        <w:tab w:val="center" w:pos="4536"/>
        <w:tab w:val="right" w:pos="9072"/>
      </w:tabs>
    </w:pPr>
  </w:style>
  <w:style w:type="paragraph" w:styleId="Odstavecseseznamem">
    <w:name w:val="List Paragraph"/>
    <w:basedOn w:val="Normln"/>
    <w:qFormat/>
    <w:rsid w:val="009620EA"/>
    <w:pPr>
      <w:ind w:left="708"/>
    </w:pPr>
  </w:style>
  <w:style w:type="paragraph" w:styleId="Textbubliny">
    <w:name w:val="Balloon Text"/>
    <w:basedOn w:val="Normln"/>
    <w:link w:val="TextbublinyChar"/>
    <w:rsid w:val="0002048A"/>
    <w:rPr>
      <w:rFonts w:ascii="Tahoma" w:hAnsi="Tahoma" w:cs="Tahoma"/>
      <w:sz w:val="16"/>
      <w:szCs w:val="16"/>
    </w:rPr>
  </w:style>
  <w:style w:type="character" w:customStyle="1" w:styleId="TextbublinyChar">
    <w:name w:val="Text bubliny Char"/>
    <w:basedOn w:val="Standardnpsmoodstavce"/>
    <w:link w:val="Textbubliny"/>
    <w:rsid w:val="00020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E065-EC72-4C83-BAA6-81C75288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3635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SMLOUVA O POSKYTOVÁNÍ PRÁVNÍCH SLUŽEB</vt:lpstr>
    </vt:vector>
  </TitlesOfParts>
  <Company>GOPAS, a.s.</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PRÁVNÍCH SLUŽEB</dc:title>
  <dc:creator>Falcon</dc:creator>
  <cp:lastModifiedBy>Kateřina Lepková</cp:lastModifiedBy>
  <cp:revision>4</cp:revision>
  <cp:lastPrinted>2017-02-02T13:06:00Z</cp:lastPrinted>
  <dcterms:created xsi:type="dcterms:W3CDTF">2017-02-13T15:05:00Z</dcterms:created>
  <dcterms:modified xsi:type="dcterms:W3CDTF">2017-02-14T11:44:00Z</dcterms:modified>
</cp:coreProperties>
</file>