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D4C6F" w:rsidRDefault="00F86A01">
      <w:pPr>
        <w:spacing w:after="1413" w:line="259" w:lineRule="auto"/>
        <w:ind w:left="10571"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8345279</wp:posOffset>
                </wp:positionV>
                <wp:extent cx="1291612" cy="460925"/>
                <wp:effectExtent l="0" t="0" r="0" b="0"/>
                <wp:wrapTopAndBottom/>
                <wp:docPr id="56192" name="Group 56192"/>
                <wp:cNvGraphicFramePr/>
                <a:graphic xmlns:a="http://schemas.openxmlformats.org/drawingml/2006/main">
                  <a:graphicData uri="http://schemas.microsoft.com/office/word/2010/wordprocessingGroup">
                    <wpg:wgp>
                      <wpg:cNvGrpSpPr/>
                      <wpg:grpSpPr>
                        <a:xfrm>
                          <a:off x="0" y="0"/>
                          <a:ext cx="1291612" cy="460925"/>
                          <a:chOff x="0" y="0"/>
                          <a:chExt cx="1291612" cy="460925"/>
                        </a:xfrm>
                      </wpg:grpSpPr>
                      <wps:wsp>
                        <wps:cNvPr id="6" name="Shape 6"/>
                        <wps:cNvSpPr/>
                        <wps:spPr>
                          <a:xfrm>
                            <a:off x="620420" y="115738"/>
                            <a:ext cx="336104" cy="230463"/>
                          </a:xfrm>
                          <a:custGeom>
                            <a:avLst/>
                            <a:gdLst/>
                            <a:ahLst/>
                            <a:cxnLst/>
                            <a:rect l="0" t="0" r="0" b="0"/>
                            <a:pathLst>
                              <a:path w="336104" h="230463">
                                <a:moveTo>
                                  <a:pt x="0" y="0"/>
                                </a:moveTo>
                                <a:lnTo>
                                  <a:pt x="110681" y="0"/>
                                </a:lnTo>
                                <a:lnTo>
                                  <a:pt x="110681" y="3046"/>
                                </a:lnTo>
                                <a:cubicBezTo>
                                  <a:pt x="95449" y="3046"/>
                                  <a:pt x="87326" y="11168"/>
                                  <a:pt x="87326" y="26397"/>
                                </a:cubicBezTo>
                                <a:lnTo>
                                  <a:pt x="88342" y="99495"/>
                                </a:lnTo>
                                <a:lnTo>
                                  <a:pt x="230500" y="18275"/>
                                </a:lnTo>
                                <a:cubicBezTo>
                                  <a:pt x="242685" y="11168"/>
                                  <a:pt x="235577" y="3046"/>
                                  <a:pt x="227454" y="3046"/>
                                </a:cubicBezTo>
                                <a:lnTo>
                                  <a:pt x="227454" y="1"/>
                                </a:lnTo>
                                <a:lnTo>
                                  <a:pt x="328995" y="1"/>
                                </a:lnTo>
                                <a:lnTo>
                                  <a:pt x="328995" y="3046"/>
                                </a:lnTo>
                                <a:cubicBezTo>
                                  <a:pt x="312749" y="5077"/>
                                  <a:pt x="294471" y="14215"/>
                                  <a:pt x="281271" y="22337"/>
                                </a:cubicBezTo>
                                <a:lnTo>
                                  <a:pt x="153328" y="94419"/>
                                </a:lnTo>
                                <a:lnTo>
                                  <a:pt x="302595" y="209143"/>
                                </a:lnTo>
                                <a:cubicBezTo>
                                  <a:pt x="313764" y="217264"/>
                                  <a:pt x="323919" y="225386"/>
                                  <a:pt x="336104" y="227416"/>
                                </a:cubicBezTo>
                                <a:lnTo>
                                  <a:pt x="336104" y="230463"/>
                                </a:lnTo>
                                <a:lnTo>
                                  <a:pt x="233546" y="230463"/>
                                </a:lnTo>
                                <a:lnTo>
                                  <a:pt x="87326" y="113709"/>
                                </a:lnTo>
                                <a:lnTo>
                                  <a:pt x="87326" y="203050"/>
                                </a:lnTo>
                                <a:cubicBezTo>
                                  <a:pt x="87326" y="218279"/>
                                  <a:pt x="95449" y="226402"/>
                                  <a:pt x="110681" y="226402"/>
                                </a:cubicBezTo>
                                <a:lnTo>
                                  <a:pt x="110681" y="229447"/>
                                </a:lnTo>
                                <a:lnTo>
                                  <a:pt x="0" y="229447"/>
                                </a:lnTo>
                                <a:lnTo>
                                  <a:pt x="0" y="226402"/>
                                </a:lnTo>
                                <a:cubicBezTo>
                                  <a:pt x="15231" y="226402"/>
                                  <a:pt x="23355" y="218279"/>
                                  <a:pt x="23355" y="203050"/>
                                </a:cubicBezTo>
                                <a:lnTo>
                                  <a:pt x="23355" y="26397"/>
                                </a:lnTo>
                                <a:cubicBezTo>
                                  <a:pt x="23355" y="11168"/>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116756"/>
                            <a:ext cx="158913" cy="229446"/>
                          </a:xfrm>
                          <a:custGeom>
                            <a:avLst/>
                            <a:gdLst/>
                            <a:ahLst/>
                            <a:cxnLst/>
                            <a:rect l="0" t="0" r="0" b="0"/>
                            <a:pathLst>
                              <a:path w="158913" h="229446">
                                <a:moveTo>
                                  <a:pt x="0" y="0"/>
                                </a:moveTo>
                                <a:lnTo>
                                  <a:pt x="158913" y="0"/>
                                </a:lnTo>
                                <a:lnTo>
                                  <a:pt x="158913" y="25007"/>
                                </a:lnTo>
                                <a:lnTo>
                                  <a:pt x="143174" y="24364"/>
                                </a:lnTo>
                                <a:cubicBezTo>
                                  <a:pt x="126927" y="24364"/>
                                  <a:pt x="107635" y="25379"/>
                                  <a:pt x="86311" y="27411"/>
                                </a:cubicBezTo>
                                <a:lnTo>
                                  <a:pt x="86311" y="95432"/>
                                </a:lnTo>
                                <a:cubicBezTo>
                                  <a:pt x="86311" y="95432"/>
                                  <a:pt x="108650" y="96447"/>
                                  <a:pt x="123881" y="96447"/>
                                </a:cubicBezTo>
                                <a:cubicBezTo>
                                  <a:pt x="133401" y="96320"/>
                                  <a:pt x="142016" y="96066"/>
                                  <a:pt x="149804" y="95668"/>
                                </a:cubicBezTo>
                                <a:lnTo>
                                  <a:pt x="158913" y="94952"/>
                                </a:lnTo>
                                <a:lnTo>
                                  <a:pt x="158913" y="121151"/>
                                </a:lnTo>
                                <a:lnTo>
                                  <a:pt x="135558" y="120464"/>
                                </a:lnTo>
                                <a:cubicBezTo>
                                  <a:pt x="118994" y="120750"/>
                                  <a:pt x="102050" y="121828"/>
                                  <a:pt x="86311" y="122844"/>
                                </a:cubicBezTo>
                                <a:lnTo>
                                  <a:pt x="86311" y="184773"/>
                                </a:lnTo>
                                <a:cubicBezTo>
                                  <a:pt x="86311" y="192895"/>
                                  <a:pt x="96465" y="202033"/>
                                  <a:pt x="109665" y="202033"/>
                                </a:cubicBezTo>
                                <a:cubicBezTo>
                                  <a:pt x="123881" y="203048"/>
                                  <a:pt x="158405" y="203048"/>
                                  <a:pt x="158405" y="203048"/>
                                </a:cubicBezTo>
                                <a:lnTo>
                                  <a:pt x="158913" y="203021"/>
                                </a:lnTo>
                                <a:lnTo>
                                  <a:pt x="158913" y="229446"/>
                                </a:lnTo>
                                <a:lnTo>
                                  <a:pt x="0" y="229446"/>
                                </a:lnTo>
                                <a:lnTo>
                                  <a:pt x="0" y="226399"/>
                                </a:lnTo>
                                <a:cubicBezTo>
                                  <a:pt x="15231" y="226399"/>
                                  <a:pt x="23355" y="218278"/>
                                  <a:pt x="23355" y="203049"/>
                                </a:cubicBezTo>
                                <a:lnTo>
                                  <a:pt x="23355" y="26396"/>
                                </a:lnTo>
                                <a:cubicBezTo>
                                  <a:pt x="23355" y="11166"/>
                                  <a:pt x="15231" y="3045"/>
                                  <a:pt x="0" y="304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116756"/>
                            <a:ext cx="141651" cy="229446"/>
                          </a:xfrm>
                          <a:custGeom>
                            <a:avLst/>
                            <a:gdLst/>
                            <a:ahLst/>
                            <a:cxnLst/>
                            <a:rect l="0" t="0" r="0" b="0"/>
                            <a:pathLst>
                              <a:path w="141651" h="229446">
                                <a:moveTo>
                                  <a:pt x="0" y="0"/>
                                </a:moveTo>
                                <a:lnTo>
                                  <a:pt x="24878" y="0"/>
                                </a:lnTo>
                                <a:cubicBezTo>
                                  <a:pt x="101034" y="0"/>
                                  <a:pt x="127435" y="24365"/>
                                  <a:pt x="127435" y="52791"/>
                                </a:cubicBezTo>
                                <a:cubicBezTo>
                                  <a:pt x="127435" y="91371"/>
                                  <a:pt x="86819" y="104570"/>
                                  <a:pt x="48233" y="107616"/>
                                </a:cubicBezTo>
                                <a:cubicBezTo>
                                  <a:pt x="88849" y="107615"/>
                                  <a:pt x="141651" y="120813"/>
                                  <a:pt x="141651" y="163454"/>
                                </a:cubicBezTo>
                                <a:cubicBezTo>
                                  <a:pt x="141651" y="203049"/>
                                  <a:pt x="104080" y="228430"/>
                                  <a:pt x="14724" y="229446"/>
                                </a:cubicBezTo>
                                <a:lnTo>
                                  <a:pt x="0" y="229446"/>
                                </a:lnTo>
                                <a:lnTo>
                                  <a:pt x="0" y="203021"/>
                                </a:lnTo>
                                <a:lnTo>
                                  <a:pt x="24624" y="201700"/>
                                </a:lnTo>
                                <a:cubicBezTo>
                                  <a:pt x="49755" y="198606"/>
                                  <a:pt x="72602" y="189088"/>
                                  <a:pt x="72602" y="162438"/>
                                </a:cubicBezTo>
                                <a:cubicBezTo>
                                  <a:pt x="72602" y="135027"/>
                                  <a:pt x="46578" y="124640"/>
                                  <a:pt x="12603" y="121521"/>
                                </a:cubicBezTo>
                                <a:lnTo>
                                  <a:pt x="0" y="121151"/>
                                </a:lnTo>
                                <a:lnTo>
                                  <a:pt x="0" y="94952"/>
                                </a:lnTo>
                                <a:lnTo>
                                  <a:pt x="11852" y="94020"/>
                                </a:lnTo>
                                <a:cubicBezTo>
                                  <a:pt x="49121" y="89784"/>
                                  <a:pt x="59402" y="79695"/>
                                  <a:pt x="59402" y="59898"/>
                                </a:cubicBezTo>
                                <a:cubicBezTo>
                                  <a:pt x="59402" y="36293"/>
                                  <a:pt x="38269" y="28108"/>
                                  <a:pt x="11852" y="25491"/>
                                </a:cubicBezTo>
                                <a:lnTo>
                                  <a:pt x="0" y="250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4" name="Shape 86874"/>
                        <wps:cNvSpPr/>
                        <wps:spPr>
                          <a:xfrm>
                            <a:off x="0" y="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86875" name="Shape 86875"/>
                        <wps:cNvSpPr/>
                        <wps:spPr>
                          <a:xfrm>
                            <a:off x="0" y="23046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6" name="Shape 86876"/>
                        <wps:cNvSpPr/>
                        <wps:spPr>
                          <a:xfrm>
                            <a:off x="97480" y="23046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6DF4235" id="Group 56192" o:spid="_x0000_s1026" style="position:absolute;margin-left:93.25pt;margin-top:657.1pt;width:101.7pt;height:36.3pt;z-index:251658240;mso-position-horizontal-relative:page;mso-position-vertical-relative:page" coordsize="12916,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">
                <v:shape id="Shape 6" o:spid="_x0000_s1027" style="position:absolute;left:6204;top:1157;width:3361;height:2305;visibility:visible;mso-wrap-style:square;v-text-anchor:top" coordsize="336104,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path="m,l110681,r,3046c95449,3046,87326,11168,87326,26397r1016,73098l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path arrowok="t" textboxrect="0,0,336104,230463"/>
                </v:shape>
                <v:shape id="Shape 7" o:spid="_x0000_s1028" style="position:absolute;left:9910;top:1167;width:1589;height:2295;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path arrowok="t" textboxrect="0,0,158913,229446"/>
                </v:shape>
                <v:shape id="Shape 8" o:spid="_x0000_s1029" style="position:absolute;left:11499;top:1167;width:1417;height:2295;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path arrowok="t" textboxrect="0,0,141651,229446"/>
                </v:shape>
                <v:shape id="Shape 86874" o:spid="_x0000_s1030" style="position:absolute;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lFccA&#10;AADeAAAADwAAAGRycy9kb3ducmV2LnhtbESPQWvCQBSE74L/YXmF3nTTIjFEV9FKQaQitRU8PrLP&#10;JJh9G7Nrkv77bkHocZiZb5j5sjeVaKlxpWUFL+MIBHFmdcm5gu+v91ECwnlkjZVlUvBDDpaL4WCO&#10;qbYdf1J79LkIEHYpKii8r1MpXVaQQTe2NXHwLrYx6INscqkb7ALcVPI1imJpsOSwUGBNbwVl1+Pd&#10;KNjvOmzr6XZyiM+n9Sa5ftxw5ZR6fupXMxCeev8ffrS3WkESJ9MJ/N0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x5RXHAAAA3gAAAA8AAAAAAAAAAAAAAAAAmAIAAGRy&#10;cy9kb3ducmV2LnhtbFBLBQYAAAAABAAEAPUAAACMAwAAAAA=&#10;" path="m,l461000,r,234524l,234524,,e" fillcolor="#c03" stroked="f" strokeweight="0">
                  <v:stroke miterlimit="83231f" joinstyle="miter"/>
                  <v:path arrowok="t" textboxrect="0,0,461000,234524"/>
                </v:shape>
                <v:shape id="Shape 86875" o:spid="_x0000_s1031" style="position:absolute;top:2304;width:4610;height:2305;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uDMYA&#10;AADeAAAADwAAAGRycy9kb3ducmV2LnhtbESPQWvCQBSE70L/w/IK3nS3AW1IXUWFFi8eGkvp8ZF9&#10;zQazb0N2o/Hfu0Khx2FmvmFWm9G14kJ9aDxreJkrEMSVNw3XGr5O77McRIjIBlvPpOFGATbrp8kK&#10;C+Ov/EmXMtYiQTgUqMHG2BVShsqSwzD3HXHyfn3vMCbZ19L0eE1w18pMqaV02HBasNjR3lJ1Lgen&#10;we04P6tyf6iyITuqn+FjZ7ffWk+fx+0biEhj/A//tQ9GQ77MXxfwuJOu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8uDMYAAADeAAAADwAAAAAAAAAAAAAAAACYAgAAZHJz&#10;L2Rvd25yZXYueG1sUEsFBgAAAAAEAAQA9QAAAIsDAAAAAA==&#10;" path="m,l461000,r,230463l,230463,,e" fillcolor="black" stroked="f" strokeweight="0">
                  <v:stroke miterlimit="83231f" joinstyle="miter"/>
                  <v:path arrowok="t" textboxrect="0,0,461000,230463"/>
                </v:shape>
                <v:shape id="Shape 86876" o:spid="_x0000_s1032" style="position:absolute;left:974;top:2304;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wccA&#10;AADeAAAADwAAAGRycy9kb3ducmV2LnhtbESPT2vCQBTE7wW/w/IEb3VjwRiiq2ip0JOg1oO3Z/bl&#10;j2bfhuw2pv30XUHocZiZ3zCLVW9q0VHrKssKJuMIBHFmdcWFgq/j9jUB4TyyxtoyKfghB6vl4GWB&#10;qbZ33lN38IUIEHYpKii9b1IpXVaSQTe2DXHwctsa9EG2hdQt3gPc1PItimJpsOKwUGJD7yVlt8O3&#10;UbDZ/s4ufN1Vu/30yPmpuJ27/EOp0bBfz0F46v1/+Nn+1AqSOJnF8LgTr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v7cHHAAAA3gAAAA8AAAAAAAAAAAAAAAAAmAIAAGRy&#10;cy9kb3ducmV2LnhtbFBLBQYAAAAABAAEAPUAAACMAwAAAAA=&#10;" path="m,l264009,r,22336l,22336,,e" stroked="f" strokeweight="0">
                  <v:stroke miterlimit="83231f" joinstyle="miter"/>
                  <v:path arrowok="t" textboxrect="0,0,264009,22336"/>
                </v:shape>
                <w10:wrap type="topAndBottom" anchorx="page" anchory="page"/>
              </v:group>
            </w:pict>
          </mc:Fallback>
        </mc:AlternateContent>
      </w:r>
      <w:r>
        <w:rPr>
          <w:rFonts w:ascii="Tahoma" w:eastAsia="Tahoma" w:hAnsi="Tahoma" w:cs="Tahoma"/>
          <w:sz w:val="19"/>
        </w:rPr>
        <w:t xml:space="preserve">  </w:t>
      </w:r>
    </w:p>
    <w:p w:rsidR="005D4C6F" w:rsidRDefault="00F86A01">
      <w:pPr>
        <w:spacing w:after="703" w:line="259" w:lineRule="auto"/>
        <w:ind w:left="1185" w:firstLine="0"/>
      </w:pPr>
      <w:r>
        <w:rPr>
          <w:rFonts w:ascii="Calibri" w:eastAsia="Calibri" w:hAnsi="Calibri" w:cs="Calibri"/>
          <w:noProof/>
          <w:sz w:val="22"/>
        </w:rPr>
        <mc:AlternateContent>
          <mc:Choice Requires="wpg">
            <w:drawing>
              <wp:inline distT="0" distB="0" distL="0" distR="0">
                <wp:extent cx="5127860" cy="643670"/>
                <wp:effectExtent l="0" t="0" r="0" b="0"/>
                <wp:docPr id="56194" name="Group 56194"/>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12" name="Shape 12"/>
                        <wps:cNvSpPr/>
                        <wps:spPr>
                          <a:xfrm>
                            <a:off x="4666860" y="146196"/>
                            <a:ext cx="227962" cy="488336"/>
                          </a:xfrm>
                          <a:custGeom>
                            <a:avLst/>
                            <a:gdLst/>
                            <a:ahLst/>
                            <a:cxnLst/>
                            <a:rect l="0" t="0" r="0" b="0"/>
                            <a:pathLst>
                              <a:path w="227962" h="488336">
                                <a:moveTo>
                                  <a:pt x="1015" y="0"/>
                                </a:moveTo>
                                <a:lnTo>
                                  <a:pt x="227962" y="0"/>
                                </a:lnTo>
                                <a:lnTo>
                                  <a:pt x="227962" y="121831"/>
                                </a:lnTo>
                                <a:lnTo>
                                  <a:pt x="160436" y="121831"/>
                                </a:lnTo>
                                <a:lnTo>
                                  <a:pt x="160436" y="190867"/>
                                </a:lnTo>
                                <a:lnTo>
                                  <a:pt x="227962" y="189916"/>
                                </a:lnTo>
                                <a:lnTo>
                                  <a:pt x="227962" y="291377"/>
                                </a:lnTo>
                                <a:lnTo>
                                  <a:pt x="160436" y="291377"/>
                                </a:lnTo>
                                <a:lnTo>
                                  <a:pt x="160436" y="364475"/>
                                </a:lnTo>
                                <a:lnTo>
                                  <a:pt x="227962" y="363632"/>
                                </a:lnTo>
                                <a:lnTo>
                                  <a:pt x="227962" y="488336"/>
                                </a:lnTo>
                                <a:lnTo>
                                  <a:pt x="0" y="488336"/>
                                </a:lnTo>
                                <a:lnTo>
                                  <a:pt x="1015"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3" name="Shape 1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4" name="Shape 1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632"/>
                                </a:lnTo>
                                <a:lnTo>
                                  <a:pt x="13708" y="363460"/>
                                </a:lnTo>
                                <a:cubicBezTo>
                                  <a:pt x="49247" y="363460"/>
                                  <a:pt x="67525" y="349246"/>
                                  <a:pt x="67525" y="327927"/>
                                </a:cubicBezTo>
                                <a:lnTo>
                                  <a:pt x="67525" y="326911"/>
                                </a:lnTo>
                                <a:cubicBezTo>
                                  <a:pt x="67525" y="305591"/>
                                  <a:pt x="50263" y="291377"/>
                                  <a:pt x="14723" y="291377"/>
                                </a:cubicBezTo>
                                <a:lnTo>
                                  <a:pt x="0" y="291377"/>
                                </a:lnTo>
                                <a:lnTo>
                                  <a:pt x="0" y="189916"/>
                                </a:lnTo>
                                <a:lnTo>
                                  <a:pt x="4569" y="189852"/>
                                </a:lnTo>
                                <a:cubicBezTo>
                                  <a:pt x="39093" y="189852"/>
                                  <a:pt x="56355" y="177669"/>
                                  <a:pt x="56355" y="156348"/>
                                </a:cubicBezTo>
                                <a:lnTo>
                                  <a:pt x="56355" y="155333"/>
                                </a:lnTo>
                                <a:cubicBezTo>
                                  <a:pt x="56355" y="134013"/>
                                  <a:pt x="39093" y="121831"/>
                                  <a:pt x="3554" y="121831"/>
                                </a:cubicBezTo>
                                <a:lnTo>
                                  <a:pt x="0" y="121831"/>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15" name="Shape 1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0"/>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86684" y="146196"/>
                            <a:ext cx="227961" cy="488336"/>
                          </a:xfrm>
                          <a:custGeom>
                            <a:avLst/>
                            <a:gdLst/>
                            <a:ahLst/>
                            <a:cxnLst/>
                            <a:rect l="0" t="0" r="0" b="0"/>
                            <a:pathLst>
                              <a:path w="227961" h="488336">
                                <a:moveTo>
                                  <a:pt x="1015" y="0"/>
                                </a:moveTo>
                                <a:lnTo>
                                  <a:pt x="227961" y="0"/>
                                </a:lnTo>
                                <a:lnTo>
                                  <a:pt x="227961" y="121831"/>
                                </a:lnTo>
                                <a:lnTo>
                                  <a:pt x="160436" y="121831"/>
                                </a:lnTo>
                                <a:lnTo>
                                  <a:pt x="160436" y="190867"/>
                                </a:lnTo>
                                <a:lnTo>
                                  <a:pt x="227961" y="189916"/>
                                </a:lnTo>
                                <a:lnTo>
                                  <a:pt x="227961" y="291377"/>
                                </a:lnTo>
                                <a:lnTo>
                                  <a:pt x="160436" y="291377"/>
                                </a:lnTo>
                                <a:lnTo>
                                  <a:pt x="160436" y="364475"/>
                                </a:lnTo>
                                <a:lnTo>
                                  <a:pt x="227961" y="363632"/>
                                </a:lnTo>
                                <a:lnTo>
                                  <a:pt x="227961" y="488336"/>
                                </a:lnTo>
                                <a:lnTo>
                                  <a:pt x="0" y="488336"/>
                                </a:lnTo>
                                <a:lnTo>
                                  <a:pt x="10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632"/>
                                </a:lnTo>
                                <a:lnTo>
                                  <a:pt x="13708" y="363460"/>
                                </a:lnTo>
                                <a:cubicBezTo>
                                  <a:pt x="49248" y="363460"/>
                                  <a:pt x="67525" y="349246"/>
                                  <a:pt x="67525" y="327927"/>
                                </a:cubicBezTo>
                                <a:lnTo>
                                  <a:pt x="67525" y="326911"/>
                                </a:lnTo>
                                <a:cubicBezTo>
                                  <a:pt x="67525" y="305591"/>
                                  <a:pt x="50263" y="291377"/>
                                  <a:pt x="14724" y="291377"/>
                                </a:cubicBezTo>
                                <a:lnTo>
                                  <a:pt x="0" y="291377"/>
                                </a:lnTo>
                                <a:lnTo>
                                  <a:pt x="0" y="189916"/>
                                </a:lnTo>
                                <a:lnTo>
                                  <a:pt x="4569" y="189852"/>
                                </a:lnTo>
                                <a:cubicBezTo>
                                  <a:pt x="39093" y="189852"/>
                                  <a:pt x="56355" y="177669"/>
                                  <a:pt x="56355" y="156348"/>
                                </a:cubicBezTo>
                                <a:lnTo>
                                  <a:pt x="56355" y="155333"/>
                                </a:lnTo>
                                <a:cubicBezTo>
                                  <a:pt x="56355" y="134013"/>
                                  <a:pt x="38078" y="121831"/>
                                  <a:pt x="3554" y="121831"/>
                                </a:cubicBezTo>
                                <a:lnTo>
                                  <a:pt x="0" y="121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77" name="Shape 86877"/>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6D6D6" id="Group 56194"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">
                <v:shape id="Shape 12" o:spid="_x0000_s1027" style="position:absolute;left:46668;top:1461;width:2280;height:4884;visibility:visible;mso-wrap-style:square;v-text-anchor:top" coordsize="227962,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jb8EA&#10;AADbAAAADwAAAGRycy9kb3ducmV2LnhtbERP24rCMBB9X/Afwiz4sqypPixSTcUriqBg3Q8YmumF&#10;bSalibX+vVkQfJvDuc580ZtadNS6yrKC8SgCQZxZXXGh4Pe6+56CcB5ZY22ZFDzIwSIZfMwx1vbO&#10;F+pSX4gQwi5GBaX3TSyly0oy6Ea2IQ5cbluDPsC2kLrFewg3tZxE0Y80WHFoKLGhdUnZX3ozCs7b&#10;/fa4PHZpXqwOm6/9Cjf6hEoNP/vlDISn3r/FL/dBh/kT+P8lHC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TI2/BAAAA2wAAAA8AAAAAAAAAAAAAAAAAmAIAAGRycy9kb3du&#10;cmV2LnhtbFBLBQYAAAAABAAEAPUAAACGAwAAAAA=&#10;" path="m1015,l227962,r,121831l160436,121831r,69036l227962,189916r,101461l160436,291377r,73098l227962,363632r,124704l,488336,1015,xe" fillcolor="#c03" stroked="f" strokeweight="0">
                  <v:stroke miterlimit="83231f" joinstyle="miter"/>
                  <v:path arrowok="t" textboxrect="0,0,227962,488336"/>
                </v:shape>
                <v:shape id="Shape 1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x3wb4A&#10;AADbAAAADwAAAGRycy9kb3ducmV2LnhtbERPTYvCMBC9L/gfwgje1lRdRKtRVOri1Sp4HZqxLTaT&#10;0sRa/70RBG/zeJ+zXHemEi01rrSsYDSMQBBnVpecKzif9r8zEM4ja6wsk4InOVivej9LjLV98JHa&#10;1OcihLCLUUHhfR1L6bKCDLqhrYkDd7WNQR9gk0vd4COEm0qOo2gqDZYcGgqsaVdQdkvvRoFLkhZ1&#10;NTr8X6bpXyQvu3myTZUa9LvNAoSnzn/FH/dBh/kTeP8SD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Md8G+AAAA2wAAAA8AAAAAAAAAAAAAAAAAmAIAAGRycy9kb3ducmV2&#10;LnhtbFBLBQYAAAAABAAEAPUAAACDAwAAAAA=&#10;" path="m,l163483,r,183761l302595,,493493,,322903,213203,497555,490367r-195975,l205115,335033r-41632,50763l163483,490367,,490367,,xe" fillcolor="#c03" stroked="f" strokeweight="0">
                  <v:stroke miterlimit="83231f" joinstyle="miter"/>
                  <v:path arrowok="t" textboxrect="0,0,497555,490367"/>
                </v:shape>
                <v:shape id="Shape 1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OLsAA&#10;AADbAAAADwAAAGRycy9kb3ducmV2LnhtbERPS4vCMBC+L/gfwgjeNFVEpWsUFQqynnyA17GZbbrb&#10;TGoTtfvvjSDsbT6+58yXra3EnRpfOlYwHCQgiHOnSy4UnI5ZfwbCB2SNlWNS8EcelovOxxxT7R68&#10;p/shFCKGsE9RgQmhTqX0uSGLfuBq4sh9u8ZiiLAppG7wEcNtJUdJMpEWS44NBmvaGMp/DzerIP9Z&#10;bZy7+uLrYkw2W2e7aX2+KNXrtqtPEIHa8C9+u7c6zh/D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gOLsAAAADbAAAADwAAAAAAAAAAAAAAAACYAgAAZHJzL2Rvd25y&#10;ZXYueG1sUEsFBgAAAAAEAAQA9QAAAIUDAAAAAA==&#10;" path="m,l47216,v68033,,110681,15229,139112,43656c204606,60915,216791,86296,216791,119800r,1015c216791,178684,182267,214218,129465,232493v62956,18274,103573,51777,103573,118784l233038,352292v,78175,-64987,136044,-188867,136044l,488336,,363632r13708,-172c49247,363460,67525,349246,67525,327927r,-1016c67525,305591,50263,291377,14723,291377l,291377,,189916r4569,-64c39093,189852,56355,177669,56355,156348r,-1015c56355,134013,39093,121831,3554,121831r-3554,l,xe" fillcolor="#c03" stroked="f" strokeweight="0">
                  <v:stroke miterlimit="83231f" joinstyle="miter"/>
                  <v:path arrowok="t" textboxrect="0,0,233038,488336"/>
                </v:shape>
                <v:shape id="Shape 1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ZpsIA&#10;AADbAAAADwAAAGRycy9kb3ducmV2LnhtbERPTWvCQBC9C/0PyxS86aaCraauIQQEr5qC9TbNTpO0&#10;2dmwu9Hor+8WCr3N433OJhtNJy7kfGtZwdM8AUFcWd1yreCt3M1WIHxA1thZJgU38pBtHyYbTLW9&#10;8oEux1CLGMI+RQVNCH0qpa8aMujntieO3Kd1BkOErpba4TWGm04ukuRZGmw5NjTYU9FQ9X0cjIKD&#10;ezkPuizP+6+7PBWn99qtP3Klpo9j/goi0Bj+xX/uvY7zl/D7Szx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mmwgAAANsAAAAPAAAAAAAAAAAAAAAAAJgCAABkcnMvZG93&#10;bnJldi54bWxQSwUGAAAAAAQABAD1AAAAhwMAAAAA&#10;" path="m207145,r80218,l287363,192899,242685,311682r44678,l287363,427421r-86310,l175667,493413,,493413,207145,xe" fillcolor="black" stroked="f" strokeweight="0">
                  <v:stroke miterlimit="83231f" joinstyle="miter"/>
                  <v:path arrowok="t" textboxrect="0,0,287363,493413"/>
                </v:shape>
                <v:shape id="Shape 1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DZ8EA&#10;AADbAAAADwAAAGRycy9kb3ducmV2LnhtbERP22rCQBB9L/gPywh9qxtbKhLdBBEKCi20Kj4P2THX&#10;nY3ZNSZ/3y0UfJvDuc46HUwjeupcaVnBfBaBIM6sLjlXcDp+vCxBOI+ssbFMCkZykCaTpzXG2t75&#10;h/qDz0UIYRejgsL7NpbSZQUZdDPbEgfuYjuDPsAul7rDewg3jXyNooU0WHJoKLClbUFZfbgZBXV/&#10;NW/l/Gv8/HbV+f20r/ZjXSn1PB02KxCeBv8Q/7t3OsxfwN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pw2fBAAAA2wAAAA8AAAAAAAAAAAAAAAAAmAIAAGRycy9kb3du&#10;cmV2LnhtbFBLBQYAAAAABAAEAPUAAACGAw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path arrowok="t" textboxrect="0,0,467092,507627"/>
                </v:shape>
                <v:shape id="Shape 17" o:spid="_x0000_s1032" style="position:absolute;left:20866;top:1461;width:2280;height:4884;visibility:visible;mso-wrap-style:square;v-text-anchor:top" coordsize="227961,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Ym4MAA&#10;AADbAAAADwAAAGRycy9kb3ducmV2LnhtbERPTYvCMBC9C/sfwgh701RhdalGkQWlsCerFPY2NGNb&#10;bSalibXrrzeC4G0e73OW697UoqPWVZYVTMYRCOLc6ooLBcfDdvQNwnlkjbVlUvBPDtarj8ESY21v&#10;vKcu9YUIIexiVFB638RSurwkg25sG+LAnWxr0AfYFlK3eAvhppbTKJpJgxWHhhIb+ikpv6RXo+Cv&#10;O2XJOc1++f413WVum2g8WKU+h/1mAcJT79/ilzvRYf4c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Ym4MAAAADbAAAADwAAAAAAAAAAAAAAAACYAgAAZHJzL2Rvd25y&#10;ZXYueG1sUEsFBgAAAAAEAAQA9QAAAIUDAAAAAA==&#10;" path="m1015,l227961,r,121831l160436,121831r,69036l227961,189916r,101461l160436,291377r,73098l227961,363632r,124704l,488336,1015,xe" fillcolor="black" stroked="f" strokeweight="0">
                  <v:stroke miterlimit="83231f" joinstyle="miter"/>
                  <v:path arrowok="t" textboxrect="0,0,227961,488336"/>
                </v:shape>
                <v:shape id="Shape 1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ORsQA&#10;AADbAAAADwAAAGRycy9kb3ducmV2LnhtbESPQWvCQBCF74X+h2UKvdWNQlWiq1hBKD3VROx1mh2z&#10;odnZkN2a9N93DoK3Gd6b975Zb0ffqiv1sQlsYDrJQBFXwTZcGziVh5clqJiQLbaBycAfRdhuHh/W&#10;mNsw8JGuRaqVhHDM0YBLqcu1jpUjj3ESOmLRLqH3mGTta217HCTct3qWZXPtsWFpcNjR3lH1U/x6&#10;A5/Hj6FcLuxsdx7cufj6fp1Wb50xz0/jbgUq0Zju5tv1uxV8gZVfZ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3TkbEAAAA2wAAAA8AAAAAAAAAAAAAAAAAmAIAAGRycy9k&#10;b3ducmV2LnhtbFBLBQYAAAAABAAEAPUAAACJAwAAAAA=&#10;" path="m,l418352,r,135029l160436,135029r,49748l400075,184777r,118783l160436,303560r,52793l421398,356353r,134014l,490367,,xe" fillcolor="black" stroked="f" strokeweight="0">
                  <v:stroke miterlimit="83231f" joinstyle="miter"/>
                  <v:path arrowok="t" textboxrect="0,0,421398,490367"/>
                </v:shape>
                <v:shape id="Shape 1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uHu8MA&#10;AADbAAAADwAAAGRycy9kb3ducmV2LnhtbERPTWvCQBC9F/oflin0Zjb1UG3qKqUgKD0ZBfE2ZqfZ&#10;tNnZmF2T1F/vCkJv83ifM1sMthYdtb5yrOAlSUEQF05XXCrYbZejKQgfkDXWjknBH3lYzB8fZphp&#10;1/OGujyUIoawz1CBCaHJpPSFIYs+cQ1x5L5dazFE2JZSt9jHcFvLcZq+SosVxwaDDX0aKn7zs1Vw&#10;Olz2xh98d9bH4/pr0v9043yr1PPT8PEOItAQ/sV390rH+W9w+yUe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uHu8MAAADbAAAADwAAAAAAAAAAAAAAAACYAgAAZHJzL2Rv&#10;d25yZXYueG1sUEsFBgAAAAAEAAQA9QAAAIgDAAAAAA==&#10;" path="m9139,l457953,r,115739l235577,356353r222376,l457953,490367,,490367,,374628,222377,134013r-213238,l9139,xe" fillcolor="black" stroked="f" strokeweight="0">
                  <v:stroke miterlimit="83231f" joinstyle="miter"/>
                  <v:path arrowok="t" textboxrect="0,0,457953,490367"/>
                </v:shape>
                <v:shape id="Shape 2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5UcIA&#10;AADbAAAADwAAAGRycy9kb3ducmV2LnhtbERPS0vDQBC+C/0Pywheit1YbJXYbQmCUhBKH+J5zI5J&#10;bHY2Zrfp+u+dQ8Hjx/derJJr1UB9aDwbuJtkoIhLbxuuDLwfXm4fQYWIbLH1TAZ+KcBqObpaYG79&#10;mXc07GOlJIRDjgbqGLtc61DW5DBMfEcs3JfvHUaBfaVtj2cJd62eZtlcO2xYGmrs6Lmm8rg/OQNv&#10;KUVKP8P9dzV+sJ/F7GO7KV6NublOxRMo4eK/+OJeWwNTWS9f5A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HDlR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2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fZcIA&#10;AADbAAAADwAAAGRycy9kb3ducmV2LnhtbESPQWsCMRSE7wX/Q3gFbzW7HsRujSIFl9ZLqQp6fGye&#10;m6Wbl5BEXf99IxR6HGbmG2axGmwvrhRi51hBOSlAEDdOd9wqOOw3L3MQMSFr7B2TgjtFWC1HTwus&#10;tLvxN113qRUZwrFCBSYlX0kZG0MW48R54uydXbCYsgyt1AFvGW57OS2KmbTYcV4w6OndUPOzu1gF&#10;a/N1+hw2oT7W59cy4tb3NXqlxs/D+g1EoiH9h//aH1rBtITHl/w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t9lwgAAANsAAAAPAAAAAAAAAAAAAAAAAJgCAABkcnMvZG93&#10;bnJldi54bWxQSwUGAAAAAAQABAD1AAAAhwMAAAAA&#10;" path="m,l47216,v68034,,110681,15229,139113,43656c204606,60915,216791,86296,216791,119800r,1015c216791,178684,182267,214218,129465,232493v62957,18274,103573,51777,103573,118784l233038,352292v,78175,-64987,136044,-188867,136044l,488336,,363632r13708,-172c49248,363460,67525,349246,67525,327927r,-1016c67525,305591,50263,291377,14724,291377l,291377,,189916r4569,-64c39093,189852,56355,177669,56355,156348r,-1015c56355,134013,38078,121831,3554,121831r-3554,l,xe" fillcolor="black" stroked="f" strokeweight="0">
                  <v:stroke miterlimit="83231f" joinstyle="miter"/>
                  <v:path arrowok="t" textboxrect="0,0,233038,488336"/>
                </v:shape>
                <v:shape id="Shape 2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W1MMA&#10;AADbAAAADwAAAGRycy9kb3ducmV2LnhtbESPS2vDMBCE74X8B7GB3Bo5NpTiRAl5UCjk0iY55Li1&#10;NrKptTKW/Pr3VaHQ4zAz3zCb3Whr0VPrK8cKVssEBHHhdMVGwe369vwKwgdkjbVjUjCRh9129rTB&#10;XLuBP6m/BCMihH2OCsoQmlxKX5Rk0S9dQxy9h2sthihbI3WLQ4TbWqZJ8iItVhwXSmzoWFLxfems&#10;Au2m8+Nruh24M+b0ceTsXvlMqcV83K9BBBrDf/iv/a4VpC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W1MMAAADbAAAADwAAAAAAAAAAAAAAAACYAgAAZHJzL2Rv&#10;d25yZXYueG1sUEsFBgAAAAAEAAQA9QAAAIgDAAAAAA==&#10;" path="m,l163483,r,183761l302595,,493493,,322903,213203,497555,490367r-195975,l205115,335033r-41632,50763l163483,490367,,490367,,xe" fillcolor="black" stroked="f" strokeweight="0">
                  <v:stroke miterlimit="83231f" joinstyle="miter"/>
                  <v:path arrowok="t" textboxrect="0,0,497555,490367"/>
                </v:shape>
                <v:shape id="Shape 86877"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UgcgA&#10;AADeAAAADwAAAGRycy9kb3ducmV2LnhtbESPQUvDQBSE74L/YXmCF7GbCrYhdltKqZCDF9MW9fbI&#10;vibB7Nuw+2zTf+8KQo/DzHzDLFaj69WJQuw8G5hOMlDEtbcdNwb2u9fHHFQUZIu9ZzJwoQir5e3N&#10;Agvrz/xOp0oalSAcCzTQigyF1rFuyWGc+IE4eUcfHEqSodE24DnBXa+fsmymHXacFlocaNNS/V39&#10;OAOhl2orh+ePr8/15u2SHcuHXSiNub8b1y+ghEa5hv/bpTWQz/L5HP7upCu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31SByAAAAN4AAAAPAAAAAAAAAAAAAAAAAJgCAABk&#10;cnMvZG93bnJldi54bWxQSwUGAAAAAAQABAD1AAAAjQMAAAAA&#10;" path="m,l163482,r,490367l,490367,,e" fillcolor="black" stroked="f" strokeweight="0">
                  <v:stroke miterlimit="83231f" joinstyle="miter"/>
                  <v:path arrowok="t" textboxrect="0,0,163482,490367"/>
                </v:shape>
                <v:shape id="Shape 2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iqMIA&#10;AADbAAAADwAAAGRycy9kb3ducmV2LnhtbESPT4vCMBTE7wt+h/AEb2uqiGjXKEUsCB78C3t9NM+2&#10;u81LbaLWb28EweMwM79hZovWVOJGjSstKxj0IxDEmdUl5wpOx/R7AsJ5ZI2VZVLwIAeLeedrhrG2&#10;d97T7eBzESDsYlRQeF/HUrqsIIOub2vi4J1tY9AH2eRSN3gPcFPJYRSNpcGSw0KBNS0Lyv4PV6Pg&#10;77H5rXaj7SpNcXBNLlOTnL1Rqtdtkx8Qnlr/Cb/ba61gOIL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CKowgAAANsAAAAPAAAAAAAAAAAAAAAAAJgCAABkcnMvZG93&#10;bnJldi54bWxQSwUGAAAAAAQABAD1AAAAhwMAAAAA&#10;" path="m,l153328,,327980,216249,327980,,490447,r,490367l344227,490367,162467,263966r,226401l,490367,,xe" fillcolor="black" stroked="f" strokeweight="0">
                  <v:stroke miterlimit="83231f" joinstyle="miter"/>
                  <v:path arrowok="t" textboxrect="0,0,490447,490367"/>
                </v:shape>
                <v:shape id="Shape 2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SVcIA&#10;AADbAAAADwAAAGRycy9kb3ducmV2LnhtbESPQWsCMRSE7wX/Q3iCt5p1xaqrUaQgeCtVEY+PzXOz&#10;uHlZNuka++ubQqHHYWa+YdbbaBvRU+drxwom4wwEcel0zZWC82n/ugDhA7LGxjEpeJKH7WbwssZC&#10;uwd/Un8MlUgQ9gUqMCG0hZS+NGTRj11LnLyb6yyGJLtK6g4fCW4bmWfZm7RYc1ow2NK7ofJ+/LIK&#10;PuJynusn9d+RZ1dTX2441VKp0TDuViACxfAf/msftIJ8Br9f0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NJVwgAAANsAAAAPAAAAAAAAAAAAAAAAAJgCAABkcnMvZG93&#10;bnJldi54bWxQSwUGAAAAAAQABAD1AAAAhwMAAAAA&#10;" path="m67018,l228469,36549,116773,116754,,116754,67018,xe" fillcolor="black" stroked="f" strokeweight="0">
                  <v:stroke miterlimit="83231f" joinstyle="miter"/>
                  <v:path arrowok="t" textboxrect="0,0,228469,116754"/>
                </v:shape>
                <w10:anchorlock/>
              </v:group>
            </w:pict>
          </mc:Fallback>
        </mc:AlternateContent>
      </w:r>
    </w:p>
    <w:p w:rsidR="005D4C6F" w:rsidRDefault="00F86A01">
      <w:pPr>
        <w:spacing w:after="0" w:line="259" w:lineRule="auto"/>
        <w:ind w:left="1197" w:firstLine="0"/>
      </w:pPr>
      <w:r>
        <w:rPr>
          <w:noProof/>
        </w:rPr>
        <w:lastRenderedPageBreak/>
        <w:drawing>
          <wp:inline distT="0" distB="0" distL="0" distR="0">
            <wp:extent cx="5129784" cy="5129785"/>
            <wp:effectExtent l="0" t="0" r="0" b="0"/>
            <wp:docPr id="81095" name="Picture 81095"/>
            <wp:cNvGraphicFramePr/>
            <a:graphic xmlns:a="http://schemas.openxmlformats.org/drawingml/2006/main">
              <a:graphicData uri="http://schemas.openxmlformats.org/drawingml/2006/picture">
                <pic:pic xmlns:pic="http://schemas.openxmlformats.org/drawingml/2006/picture">
                  <pic:nvPicPr>
                    <pic:cNvPr id="81095" name="Picture 81095"/>
                    <pic:cNvPicPr/>
                  </pic:nvPicPr>
                  <pic:blipFill>
                    <a:blip r:embed="rId7"/>
                    <a:stretch>
                      <a:fillRect/>
                    </a:stretch>
                  </pic:blipFill>
                  <pic:spPr>
                    <a:xfrm>
                      <a:off x="0" y="0"/>
                      <a:ext cx="5129784" cy="5129785"/>
                    </a:xfrm>
                    <a:prstGeom prst="rect">
                      <a:avLst/>
                    </a:prstGeom>
                  </pic:spPr>
                </pic:pic>
              </a:graphicData>
            </a:graphic>
          </wp:inline>
        </w:drawing>
      </w:r>
    </w:p>
    <w:p w:rsidR="005D4C6F" w:rsidRDefault="00F86A01">
      <w:pPr>
        <w:spacing w:after="301" w:line="265" w:lineRule="auto"/>
        <w:ind w:left="10135"/>
      </w:pPr>
      <w:r>
        <w:rPr>
          <w:rFonts w:ascii="Tahoma" w:eastAsia="Tahoma" w:hAnsi="Tahoma" w:cs="Tahoma"/>
          <w:sz w:val="19"/>
        </w:rPr>
        <w:t xml:space="preserve">Obsah  </w:t>
      </w:r>
    </w:p>
    <w:p w:rsidR="005D4C6F" w:rsidRDefault="00F86A01">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extent cx="6718051" cy="4730458"/>
                <wp:effectExtent l="0" t="0" r="0" b="0"/>
                <wp:docPr id="54244" name="Group 54244"/>
                <wp:cNvGraphicFramePr/>
                <a:graphic xmlns:a="http://schemas.openxmlformats.org/drawingml/2006/main">
                  <a:graphicData uri="http://schemas.microsoft.com/office/word/2010/wordprocessingGroup">
                    <wpg:wgp>
                      <wpg:cNvGrpSpPr/>
                      <wpg:grpSpPr>
                        <a:xfrm>
                          <a:off x="0" y="0"/>
                          <a:ext cx="6718051" cy="4730458"/>
                          <a:chOff x="0" y="0"/>
                          <a:chExt cx="6718051" cy="4730458"/>
                        </a:xfrm>
                      </wpg:grpSpPr>
                      <wps:wsp>
                        <wps:cNvPr id="86878" name="Shape 86878"/>
                        <wps:cNvSpPr/>
                        <wps:spPr>
                          <a:xfrm>
                            <a:off x="0" y="31839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6879" name="Shape 86879"/>
                        <wps:cNvSpPr/>
                        <wps:spPr>
                          <a:xfrm>
                            <a:off x="0" y="74284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6880" name="Shape 86880"/>
                        <wps:cNvSpPr/>
                        <wps:spPr>
                          <a:xfrm>
                            <a:off x="0" y="160638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6881" name="Shape 86881"/>
                        <wps:cNvSpPr/>
                        <wps:spPr>
                          <a:xfrm>
                            <a:off x="0" y="236015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6882" name="Shape 86882"/>
                        <wps:cNvSpPr/>
                        <wps:spPr>
                          <a:xfrm>
                            <a:off x="0" y="3004149"/>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6883" name="Shape 86883"/>
                        <wps:cNvSpPr/>
                        <wps:spPr>
                          <a:xfrm>
                            <a:off x="0" y="3648146"/>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6884" name="Shape 86884"/>
                        <wps:cNvSpPr/>
                        <wps:spPr>
                          <a:xfrm>
                            <a:off x="0" y="440191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64" name="Rectangle 464"/>
                        <wps:cNvSpPr/>
                        <wps:spPr>
                          <a:xfrm>
                            <a:off x="0" y="0"/>
                            <a:ext cx="385850" cy="175076"/>
                          </a:xfrm>
                          <a:prstGeom prst="rect">
                            <a:avLst/>
                          </a:prstGeom>
                          <a:ln>
                            <a:noFill/>
                          </a:ln>
                        </wps:spPr>
                        <wps:txbx>
                          <w:txbxContent>
                            <w:p w:rsidR="005D4C6F" w:rsidRDefault="00F86A01">
                              <w:pPr>
                                <w:spacing w:after="160" w:line="259" w:lineRule="auto"/>
                                <w:ind w:left="0" w:firstLine="0"/>
                              </w:pPr>
                              <w:r>
                                <w:rPr>
                                  <w:b/>
                                  <w:color w:val="B22222"/>
                                  <w:sz w:val="20"/>
                                </w:rPr>
                                <w:t>Obsah</w:t>
                              </w:r>
                            </w:p>
                          </w:txbxContent>
                        </wps:txbx>
                        <wps:bodyPr horzOverflow="overflow" vert="horz" lIns="0" tIns="0" rIns="0" bIns="0" rtlCol="0">
                          <a:noAutofit/>
                        </wps:bodyPr>
                      </wps:wsp>
                      <wps:wsp>
                        <wps:cNvPr id="465" name="Rectangle 465"/>
                        <wps:cNvSpPr/>
                        <wps:spPr>
                          <a:xfrm>
                            <a:off x="0" y="197589"/>
                            <a:ext cx="858841" cy="175077"/>
                          </a:xfrm>
                          <a:prstGeom prst="rect">
                            <a:avLst/>
                          </a:prstGeom>
                          <a:ln>
                            <a:noFill/>
                          </a:ln>
                        </wps:spPr>
                        <wps:txbx>
                          <w:txbxContent>
                            <w:p w:rsidR="005D4C6F" w:rsidRDefault="00F86A01">
                              <w:pPr>
                                <w:spacing w:after="160" w:line="259" w:lineRule="auto"/>
                                <w:ind w:left="0" w:firstLine="0"/>
                              </w:pPr>
                              <w:r>
                                <w:rPr>
                                  <w:sz w:val="20"/>
                                </w:rPr>
                                <w:t>Garance kvality</w:t>
                              </w:r>
                            </w:p>
                          </w:txbxContent>
                        </wps:txbx>
                        <wps:bodyPr horzOverflow="overflow" vert="horz" lIns="0" tIns="0" rIns="0" bIns="0" rtlCol="0">
                          <a:noAutofit/>
                        </wps:bodyPr>
                      </wps:wsp>
                      <wps:wsp>
                        <wps:cNvPr id="466" name="Shape 466"/>
                        <wps:cNvSpPr/>
                        <wps:spPr>
                          <a:xfrm>
                            <a:off x="219544" y="4610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67" name="Rectangle 467"/>
                        <wps:cNvSpPr/>
                        <wps:spPr>
                          <a:xfrm>
                            <a:off x="303703" y="421015"/>
                            <a:ext cx="1584164" cy="154480"/>
                          </a:xfrm>
                          <a:prstGeom prst="rect">
                            <a:avLst/>
                          </a:prstGeom>
                          <a:ln>
                            <a:noFill/>
                          </a:ln>
                        </wps:spPr>
                        <wps:txbx>
                          <w:txbxContent>
                            <w:p w:rsidR="005D4C6F" w:rsidRDefault="00F86A01">
                              <w:pPr>
                                <w:spacing w:after="160" w:line="259" w:lineRule="auto"/>
                                <w:ind w:left="0" w:firstLine="0"/>
                              </w:pPr>
                              <w:r>
                                <w:rPr>
                                  <w:sz w:val="17"/>
                                </w:rPr>
                                <w:t>Záleží nám na Vaší spokojenosti</w:t>
                              </w:r>
                            </w:p>
                          </w:txbxContent>
                        </wps:txbx>
                        <wps:bodyPr horzOverflow="overflow" vert="horz" lIns="0" tIns="0" rIns="0" bIns="0" rtlCol="0">
                          <a:noAutofit/>
                        </wps:bodyPr>
                      </wps:wsp>
                      <wps:wsp>
                        <wps:cNvPr id="468" name="Rectangle 468"/>
                        <wps:cNvSpPr/>
                        <wps:spPr>
                          <a:xfrm>
                            <a:off x="0" y="622042"/>
                            <a:ext cx="1402816" cy="175077"/>
                          </a:xfrm>
                          <a:prstGeom prst="rect">
                            <a:avLst/>
                          </a:prstGeom>
                          <a:ln>
                            <a:noFill/>
                          </a:ln>
                        </wps:spPr>
                        <wps:txbx>
                          <w:txbxContent>
                            <w:p w:rsidR="005D4C6F" w:rsidRDefault="00F86A01">
                              <w:pPr>
                                <w:spacing w:after="160" w:line="259" w:lineRule="auto"/>
                                <w:ind w:left="0" w:firstLine="0"/>
                              </w:pPr>
                              <w:r>
                                <w:rPr>
                                  <w:sz w:val="20"/>
                                </w:rPr>
                                <w:t>Každodenní bankovnictví</w:t>
                              </w:r>
                            </w:p>
                          </w:txbxContent>
                        </wps:txbx>
                        <wps:bodyPr horzOverflow="overflow" vert="horz" lIns="0" tIns="0" rIns="0" bIns="0" rtlCol="0">
                          <a:noAutofit/>
                        </wps:bodyPr>
                      </wps:wsp>
                      <wps:wsp>
                        <wps:cNvPr id="469" name="Shape 469"/>
                        <wps:cNvSpPr/>
                        <wps:spPr>
                          <a:xfrm>
                            <a:off x="219544" y="88554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0" name="Rectangle 470"/>
                        <wps:cNvSpPr/>
                        <wps:spPr>
                          <a:xfrm>
                            <a:off x="303703" y="845466"/>
                            <a:ext cx="997694" cy="154481"/>
                          </a:xfrm>
                          <a:prstGeom prst="rect">
                            <a:avLst/>
                          </a:prstGeom>
                          <a:ln>
                            <a:noFill/>
                          </a:ln>
                        </wps:spPr>
                        <wps:txbx>
                          <w:txbxContent>
                            <w:p w:rsidR="005D4C6F" w:rsidRDefault="00F86A01">
                              <w:pPr>
                                <w:spacing w:after="160" w:line="259" w:lineRule="auto"/>
                                <w:ind w:left="0" w:firstLine="0"/>
                              </w:pPr>
                              <w:r>
                                <w:rPr>
                                  <w:sz w:val="17"/>
                                </w:rPr>
                                <w:t>Balíčky a běžné účty</w:t>
                              </w:r>
                            </w:p>
                          </w:txbxContent>
                        </wps:txbx>
                        <wps:bodyPr horzOverflow="overflow" vert="horz" lIns="0" tIns="0" rIns="0" bIns="0" rtlCol="0">
                          <a:noAutofit/>
                        </wps:bodyPr>
                      </wps:wsp>
                      <wps:wsp>
                        <wps:cNvPr id="471" name="Shape 471"/>
                        <wps:cNvSpPr/>
                        <wps:spPr>
                          <a:xfrm>
                            <a:off x="219544" y="99532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2" name="Rectangle 472"/>
                        <wps:cNvSpPr/>
                        <wps:spPr>
                          <a:xfrm>
                            <a:off x="303703" y="955239"/>
                            <a:ext cx="262843" cy="154480"/>
                          </a:xfrm>
                          <a:prstGeom prst="rect">
                            <a:avLst/>
                          </a:prstGeom>
                          <a:ln>
                            <a:noFill/>
                          </a:ln>
                        </wps:spPr>
                        <wps:txbx>
                          <w:txbxContent>
                            <w:p w:rsidR="005D4C6F" w:rsidRDefault="00F86A01">
                              <w:pPr>
                                <w:spacing w:after="160" w:line="259" w:lineRule="auto"/>
                                <w:ind w:left="0" w:firstLine="0"/>
                              </w:pPr>
                              <w:r>
                                <w:rPr>
                                  <w:sz w:val="17"/>
                                </w:rPr>
                                <w:t>Karty</w:t>
                              </w:r>
                            </w:p>
                          </w:txbxContent>
                        </wps:txbx>
                        <wps:bodyPr horzOverflow="overflow" vert="horz" lIns="0" tIns="0" rIns="0" bIns="0" rtlCol="0">
                          <a:noAutofit/>
                        </wps:bodyPr>
                      </wps:wsp>
                      <wps:wsp>
                        <wps:cNvPr id="473" name="Shape 473"/>
                        <wps:cNvSpPr/>
                        <wps:spPr>
                          <a:xfrm>
                            <a:off x="219544" y="110509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4" name="Rectangle 474"/>
                        <wps:cNvSpPr/>
                        <wps:spPr>
                          <a:xfrm>
                            <a:off x="303703" y="1065011"/>
                            <a:ext cx="951510" cy="154481"/>
                          </a:xfrm>
                          <a:prstGeom prst="rect">
                            <a:avLst/>
                          </a:prstGeom>
                          <a:ln>
                            <a:noFill/>
                          </a:ln>
                        </wps:spPr>
                        <wps:txbx>
                          <w:txbxContent>
                            <w:p w:rsidR="005D4C6F" w:rsidRDefault="00F86A01">
                              <w:pPr>
                                <w:spacing w:after="160" w:line="259" w:lineRule="auto"/>
                                <w:ind w:left="0" w:firstLine="0"/>
                              </w:pPr>
                              <w:r>
                                <w:rPr>
                                  <w:sz w:val="17"/>
                                </w:rPr>
                                <w:t>Přímé bankovnictví</w:t>
                              </w:r>
                            </w:p>
                          </w:txbxContent>
                        </wps:txbx>
                        <wps:bodyPr horzOverflow="overflow" vert="horz" lIns="0" tIns="0" rIns="0" bIns="0" rtlCol="0">
                          <a:noAutofit/>
                        </wps:bodyPr>
                      </wps:wsp>
                      <wps:wsp>
                        <wps:cNvPr id="475" name="Shape 475"/>
                        <wps:cNvSpPr/>
                        <wps:spPr>
                          <a:xfrm>
                            <a:off x="219544" y="1214865"/>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6" name="Rectangle 476"/>
                        <wps:cNvSpPr/>
                        <wps:spPr>
                          <a:xfrm>
                            <a:off x="303703" y="1174782"/>
                            <a:ext cx="634892" cy="154481"/>
                          </a:xfrm>
                          <a:prstGeom prst="rect">
                            <a:avLst/>
                          </a:prstGeom>
                          <a:ln>
                            <a:noFill/>
                          </a:ln>
                        </wps:spPr>
                        <wps:txbx>
                          <w:txbxContent>
                            <w:p w:rsidR="005D4C6F" w:rsidRDefault="00F86A01">
                              <w:pPr>
                                <w:spacing w:after="160" w:line="259" w:lineRule="auto"/>
                                <w:ind w:left="0" w:firstLine="0"/>
                              </w:pPr>
                              <w:r>
                                <w:rPr>
                                  <w:sz w:val="17"/>
                                </w:rPr>
                                <w:t>Platební styk</w:t>
                              </w:r>
                            </w:p>
                          </w:txbxContent>
                        </wps:txbx>
                        <wps:bodyPr horzOverflow="overflow" vert="horz" lIns="0" tIns="0" rIns="0" bIns="0" rtlCol="0">
                          <a:noAutofit/>
                        </wps:bodyPr>
                      </wps:wsp>
                      <wps:wsp>
                        <wps:cNvPr id="477" name="Shape 477"/>
                        <wps:cNvSpPr/>
                        <wps:spPr>
                          <a:xfrm>
                            <a:off x="219544" y="132463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78" name="Rectangle 478"/>
                        <wps:cNvSpPr/>
                        <wps:spPr>
                          <a:xfrm>
                            <a:off x="303703" y="1284555"/>
                            <a:ext cx="1033707" cy="154480"/>
                          </a:xfrm>
                          <a:prstGeom prst="rect">
                            <a:avLst/>
                          </a:prstGeom>
                          <a:ln>
                            <a:noFill/>
                          </a:ln>
                        </wps:spPr>
                        <wps:txbx>
                          <w:txbxContent>
                            <w:p w:rsidR="005D4C6F" w:rsidRDefault="00F86A01">
                              <w:pPr>
                                <w:spacing w:after="160" w:line="259" w:lineRule="auto"/>
                                <w:ind w:left="0" w:firstLine="0"/>
                              </w:pPr>
                              <w:r>
                                <w:rPr>
                                  <w:sz w:val="17"/>
                                </w:rPr>
                                <w:t>Profi pojištění plateb</w:t>
                              </w:r>
                            </w:p>
                          </w:txbxContent>
                        </wps:txbx>
                        <wps:bodyPr horzOverflow="overflow" vert="horz" lIns="0" tIns="0" rIns="0" bIns="0" rtlCol="0">
                          <a:noAutofit/>
                        </wps:bodyPr>
                      </wps:wsp>
                      <wps:wsp>
                        <wps:cNvPr id="479" name="Rectangle 479"/>
                        <wps:cNvSpPr/>
                        <wps:spPr>
                          <a:xfrm>
                            <a:off x="0" y="1485582"/>
                            <a:ext cx="672831" cy="175078"/>
                          </a:xfrm>
                          <a:prstGeom prst="rect">
                            <a:avLst/>
                          </a:prstGeom>
                          <a:ln>
                            <a:noFill/>
                          </a:ln>
                        </wps:spPr>
                        <wps:txbx>
                          <w:txbxContent>
                            <w:p w:rsidR="005D4C6F" w:rsidRDefault="00F86A01">
                              <w:pPr>
                                <w:spacing w:after="160" w:line="259" w:lineRule="auto"/>
                                <w:ind w:left="0" w:firstLine="0"/>
                              </w:pPr>
                              <w:r>
                                <w:rPr>
                                  <w:sz w:val="20"/>
                                </w:rPr>
                                <w:t>Financování</w:t>
                              </w:r>
                            </w:p>
                          </w:txbxContent>
                        </wps:txbx>
                        <wps:bodyPr horzOverflow="overflow" vert="horz" lIns="0" tIns="0" rIns="0" bIns="0" rtlCol="0">
                          <a:noAutofit/>
                        </wps:bodyPr>
                      </wps:wsp>
                      <wps:wsp>
                        <wps:cNvPr id="480" name="Shape 480"/>
                        <wps:cNvSpPr/>
                        <wps:spPr>
                          <a:xfrm>
                            <a:off x="219544" y="17490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1" name="Rectangle 481"/>
                        <wps:cNvSpPr/>
                        <wps:spPr>
                          <a:xfrm>
                            <a:off x="303703" y="1709006"/>
                            <a:ext cx="287176" cy="154481"/>
                          </a:xfrm>
                          <a:prstGeom prst="rect">
                            <a:avLst/>
                          </a:prstGeom>
                          <a:ln>
                            <a:noFill/>
                          </a:ln>
                        </wps:spPr>
                        <wps:txbx>
                          <w:txbxContent>
                            <w:p w:rsidR="005D4C6F" w:rsidRDefault="00F86A01">
                              <w:pPr>
                                <w:spacing w:after="160" w:line="259" w:lineRule="auto"/>
                                <w:ind w:left="0" w:firstLine="0"/>
                              </w:pPr>
                              <w:r>
                                <w:rPr>
                                  <w:sz w:val="17"/>
                                </w:rPr>
                                <w:t>Úvěry</w:t>
                              </w:r>
                            </w:p>
                          </w:txbxContent>
                        </wps:txbx>
                        <wps:bodyPr horzOverflow="overflow" vert="horz" lIns="0" tIns="0" rIns="0" bIns="0" rtlCol="0">
                          <a:noAutofit/>
                        </wps:bodyPr>
                      </wps:wsp>
                      <wps:wsp>
                        <wps:cNvPr id="482" name="Shape 482"/>
                        <wps:cNvSpPr/>
                        <wps:spPr>
                          <a:xfrm>
                            <a:off x="219544" y="18588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3" name="Rectangle 483"/>
                        <wps:cNvSpPr/>
                        <wps:spPr>
                          <a:xfrm>
                            <a:off x="303703" y="1818779"/>
                            <a:ext cx="345575" cy="154480"/>
                          </a:xfrm>
                          <a:prstGeom prst="rect">
                            <a:avLst/>
                          </a:prstGeom>
                          <a:ln>
                            <a:noFill/>
                          </a:ln>
                        </wps:spPr>
                        <wps:txbx>
                          <w:txbxContent>
                            <w:p w:rsidR="005D4C6F" w:rsidRDefault="00F86A01">
                              <w:pPr>
                                <w:spacing w:after="160" w:line="259" w:lineRule="auto"/>
                                <w:ind w:left="0" w:firstLine="0"/>
                              </w:pPr>
                              <w:r>
                                <w:rPr>
                                  <w:sz w:val="17"/>
                                </w:rPr>
                                <w:t>Záruky</w:t>
                              </w:r>
                            </w:p>
                          </w:txbxContent>
                        </wps:txbx>
                        <wps:bodyPr horzOverflow="overflow" vert="horz" lIns="0" tIns="0" rIns="0" bIns="0" rtlCol="0">
                          <a:noAutofit/>
                        </wps:bodyPr>
                      </wps:wsp>
                      <wps:wsp>
                        <wps:cNvPr id="484" name="Shape 484"/>
                        <wps:cNvSpPr/>
                        <wps:spPr>
                          <a:xfrm>
                            <a:off x="219544" y="196863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5" name="Rectangle 485"/>
                        <wps:cNvSpPr/>
                        <wps:spPr>
                          <a:xfrm>
                            <a:off x="303703" y="1928550"/>
                            <a:ext cx="394240" cy="154481"/>
                          </a:xfrm>
                          <a:prstGeom prst="rect">
                            <a:avLst/>
                          </a:prstGeom>
                          <a:ln>
                            <a:noFill/>
                          </a:ln>
                        </wps:spPr>
                        <wps:txbx>
                          <w:txbxContent>
                            <w:p w:rsidR="005D4C6F" w:rsidRDefault="00F86A01">
                              <w:pPr>
                                <w:spacing w:after="160" w:line="259" w:lineRule="auto"/>
                                <w:ind w:left="0" w:firstLine="0"/>
                              </w:pPr>
                              <w:r>
                                <w:rPr>
                                  <w:sz w:val="17"/>
                                </w:rPr>
                                <w:t>Směnky</w:t>
                              </w:r>
                            </w:p>
                          </w:txbxContent>
                        </wps:txbx>
                        <wps:bodyPr horzOverflow="overflow" vert="horz" lIns="0" tIns="0" rIns="0" bIns="0" rtlCol="0">
                          <a:noAutofit/>
                        </wps:bodyPr>
                      </wps:wsp>
                      <wps:wsp>
                        <wps:cNvPr id="486" name="Shape 486"/>
                        <wps:cNvSpPr/>
                        <wps:spPr>
                          <a:xfrm>
                            <a:off x="219544" y="207840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87" name="Rectangle 487"/>
                        <wps:cNvSpPr/>
                        <wps:spPr>
                          <a:xfrm>
                            <a:off x="303703" y="2038323"/>
                            <a:ext cx="1065826" cy="154480"/>
                          </a:xfrm>
                          <a:prstGeom prst="rect">
                            <a:avLst/>
                          </a:prstGeom>
                          <a:ln>
                            <a:noFill/>
                          </a:ln>
                        </wps:spPr>
                        <wps:txbx>
                          <w:txbxContent>
                            <w:p w:rsidR="005D4C6F" w:rsidRDefault="00F86A01">
                              <w:pPr>
                                <w:spacing w:after="160" w:line="259" w:lineRule="auto"/>
                                <w:ind w:left="0" w:firstLine="0"/>
                              </w:pPr>
                              <w:r>
                                <w:rPr>
                                  <w:sz w:val="17"/>
                                </w:rPr>
                                <w:t>Dokumentární platby</w:t>
                              </w:r>
                            </w:p>
                          </w:txbxContent>
                        </wps:txbx>
                        <wps:bodyPr horzOverflow="overflow" vert="horz" lIns="0" tIns="0" rIns="0" bIns="0" rtlCol="0">
                          <a:noAutofit/>
                        </wps:bodyPr>
                      </wps:wsp>
                      <wps:wsp>
                        <wps:cNvPr id="488" name="Rectangle 488"/>
                        <wps:cNvSpPr/>
                        <wps:spPr>
                          <a:xfrm>
                            <a:off x="0" y="2239350"/>
                            <a:ext cx="1050720" cy="175077"/>
                          </a:xfrm>
                          <a:prstGeom prst="rect">
                            <a:avLst/>
                          </a:prstGeom>
                          <a:ln>
                            <a:noFill/>
                          </a:ln>
                        </wps:spPr>
                        <wps:txbx>
                          <w:txbxContent>
                            <w:p w:rsidR="005D4C6F" w:rsidRDefault="00F86A01">
                              <w:pPr>
                                <w:spacing w:after="160" w:line="259" w:lineRule="auto"/>
                                <w:ind w:left="0" w:firstLine="0"/>
                              </w:pPr>
                              <w:r>
                                <w:rPr>
                                  <w:sz w:val="20"/>
                                </w:rPr>
                                <w:t>Spoření a investice</w:t>
                              </w:r>
                            </w:p>
                          </w:txbxContent>
                        </wps:txbx>
                        <wps:bodyPr horzOverflow="overflow" vert="horz" lIns="0" tIns="0" rIns="0" bIns="0" rtlCol="0">
                          <a:noAutofit/>
                        </wps:bodyPr>
                      </wps:wsp>
                      <wps:wsp>
                        <wps:cNvPr id="489" name="Shape 489"/>
                        <wps:cNvSpPr/>
                        <wps:spPr>
                          <a:xfrm>
                            <a:off x="219544" y="250285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0" name="Rectangle 490"/>
                        <wps:cNvSpPr/>
                        <wps:spPr>
                          <a:xfrm>
                            <a:off x="303703" y="2462775"/>
                            <a:ext cx="1338353" cy="154481"/>
                          </a:xfrm>
                          <a:prstGeom prst="rect">
                            <a:avLst/>
                          </a:prstGeom>
                          <a:ln>
                            <a:noFill/>
                          </a:ln>
                        </wps:spPr>
                        <wps:txbx>
                          <w:txbxContent>
                            <w:p w:rsidR="005D4C6F" w:rsidRDefault="00F86A01">
                              <w:pPr>
                                <w:spacing w:after="160" w:line="259" w:lineRule="auto"/>
                                <w:ind w:left="0" w:firstLine="0"/>
                              </w:pPr>
                              <w:r>
                                <w:rPr>
                                  <w:sz w:val="17"/>
                                </w:rPr>
                                <w:t>Termínované a spořicí účty</w:t>
                              </w:r>
                            </w:p>
                          </w:txbxContent>
                        </wps:txbx>
                        <wps:bodyPr horzOverflow="overflow" vert="horz" lIns="0" tIns="0" rIns="0" bIns="0" rtlCol="0">
                          <a:noAutofit/>
                        </wps:bodyPr>
                      </wps:wsp>
                      <wps:wsp>
                        <wps:cNvPr id="491" name="Shape 491"/>
                        <wps:cNvSpPr/>
                        <wps:spPr>
                          <a:xfrm>
                            <a:off x="219544" y="261262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2" name="Rectangle 492"/>
                        <wps:cNvSpPr/>
                        <wps:spPr>
                          <a:xfrm>
                            <a:off x="303703" y="2572547"/>
                            <a:ext cx="734900" cy="154481"/>
                          </a:xfrm>
                          <a:prstGeom prst="rect">
                            <a:avLst/>
                          </a:prstGeom>
                          <a:ln>
                            <a:noFill/>
                          </a:ln>
                        </wps:spPr>
                        <wps:txbx>
                          <w:txbxContent>
                            <w:p w:rsidR="005D4C6F" w:rsidRDefault="00F86A01">
                              <w:pPr>
                                <w:spacing w:after="160" w:line="259" w:lineRule="auto"/>
                                <w:ind w:left="0" w:firstLine="0"/>
                              </w:pPr>
                              <w:r>
                                <w:rPr>
                                  <w:sz w:val="17"/>
                                </w:rPr>
                                <w:t>Podílové fondy</w:t>
                              </w:r>
                            </w:p>
                          </w:txbxContent>
                        </wps:txbx>
                        <wps:bodyPr horzOverflow="overflow" vert="horz" lIns="0" tIns="0" rIns="0" bIns="0" rtlCol="0">
                          <a:noAutofit/>
                        </wps:bodyPr>
                      </wps:wsp>
                      <wps:wsp>
                        <wps:cNvPr id="493" name="Shape 493"/>
                        <wps:cNvSpPr/>
                        <wps:spPr>
                          <a:xfrm>
                            <a:off x="219544" y="272240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4" name="Rectangle 494"/>
                        <wps:cNvSpPr/>
                        <wps:spPr>
                          <a:xfrm>
                            <a:off x="303703" y="2682319"/>
                            <a:ext cx="1131573" cy="154481"/>
                          </a:xfrm>
                          <a:prstGeom prst="rect">
                            <a:avLst/>
                          </a:prstGeom>
                          <a:ln>
                            <a:noFill/>
                          </a:ln>
                        </wps:spPr>
                        <wps:txbx>
                          <w:txbxContent>
                            <w:p w:rsidR="005D4C6F" w:rsidRDefault="00F86A01">
                              <w:pPr>
                                <w:spacing w:after="160" w:line="259" w:lineRule="auto"/>
                                <w:ind w:left="0" w:firstLine="0"/>
                              </w:pPr>
                              <w:r>
                                <w:rPr>
                                  <w:sz w:val="17"/>
                                </w:rPr>
                                <w:t>Investiční bankovnictví</w:t>
                              </w:r>
                            </w:p>
                          </w:txbxContent>
                        </wps:txbx>
                        <wps:bodyPr horzOverflow="overflow" vert="horz" lIns="0" tIns="0" rIns="0" bIns="0" rtlCol="0">
                          <a:noAutofit/>
                        </wps:bodyPr>
                      </wps:wsp>
                      <wps:wsp>
                        <wps:cNvPr id="495" name="Rectangle 495"/>
                        <wps:cNvSpPr/>
                        <wps:spPr>
                          <a:xfrm>
                            <a:off x="0" y="2883346"/>
                            <a:ext cx="790709" cy="175077"/>
                          </a:xfrm>
                          <a:prstGeom prst="rect">
                            <a:avLst/>
                          </a:prstGeom>
                          <a:ln>
                            <a:noFill/>
                          </a:ln>
                        </wps:spPr>
                        <wps:txbx>
                          <w:txbxContent>
                            <w:p w:rsidR="005D4C6F" w:rsidRDefault="00F86A01">
                              <w:pPr>
                                <w:spacing w:after="160" w:line="259" w:lineRule="auto"/>
                                <w:ind w:left="0" w:firstLine="0"/>
                              </w:pPr>
                              <w:r>
                                <w:rPr>
                                  <w:sz w:val="20"/>
                                </w:rPr>
                                <w:t>Ostatní služby</w:t>
                              </w:r>
                            </w:p>
                          </w:txbxContent>
                        </wps:txbx>
                        <wps:bodyPr horzOverflow="overflow" vert="horz" lIns="0" tIns="0" rIns="0" bIns="0" rtlCol="0">
                          <a:noAutofit/>
                        </wps:bodyPr>
                      </wps:wsp>
                      <wps:wsp>
                        <wps:cNvPr id="496" name="Shape 496"/>
                        <wps:cNvSpPr/>
                        <wps:spPr>
                          <a:xfrm>
                            <a:off x="219544" y="31468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3106772"/>
                            <a:ext cx="228777" cy="154481"/>
                          </a:xfrm>
                          <a:prstGeom prst="rect">
                            <a:avLst/>
                          </a:prstGeom>
                          <a:ln>
                            <a:noFill/>
                          </a:ln>
                        </wps:spPr>
                        <wps:txbx>
                          <w:txbxContent>
                            <w:p w:rsidR="005D4C6F" w:rsidRDefault="00F86A01">
                              <w:pPr>
                                <w:spacing w:after="160" w:line="259" w:lineRule="auto"/>
                                <w:ind w:left="0" w:firstLine="0"/>
                              </w:pPr>
                              <w:r>
                                <w:rPr>
                                  <w:sz w:val="17"/>
                                </w:rPr>
                                <w:t>Šeky</w:t>
                              </w:r>
                            </w:p>
                          </w:txbxContent>
                        </wps:txbx>
                        <wps:bodyPr horzOverflow="overflow" vert="horz" lIns="0" tIns="0" rIns="0" bIns="0" rtlCol="0">
                          <a:noAutofit/>
                        </wps:bodyPr>
                      </wps:wsp>
                      <wps:wsp>
                        <wps:cNvPr id="498" name="Shape 498"/>
                        <wps:cNvSpPr/>
                        <wps:spPr>
                          <a:xfrm>
                            <a:off x="219544" y="32566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9" name="Rectangle 499"/>
                        <wps:cNvSpPr/>
                        <wps:spPr>
                          <a:xfrm>
                            <a:off x="303703" y="3216543"/>
                            <a:ext cx="998959" cy="154481"/>
                          </a:xfrm>
                          <a:prstGeom prst="rect">
                            <a:avLst/>
                          </a:prstGeom>
                          <a:ln>
                            <a:noFill/>
                          </a:ln>
                        </wps:spPr>
                        <wps:txbx>
                          <w:txbxContent>
                            <w:p w:rsidR="005D4C6F" w:rsidRDefault="00F86A01">
                              <w:pPr>
                                <w:spacing w:after="160" w:line="259" w:lineRule="auto"/>
                                <w:ind w:left="0" w:firstLine="0"/>
                              </w:pPr>
                              <w:r>
                                <w:rPr>
                                  <w:sz w:val="17"/>
                                </w:rPr>
                                <w:t>Bankovní informace</w:t>
                              </w:r>
                            </w:p>
                          </w:txbxContent>
                        </wps:txbx>
                        <wps:bodyPr horzOverflow="overflow" vert="horz" lIns="0" tIns="0" rIns="0" bIns="0" rtlCol="0">
                          <a:noAutofit/>
                        </wps:bodyPr>
                      </wps:wsp>
                      <wps:wsp>
                        <wps:cNvPr id="500" name="Shape 500"/>
                        <wps:cNvSpPr/>
                        <wps:spPr>
                          <a:xfrm>
                            <a:off x="219544" y="336639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1" name="Rectangle 501"/>
                        <wps:cNvSpPr/>
                        <wps:spPr>
                          <a:xfrm>
                            <a:off x="303703" y="3326315"/>
                            <a:ext cx="705700" cy="154481"/>
                          </a:xfrm>
                          <a:prstGeom prst="rect">
                            <a:avLst/>
                          </a:prstGeom>
                          <a:ln>
                            <a:noFill/>
                          </a:ln>
                        </wps:spPr>
                        <wps:txbx>
                          <w:txbxContent>
                            <w:p w:rsidR="005D4C6F" w:rsidRDefault="00F86A01">
                              <w:pPr>
                                <w:spacing w:after="160" w:line="259" w:lineRule="auto"/>
                                <w:ind w:left="0" w:firstLine="0"/>
                              </w:pPr>
                              <w:r>
                                <w:rPr>
                                  <w:sz w:val="17"/>
                                </w:rPr>
                                <w:t>Ostatní služby</w:t>
                              </w:r>
                            </w:p>
                          </w:txbxContent>
                        </wps:txbx>
                        <wps:bodyPr horzOverflow="overflow" vert="horz" lIns="0" tIns="0" rIns="0" bIns="0" rtlCol="0">
                          <a:noAutofit/>
                        </wps:bodyPr>
                      </wps:wsp>
                      <wps:wsp>
                        <wps:cNvPr id="502" name="Rectangle 502"/>
                        <wps:cNvSpPr/>
                        <wps:spPr>
                          <a:xfrm>
                            <a:off x="0" y="3527343"/>
                            <a:ext cx="1184901" cy="175078"/>
                          </a:xfrm>
                          <a:prstGeom prst="rect">
                            <a:avLst/>
                          </a:prstGeom>
                          <a:ln>
                            <a:noFill/>
                          </a:ln>
                        </wps:spPr>
                        <wps:txbx>
                          <w:txbxContent>
                            <w:p w:rsidR="005D4C6F" w:rsidRDefault="00F86A01">
                              <w:pPr>
                                <w:spacing w:after="160" w:line="259" w:lineRule="auto"/>
                                <w:ind w:left="0" w:firstLine="0"/>
                              </w:pPr>
                              <w:r>
                                <w:rPr>
                                  <w:sz w:val="20"/>
                                </w:rPr>
                                <w:t>Již nenabízené služby</w:t>
                              </w:r>
                            </w:p>
                          </w:txbxContent>
                        </wps:txbx>
                        <wps:bodyPr horzOverflow="overflow" vert="horz" lIns="0" tIns="0" rIns="0" bIns="0" rtlCol="0">
                          <a:noAutofit/>
                        </wps:bodyPr>
                      </wps:wsp>
                      <wps:wsp>
                        <wps:cNvPr id="503" name="Shape 503"/>
                        <wps:cNvSpPr/>
                        <wps:spPr>
                          <a:xfrm>
                            <a:off x="219544" y="379084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3750767"/>
                            <a:ext cx="1248371" cy="154480"/>
                          </a:xfrm>
                          <a:prstGeom prst="rect">
                            <a:avLst/>
                          </a:prstGeom>
                          <a:ln>
                            <a:noFill/>
                          </a:ln>
                        </wps:spPr>
                        <wps:txbx>
                          <w:txbxContent>
                            <w:p w:rsidR="005D4C6F" w:rsidRDefault="00F86A01">
                              <w:pPr>
                                <w:spacing w:after="160" w:line="259" w:lineRule="auto"/>
                                <w:ind w:left="0" w:firstLine="0"/>
                              </w:pPr>
                              <w:r>
                                <w:rPr>
                                  <w:sz w:val="17"/>
                                </w:rPr>
                                <w:t>Každodenní bankovnictví</w:t>
                              </w:r>
                            </w:p>
                          </w:txbxContent>
                        </wps:txbx>
                        <wps:bodyPr horzOverflow="overflow" vert="horz" lIns="0" tIns="0" rIns="0" bIns="0" rtlCol="0">
                          <a:noAutofit/>
                        </wps:bodyPr>
                      </wps:wsp>
                      <wps:wsp>
                        <wps:cNvPr id="505" name="Shape 505"/>
                        <wps:cNvSpPr/>
                        <wps:spPr>
                          <a:xfrm>
                            <a:off x="219544" y="390062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3860540"/>
                            <a:ext cx="596251" cy="154479"/>
                          </a:xfrm>
                          <a:prstGeom prst="rect">
                            <a:avLst/>
                          </a:prstGeom>
                          <a:ln>
                            <a:noFill/>
                          </a:ln>
                        </wps:spPr>
                        <wps:txbx>
                          <w:txbxContent>
                            <w:p w:rsidR="005D4C6F" w:rsidRDefault="00F86A01">
                              <w:pPr>
                                <w:spacing w:after="160" w:line="259" w:lineRule="auto"/>
                                <w:ind w:left="0" w:firstLine="0"/>
                              </w:pPr>
                              <w:r>
                                <w:rPr>
                                  <w:sz w:val="17"/>
                                </w:rPr>
                                <w:t>Financování</w:t>
                              </w:r>
                            </w:p>
                          </w:txbxContent>
                        </wps:txbx>
                        <wps:bodyPr horzOverflow="overflow" vert="horz" lIns="0" tIns="0" rIns="0" bIns="0" rtlCol="0">
                          <a:noAutofit/>
                        </wps:bodyPr>
                      </wps:wsp>
                      <wps:wsp>
                        <wps:cNvPr id="507" name="Shape 507"/>
                        <wps:cNvSpPr/>
                        <wps:spPr>
                          <a:xfrm>
                            <a:off x="219544" y="401039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8" name="Rectangle 508"/>
                        <wps:cNvSpPr/>
                        <wps:spPr>
                          <a:xfrm>
                            <a:off x="303703" y="3970312"/>
                            <a:ext cx="927177" cy="154480"/>
                          </a:xfrm>
                          <a:prstGeom prst="rect">
                            <a:avLst/>
                          </a:prstGeom>
                          <a:ln>
                            <a:noFill/>
                          </a:ln>
                        </wps:spPr>
                        <wps:txbx>
                          <w:txbxContent>
                            <w:p w:rsidR="005D4C6F" w:rsidRDefault="00F86A01">
                              <w:pPr>
                                <w:spacing w:after="160" w:line="259" w:lineRule="auto"/>
                                <w:ind w:left="0" w:firstLine="0"/>
                              </w:pPr>
                              <w:r>
                                <w:rPr>
                                  <w:sz w:val="17"/>
                                </w:rPr>
                                <w:t>Spoření a pojištění</w:t>
                              </w:r>
                            </w:p>
                          </w:txbxContent>
                        </wps:txbx>
                        <wps:bodyPr horzOverflow="overflow" vert="horz" lIns="0" tIns="0" rIns="0" bIns="0" rtlCol="0">
                          <a:noAutofit/>
                        </wps:bodyPr>
                      </wps:wsp>
                      <wps:wsp>
                        <wps:cNvPr id="509" name="Shape 509"/>
                        <wps:cNvSpPr/>
                        <wps:spPr>
                          <a:xfrm>
                            <a:off x="219544" y="412016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0" name="Rectangle 510"/>
                        <wps:cNvSpPr/>
                        <wps:spPr>
                          <a:xfrm>
                            <a:off x="303703" y="4080084"/>
                            <a:ext cx="705700" cy="154480"/>
                          </a:xfrm>
                          <a:prstGeom prst="rect">
                            <a:avLst/>
                          </a:prstGeom>
                          <a:ln>
                            <a:noFill/>
                          </a:ln>
                        </wps:spPr>
                        <wps:txbx>
                          <w:txbxContent>
                            <w:p w:rsidR="005D4C6F" w:rsidRDefault="00F86A01">
                              <w:pPr>
                                <w:spacing w:after="160" w:line="259" w:lineRule="auto"/>
                                <w:ind w:left="0" w:firstLine="0"/>
                              </w:pPr>
                              <w:r>
                                <w:rPr>
                                  <w:sz w:val="17"/>
                                </w:rPr>
                                <w:t>Ostatní služby</w:t>
                              </w:r>
                            </w:p>
                          </w:txbxContent>
                        </wps:txbx>
                        <wps:bodyPr horzOverflow="overflow" vert="horz" lIns="0" tIns="0" rIns="0" bIns="0" rtlCol="0">
                          <a:noAutofit/>
                        </wps:bodyPr>
                      </wps:wsp>
                      <wps:wsp>
                        <wps:cNvPr id="511" name="Rectangle 511"/>
                        <wps:cNvSpPr/>
                        <wps:spPr>
                          <a:xfrm>
                            <a:off x="0" y="4281111"/>
                            <a:ext cx="1801874" cy="175078"/>
                          </a:xfrm>
                          <a:prstGeom prst="rect">
                            <a:avLst/>
                          </a:prstGeom>
                          <a:ln>
                            <a:noFill/>
                          </a:ln>
                        </wps:spPr>
                        <wps:txbx>
                          <w:txbxContent>
                            <w:p w:rsidR="005D4C6F" w:rsidRDefault="00F86A01">
                              <w:pPr>
                                <w:spacing w:after="160" w:line="259" w:lineRule="auto"/>
                                <w:ind w:left="0" w:firstLine="0"/>
                              </w:pPr>
                              <w:r>
                                <w:rPr>
                                  <w:sz w:val="20"/>
                                </w:rPr>
                                <w:t>Zkratky a všeobecná ustanovení</w:t>
                              </w:r>
                            </w:p>
                          </w:txbxContent>
                        </wps:txbx>
                        <wps:bodyPr horzOverflow="overflow" vert="horz" lIns="0" tIns="0" rIns="0" bIns="0" rtlCol="0">
                          <a:noAutofit/>
                        </wps:bodyPr>
                      </wps:wsp>
                      <wps:wsp>
                        <wps:cNvPr id="512" name="Shape 512"/>
                        <wps:cNvSpPr/>
                        <wps:spPr>
                          <a:xfrm>
                            <a:off x="219544" y="45446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4504536"/>
                            <a:ext cx="1841556" cy="154480"/>
                          </a:xfrm>
                          <a:prstGeom prst="rect">
                            <a:avLst/>
                          </a:prstGeom>
                          <a:ln>
                            <a:noFill/>
                          </a:ln>
                        </wps:spPr>
                        <wps:txbx>
                          <w:txbxContent>
                            <w:p w:rsidR="005D4C6F" w:rsidRDefault="00F86A01">
                              <w:pPr>
                                <w:spacing w:after="160" w:line="259" w:lineRule="auto"/>
                                <w:ind w:left="0" w:firstLine="0"/>
                              </w:pPr>
                              <w:r>
                                <w:rPr>
                                  <w:sz w:val="17"/>
                                </w:rPr>
                                <w:t>Vysvětlení použitých zkratek a pojmů</w:t>
                              </w:r>
                            </w:p>
                          </w:txbxContent>
                        </wps:txbx>
                        <wps:bodyPr horzOverflow="overflow" vert="horz" lIns="0" tIns="0" rIns="0" bIns="0" rtlCol="0">
                          <a:noAutofit/>
                        </wps:bodyPr>
                      </wps:wsp>
                      <wps:wsp>
                        <wps:cNvPr id="514" name="Shape 514"/>
                        <wps:cNvSpPr/>
                        <wps:spPr>
                          <a:xfrm>
                            <a:off x="219544" y="465439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4614308"/>
                            <a:ext cx="1112107" cy="154480"/>
                          </a:xfrm>
                          <a:prstGeom prst="rect">
                            <a:avLst/>
                          </a:prstGeom>
                          <a:ln>
                            <a:noFill/>
                          </a:ln>
                        </wps:spPr>
                        <wps:txbx>
                          <w:txbxContent>
                            <w:p w:rsidR="005D4C6F" w:rsidRDefault="00F86A01">
                              <w:pPr>
                                <w:spacing w:after="160" w:line="259" w:lineRule="auto"/>
                                <w:ind w:left="0" w:firstLine="0"/>
                              </w:pPr>
                              <w:r>
                                <w:rPr>
                                  <w:sz w:val="17"/>
                                </w:rPr>
                                <w:t>Všeobecná ustanovení</w:t>
                              </w:r>
                            </w:p>
                          </w:txbxContent>
                        </wps:txbx>
                        <wps:bodyPr horzOverflow="overflow" vert="horz" lIns="0" tIns="0" rIns="0" bIns="0" rtlCol="0">
                          <a:noAutofit/>
                        </wps:bodyPr>
                      </wps:wsp>
                    </wpg:wgp>
                  </a:graphicData>
                </a:graphic>
              </wp:inline>
            </w:drawing>
          </mc:Choice>
          <mc:Fallback>
            <w:pict>
              <v:group id="Group 54244" o:spid="_x0000_s1026" style="width:529pt;height:372.5pt;mso-position-horizontal-relative:char;mso-position-vertical-relative:line" coordsize="67180,4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">
                <v:shape id="Shape 86878" o:spid="_x0000_s1027" style="position:absolute;top:31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uRb4A&#10;AADeAAAADwAAAGRycy9kb3ducmV2LnhtbERPvQrCMBDeBd8hnOBmUx1qqUYRQXC1iuJ2NGdbbC61&#10;iVrf3gyC48f3v1z3phEv6lxtWcE0ikEQF1bXXCo4HXeTFITzyBoby6TgQw7Wq+FgiZm2bz7QK/el&#10;CCHsMlRQed9mUrqiIoMusi1x4G62M+gD7EqpO3yHcNPIWRwn0mDNoaHClrYVFff8aRTku6PvH+52&#10;/Uw5Ocv94XTZcKzUeNRvFiA89f4v/rn3WkGapPOwN9wJV0C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KrkW+AAAA3gAAAA8AAAAAAAAAAAAAAAAAmAIAAGRycy9kb3ducmV2&#10;LnhtbFBLBQYAAAAABAAEAPUAAACDAwAAAAA=&#10;" path="m,l6718051,r,9144l,9144,,e" fillcolor="#dcdcdc" stroked="f" strokeweight="0">
                  <v:stroke miterlimit="83231f" joinstyle="miter"/>
                  <v:path arrowok="t" textboxrect="0,0,6718051,9144"/>
                </v:shape>
                <v:shape id="Shape 86879" o:spid="_x0000_s1028" style="position:absolute;top:742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L3sUA&#10;AADeAAAADwAAAGRycy9kb3ducmV2LnhtbESPT2vCQBTE7wW/w/IEb3VjD2mMriIFwWv+0NLbI/tM&#10;gtm3Mbtq8u1dodDjMDO/Ybb70XTiToNrLStYLSMQxJXVLdcKyuL4noBwHlljZ5kUTORgv5u9bTHV&#10;9sEZ3XNfiwBhl6KCxvs+ldJVDRl0S9sTB+9sB4M+yKGWesBHgJtOfkRRLA22HBYa7OmroeqS34yC&#10;/Fj48erOv9OK4295ysqfA0dKLebjYQPC0+j/w3/tk1aQxMnnGl53whWQu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gvexQAAAN4AAAAPAAAAAAAAAAAAAAAAAJgCAABkcnMv&#10;ZG93bnJldi54bWxQSwUGAAAAAAQABAD1AAAAigMAAAAA&#10;" path="m,l6718051,r,9144l,9144,,e" fillcolor="#dcdcdc" stroked="f" strokeweight="0">
                  <v:stroke miterlimit="83231f" joinstyle="miter"/>
                  <v:path arrowok="t" textboxrect="0,0,6718051,9144"/>
                </v:shape>
                <v:shape id="Shape 86880" o:spid="_x0000_s1029" style="position:absolute;top:1606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nSZL8A&#10;AADeAAAADwAAAGRycy9kb3ducmV2LnhtbESPvQrCMBSFd8F3CFdw01SHUqqxFEFwtYridmmubbG5&#10;qU3U+vZmEBwP549vnQ2mFS/qXWNZwWIegSAurW64UnA67mYJCOeRNbaWScGHHGSb8WiNqbZvPtCr&#10;8JUII+xSVFB736VSurImg25uO+Lg3Wxv0AfZV1L3+A7jppXLKIqlwYbDQ40dbWsq78XTKCh2Rz88&#10;3O36WXB8lvvD6ZJzpNR0MuQrEJ4G/w//2nutIImTJAAEnIACcvM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qdJkvwAAAN4AAAAPAAAAAAAAAAAAAAAAAJgCAABkcnMvZG93bnJl&#10;di54bWxQSwUGAAAAAAQABAD1AAAAhAMAAAAA&#10;" path="m,l6718051,r,9144l,9144,,e" fillcolor="#dcdcdc" stroked="f" strokeweight="0">
                  <v:stroke miterlimit="83231f" joinstyle="miter"/>
                  <v:path arrowok="t" textboxrect="0,0,6718051,9144"/>
                </v:shape>
                <v:shape id="Shape 86881" o:spid="_x0000_s1030" style="position:absolute;top:23601;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3/8AA&#10;AADeAAAADwAAAGRycy9kb3ducmV2LnhtbESPwQrCMBBE74L/EFbwpmk9lFKNIoLg1SqKt6VZ22Kz&#10;qU3U+vdGEDwOM/OGWax604gnda62rCCeRiCIC6trLhUcD9tJCsJ5ZI2NZVLwJger5XCwwEzbF+/p&#10;mftSBAi7DBVU3reZlK6oyKCb2pY4eFfbGfRBdqXUHb4C3DRyFkWJNFhzWKiwpU1FxS1/GAX59uD7&#10;u7te3jEnJ7nbH89rjpQaj/r1HISn3v/Dv/ZOK0iTNI3heydc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3/8AAAADeAAAADwAAAAAAAAAAAAAAAACYAgAAZHJzL2Rvd25y&#10;ZXYueG1sUEsFBgAAAAAEAAQA9QAAAIUDAAAAAA==&#10;" path="m,l6718051,r,9144l,9144,,e" fillcolor="#dcdcdc" stroked="f" strokeweight="0">
                  <v:stroke miterlimit="83231f" joinstyle="miter"/>
                  <v:path arrowok="t" textboxrect="0,0,6718051,9144"/>
                </v:shape>
                <v:shape id="Shape 86882" o:spid="_x0000_s1031" style="position:absolute;top:30041;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piMAA&#10;AADeAAAADwAAAGRycy9kb3ducmV2LnhtbESPwQrCMBBE74L/EFbwZlM9lFKNIoLg1SqKt6VZ22Kz&#10;qU3U+vdGEDwOM/OGWax604gnda62rGAaxSCIC6trLhUcD9tJCsJ5ZI2NZVLwJger5XCwwEzbF+/p&#10;mftSBAi7DBVU3reZlK6oyKCLbEscvKvtDPogu1LqDl8Bbho5i+NEGqw5LFTY0qai4pY/jIJ8e/D9&#10;3V0v7yknJ7nbH89rjpUaj/r1HISn3v/Dv/ZOK0iTNJ3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fpiMAAAADeAAAADwAAAAAAAAAAAAAAAACYAgAAZHJzL2Rvd25y&#10;ZXYueG1sUEsFBgAAAAAEAAQA9QAAAIUDAAAAAA==&#10;" path="m,l6718051,r,9144l,9144,,e" fillcolor="#dcdcdc" stroked="f" strokeweight="0">
                  <v:stroke miterlimit="83231f" joinstyle="miter"/>
                  <v:path arrowok="t" textboxrect="0,0,6718051,9144"/>
                </v:shape>
                <v:shape id="Shape 86883" o:spid="_x0000_s1032" style="position:absolute;top:36481;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ME8AA&#10;AADeAAAADwAAAGRycy9kb3ducmV2LnhtbESPwQrCMBBE74L/EFbwpqkKpVSjiCB4tYribWnWtths&#10;ahO1/r0RBI/DzLxhFqvO1OJJrassK5iMIxDEudUVFwqOh+0oAeE8ssbaMil4k4PVst9bYKrti/f0&#10;zHwhAoRdigpK75tUSpeXZNCNbUMcvKttDfog20LqFl8Bbmo5jaJYGqw4LJTY0Kak/JY9jIJse/Dd&#10;3V0v7wnHJ7nbH89rjpQaDrr1HISnzv/Dv/ZOK0jiJJn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tME8AAAADeAAAADwAAAAAAAAAAAAAAAACYAgAAZHJzL2Rvd25y&#10;ZXYueG1sUEsFBgAAAAAEAAQA9QAAAIUDAAAAAA==&#10;" path="m,l6718051,r,9144l,9144,,e" fillcolor="#dcdcdc" stroked="f" strokeweight="0">
                  <v:stroke miterlimit="83231f" joinstyle="miter"/>
                  <v:path arrowok="t" textboxrect="0,0,6718051,9144"/>
                </v:shape>
                <v:shape id="Shape 86884" o:spid="_x0000_s1033" style="position:absolute;top:4401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UZ8AA&#10;AADeAAAADwAAAGRycy9kb3ducmV2LnhtbESPwQrCMBBE74L/EFbwpqkipVSjiCB4tYribWnWtths&#10;ahO1/r0RBI/DzLxhFqvO1OJJrassK5iMIxDEudUVFwqOh+0oAeE8ssbaMil4k4PVst9bYKrti/f0&#10;zHwhAoRdigpK75tUSpeXZNCNbUMcvKttDfog20LqFl8Bbmo5jaJYGqw4LJTY0Kak/JY9jIJse/Dd&#10;3V0v7wnHJ7nbH89rjpQaDrr1HISnzv/Dv/ZOK0jiJJnB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LUZ8AAAADeAAAADwAAAAAAAAAAAAAAAACYAgAAZHJzL2Rvd25y&#10;ZXYueG1sUEsFBgAAAAAEAAQA9QAAAIUDAAAAAA==&#10;" path="m,l6718051,r,9144l,9144,,e" fillcolor="#dcdcdc" stroked="f" strokeweight="0">
                  <v:stroke miterlimit="83231f" joinstyle="miter"/>
                  <v:path arrowok="t" textboxrect="0,0,6718051,9144"/>
                </v:shape>
                <v:rect id="Rectangle 464" o:spid="_x0000_s1034" style="position:absolute;width:385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Gsb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xrG3EAAAA3AAAAA8AAAAAAAAAAAAAAAAAmAIAAGRycy9k&#10;b3ducmV2LnhtbFBLBQYAAAAABAAEAPUAAACJAwAAAAA=&#10;" filled="f" stroked="f">
                  <v:textbox inset="0,0,0,0">
                    <w:txbxContent>
                      <w:p w:rsidR="005D4C6F" w:rsidRDefault="00F86A01">
                        <w:pPr>
                          <w:spacing w:after="160" w:line="259" w:lineRule="auto"/>
                          <w:ind w:left="0" w:firstLine="0"/>
                        </w:pPr>
                        <w:r>
                          <w:rPr>
                            <w:b/>
                            <w:color w:val="B22222"/>
                            <w:sz w:val="20"/>
                          </w:rPr>
                          <w:t>Obsah</w:t>
                        </w:r>
                      </w:p>
                    </w:txbxContent>
                  </v:textbox>
                </v:rect>
                <v:rect id="Rectangle 465" o:spid="_x0000_s1035" style="position:absolute;top:1975;width:858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5D4C6F" w:rsidRDefault="00F86A01">
                        <w:pPr>
                          <w:spacing w:after="160" w:line="259" w:lineRule="auto"/>
                          <w:ind w:left="0" w:firstLine="0"/>
                        </w:pPr>
                        <w:r>
                          <w:rPr>
                            <w:sz w:val="20"/>
                          </w:rPr>
                          <w:t>Garance kvality</w:t>
                        </w:r>
                      </w:p>
                    </w:txbxContent>
                  </v:textbox>
                </v:rect>
                <v:shape id="Shape 466" o:spid="_x0000_s1036" style="position:absolute;left:2195;top:461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UMsUA&#10;AADcAAAADwAAAGRycy9kb3ducmV2LnhtbESPQWvCQBSE7wX/w/IEb3WjhCDRTZCi0EvFqgePz+xr&#10;kjb7NmTXGP313ULB4zAz3zCrfDCN6KlztWUFs2kEgriwuuZSwem4fV2AcB5ZY2OZFNzJQZ6NXlaY&#10;anvjT+oPvhQBwi5FBZX3bSqlKyoy6Ka2JQ7el+0M+iC7UuoObwFuGjmPokQarDksVNjSW0XFz+Fq&#10;FJQfl/t6EePjSnO/O37Xm/1Zb5SajIf1EoSnwT/D/+13rSBOEvg7E4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FQy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467" o:spid="_x0000_s1037" style="position:absolute;left:3037;top:4210;width:1584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Záleží nám na Vaší spokojenosti</w:t>
                        </w:r>
                      </w:p>
                    </w:txbxContent>
                  </v:textbox>
                </v:rect>
                <v:rect id="Rectangle 468" o:spid="_x0000_s1038" style="position:absolute;top:6220;width:140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maMIA&#10;AADcAAAADwAAAGRycy9kb3ducmV2LnhtbERPy4rCMBTdC/5DuMLsNFUG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ZowgAAANwAAAAPAAAAAAAAAAAAAAAAAJgCAABkcnMvZG93&#10;bnJldi54bWxQSwUGAAAAAAQABAD1AAAAhwMAAAAA&#10;" filled="f" stroked="f">
                  <v:textbox inset="0,0,0,0">
                    <w:txbxContent>
                      <w:p w:rsidR="005D4C6F" w:rsidRDefault="00F86A01">
                        <w:pPr>
                          <w:spacing w:after="160" w:line="259" w:lineRule="auto"/>
                          <w:ind w:left="0" w:firstLine="0"/>
                        </w:pPr>
                        <w:r>
                          <w:rPr>
                            <w:sz w:val="20"/>
                          </w:rPr>
                          <w:t>Každodenní bankovnictví</w:t>
                        </w:r>
                      </w:p>
                    </w:txbxContent>
                  </v:textbox>
                </v:rect>
                <v:shape id="Shape 469" o:spid="_x0000_s1039" style="position:absolute;left:2195;top:885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QMYA&#10;AADcAAAADwAAAGRycy9kb3ducmV2LnhtbESPQWvCQBSE74X+h+UVvNWNEoJN3QQRBS9K1R56fM2+&#10;JqnZtyG7mqS/vlsQehxm5htmmQ+mETfqXG1ZwWwagSAurK65VPB+3j4vQDiPrLGxTApGcpBnjw9L&#10;TLXt+Ui3ky9FgLBLUUHlfZtK6YqKDLqpbYmD92U7gz7IrpS6wz7ATSPnUZRIgzWHhQpbWldUXE5X&#10;o6Dcf46rRYw/V5r7w/m73rx96I1Sk6dh9QrC0+D/w/f2TiuIkx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Q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0" o:spid="_x0000_s1040" style="position:absolute;left:3037;top:8454;width:9976;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s8EA&#10;AADcAAAADwAAAGRycy9kb3ducmV2LnhtbERPy4rCMBTdC/5DuII7TR3E0WoUcRRd+gJ1d2mubbG5&#10;KU20nfl6sxhweTjv2aIxhXhR5XLLCgb9CARxYnXOqYLzadMbg3AeWWNhmRT8koPFvN2aYaxtzQd6&#10;HX0qQgi7GBVk3pexlC7JyKDr25I4cHdbGfQBVqnUFdYh3BTyK4pG0mDOoSHDklYZJY/j0yjYjsvl&#10;dWf/6rRY37aX/WXyc5p4pbqdZjkF4anxH/G/e6cVDL/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TPLPBAAAA3AAAAA8AAAAAAAAAAAAAAAAAmAIAAGRycy9kb3du&#10;cmV2LnhtbFBLBQYAAAAABAAEAPUAAACGAwAAAAA=&#10;" filled="f" stroked="f">
                  <v:textbox inset="0,0,0,0">
                    <w:txbxContent>
                      <w:p w:rsidR="005D4C6F" w:rsidRDefault="00F86A01">
                        <w:pPr>
                          <w:spacing w:after="160" w:line="259" w:lineRule="auto"/>
                          <w:ind w:left="0" w:firstLine="0"/>
                        </w:pPr>
                        <w:r>
                          <w:rPr>
                            <w:sz w:val="17"/>
                          </w:rPr>
                          <w:t>Balíčky a běžné účty</w:t>
                        </w:r>
                      </w:p>
                    </w:txbxContent>
                  </v:textbox>
                </v:rect>
                <v:shape id="Shape 471" o:spid="_x0000_s1041" style="position:absolute;left:2195;top:9953;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am8MA&#10;AADcAAAADwAAAGRycy9kb3ducmV2LnhtbESPzarCMBSE9xd8h3AEd9dUEZVqFBEv3I3i38LlsTm2&#10;1eakNFGrT28EweUwM98w42ltCnGjyuWWFXTaEQjixOqcUwX73d/vEITzyBoLy6TgQQ6mk8bPGGNt&#10;77yh29anIkDYxagg876MpXRJRgZd25bEwTvZyqAPskqlrvAe4KaQ3SjqS4M5h4UMS5pnlFy2V6Mg&#10;XR4fs2EPn1fq+tXunC/WB71QqtWsZyMQnmr/DX/a/1pBb9C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Bam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72" o:spid="_x0000_s1042" style="position:absolute;left:3037;top:9552;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Karty</w:t>
                        </w:r>
                      </w:p>
                    </w:txbxContent>
                  </v:textbox>
                </v:rect>
                <v:shape id="Shape 473" o:spid="_x0000_s1043" style="position:absolute;left:2195;top:1105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hd8YA&#10;AADcAAAADwAAAGRycy9kb3ducmV2LnhtbESPQWvCQBSE7wX/w/KE3pqNVmqIriKSQi+VVj14fGaf&#10;STT7NmTXGPvr3UKhx2FmvmHmy97UoqPWVZYVjKIYBHFudcWFgv3u/SUB4TyyxtoyKbiTg+Vi8DTH&#10;VNsbf1O39YUIEHYpKii9b1IpXV6SQRfZhjh4J9sa9EG2hdQt3gLc1HIcx2/SYMVhocSG1iXll+3V&#10;KCg+j/dVMsGfK439Zneusq+DzpR6HvarGQhPvf8P/7U/tILJ9BV+z4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5hd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74" o:spid="_x0000_s1044" style="position:absolute;left:3037;top:10650;width:9515;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6sMUA&#10;AADcAAAADwAAAGRycy9kb3ducmV2LnhtbESPS4vCQBCE74L/YWjBm05cxEfWUcRV9Lg+QPfWZHqT&#10;sJmekBlN9Nc7C4LHoqq+omaLxhTiRpXLLSsY9CMQxInVOacKTsdNbwLCeWSNhWVScCcHi3m7NcNY&#10;25r3dDv4VAQIuxgVZN6XsZQuycig69uSOHi/tjLog6xSqSusA9wU8iOKRtJgzmEhw5JWGSV/h6tR&#10;sJ2Uy8vOPuq0WP9sz9/n6ddx6pXqdprlJwhPjX+HX+2dVjAcD+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qw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Přímé bankovnictví</w:t>
                        </w:r>
                      </w:p>
                    </w:txbxContent>
                  </v:textbox>
                </v:rect>
                <v:shape id="Shape 475" o:spid="_x0000_s1045" style="position:absolute;left:2195;top:1214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uMscA&#10;AADcAAAADwAAAGRycy9kb3ducmV2LnhtbESPQWvCQBSE74X+h+UVvBTdtFiV1FVKodB6EZOIeHvN&#10;vibB7Nuwu2r8965Q8DjMzDfMfNmbVpzI+caygpdRAoK4tLrhSkGRfw1nIHxA1thaJgUX8rBcPD7M&#10;MdX2zBs6ZaESEcI+RQV1CF0qpS9rMuhHtiOO3p91BkOUrpLa4TnCTStfk2QiDTYcF2rs6LOm8pAd&#10;jYLDLM92zz/rPl//Tra82ifuUhRKDZ76j3cQgfpwD/+3v7WC8fQN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XrjL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476" o:spid="_x0000_s1046" style="position:absolute;left:3037;top:11747;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Platební styk</w:t>
                        </w:r>
                      </w:p>
                    </w:txbxContent>
                  </v:textbox>
                </v:rect>
                <v:shape id="Shape 477" o:spid="_x0000_s1047" style="position:absolute;left:2195;top:1324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V3sYA&#10;AADcAAAADwAAAGRycy9kb3ducmV2LnhtbESPQWvCQBSE7wX/w/KEXkrdVIpKdBURCrYXMYmU3l6z&#10;zySYfRt2txr/fVcQPA4z8w2zWPWmFWdyvrGs4G2UgCAurW64UlDkH68zED4ga2wtk4IreVgtB08L&#10;TLW98J7OWahEhLBPUUEdQpdK6cuaDPqR7Yijd7TOYIjSVVI7vES4aeU4SSbSYMNxocaONjWVp+zP&#10;KDjN8uz75XPX57vfyYG/fhJ3LQqlnof9eg4iUB8e4Xt7qxW8T6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mV3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78" o:spid="_x0000_s1048" style="position:absolute;left:3037;top:12845;width:1033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5D4C6F" w:rsidRDefault="00F86A01">
                        <w:pPr>
                          <w:spacing w:after="160" w:line="259" w:lineRule="auto"/>
                          <w:ind w:left="0" w:firstLine="0"/>
                        </w:pPr>
                        <w:r>
                          <w:rPr>
                            <w:sz w:val="17"/>
                          </w:rPr>
                          <w:t>Profi pojištění plateb</w:t>
                        </w:r>
                      </w:p>
                    </w:txbxContent>
                  </v:textbox>
                </v:rect>
                <v:rect id="Rectangle 479" o:spid="_x0000_s1049" style="position:absolute;top:14855;width:67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5D4C6F" w:rsidRDefault="00F86A01">
                        <w:pPr>
                          <w:spacing w:after="160" w:line="259" w:lineRule="auto"/>
                          <w:ind w:left="0" w:firstLine="0"/>
                        </w:pPr>
                        <w:r>
                          <w:rPr>
                            <w:sz w:val="20"/>
                          </w:rPr>
                          <w:t>Financování</w:t>
                        </w:r>
                      </w:p>
                    </w:txbxContent>
                  </v:textbox>
                </v:rect>
                <v:shape id="Shape 480" o:spid="_x0000_s1050" style="position:absolute;left:2195;top:1749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9jcMA&#10;AADcAAAADwAAAGRycy9kb3ducmV2LnhtbERPz2vCMBS+D/wfwhO8jJkqIqUaZQiC8yJrK7Lbs3lr&#10;i81LSTKt//1yGOz48f1ebwfTiTs531pWMJsmIIgrq1uuFZTF/i0F4QOyxs4yKXiSh+1m9LLGTNsH&#10;f9I9D7WIIewzVNCE0GdS+qohg35qe+LIfVtnMEToaqkdPmK46eQ8SZbSYMuxocGedg1Vt/zHKLil&#10;RX55/TgNxem6PPPxK3HPslRqMh7eVyACDeFf/Oc+aAWLNM6PZ+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9jc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481" o:spid="_x0000_s1051" style="position:absolute;left:3037;top:17090;width:287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5D4C6F" w:rsidRDefault="00F86A01">
                        <w:pPr>
                          <w:spacing w:after="160" w:line="259" w:lineRule="auto"/>
                          <w:ind w:left="0" w:firstLine="0"/>
                        </w:pPr>
                        <w:r>
                          <w:rPr>
                            <w:sz w:val="17"/>
                          </w:rPr>
                          <w:t>Úvěry</w:t>
                        </w:r>
                      </w:p>
                    </w:txbxContent>
                  </v:textbox>
                </v:rect>
                <v:shape id="Shape 482" o:spid="_x0000_s1052" style="position:absolute;left:2195;top:1858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0y8MA&#10;AADcAAAADwAAAGRycy9kb3ducmV2LnhtbESPQYvCMBSE74L/ITzBm6YWWUo1ioiCF2XVPXh8Ns+2&#10;2ryUJmr115uFhT0OM/MNM523phIPalxpWcFoGIEgzqwuOVfwc1wPEhDOI2usLJOCFzmYz7qdKaba&#10;PnlPj4PPRYCwS1FB4X2dSumyggy6oa2Jg3exjUEfZJNL3eAzwE0l4yj6kgZLDgsF1rQsKLsd7kZB&#10;vj2/FskY33eK/e54LVffJ71Sqt9rFxMQnlr/H/5rb7SCcRLD75lwBOTs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e0y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83" o:spid="_x0000_s1053" style="position:absolute;left:3037;top:18187;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5D4C6F" w:rsidRDefault="00F86A01">
                        <w:pPr>
                          <w:spacing w:after="160" w:line="259" w:lineRule="auto"/>
                          <w:ind w:left="0" w:firstLine="0"/>
                        </w:pPr>
                        <w:r>
                          <w:rPr>
                            <w:sz w:val="17"/>
                          </w:rPr>
                          <w:t>Záruky</w:t>
                        </w:r>
                      </w:p>
                    </w:txbxContent>
                  </v:textbox>
                </v:rect>
                <v:shape id="Shape 484" o:spid="_x0000_s1054" style="position:absolute;left:2195;top:1968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57jsYA&#10;AADcAAAADwAAAGRycy9kb3ducmV2LnhtbESPQWvCQBSE74L/YXmFXqRuKiIhzSpFKGgv0iSl9Paa&#10;fU2C2bdhd9X477uC0OMwM98w+WY0vTiT851lBc/zBARxbXXHjYKqfHtKQfiArLG3TAqu5GGznk5y&#10;zLS98Aedi9CICGGfoYI2hCGT0tctGfRzOxBH79c6gyFK10jt8BLhppeLJFlJgx3HhRYH2rZUH4uT&#10;UXBMy+Jrtj+M5eFn9cnv34m7VpVSjw/j6wuIQGP4D9/bO61gmS7hd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57j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85" o:spid="_x0000_s1055" style="position:absolute;left:3037;top:19285;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DMYA&#10;AADcAAAADwAAAGRycy9kb3ducmV2LnhtbESPT2vCQBTE74V+h+UVvNWNR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DMYAAADcAAAADwAAAAAAAAAAAAAAAACYAgAAZHJz&#10;L2Rvd25yZXYueG1sUEsFBgAAAAAEAAQA9QAAAIsDAAAAAA==&#10;" filled="f" stroked="f">
                  <v:textbox inset="0,0,0,0">
                    <w:txbxContent>
                      <w:p w:rsidR="005D4C6F" w:rsidRDefault="00F86A01">
                        <w:pPr>
                          <w:spacing w:after="160" w:line="259" w:lineRule="auto"/>
                          <w:ind w:left="0" w:firstLine="0"/>
                        </w:pPr>
                        <w:r>
                          <w:rPr>
                            <w:sz w:val="17"/>
                          </w:rPr>
                          <w:t>Směnky</w:t>
                        </w:r>
                      </w:p>
                    </w:txbxContent>
                  </v:textbox>
                </v:rect>
                <v:shape id="Shape 486" o:spid="_x0000_s1056" style="position:absolute;left:2195;top:2078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yyMYA&#10;AADcAAAADwAAAGRycy9kb3ducmV2LnhtbESPQWvCQBSE74L/YXlCb7pRJITUTZCi4MXSmh56fM2+&#10;Jmmzb0N2NUl/fbdQ8DjMzDfMLh9NK27Uu8aygvUqAkFcWt1wpeCtOC4TEM4ja2wtk4KJHOTZfLbD&#10;VNuBX+l28ZUIEHYpKqi971IpXVmTQbeyHXHwPm1v0AfZV1L3OAS4aeUmimJpsOGwUGNHTzWV35er&#10;UVCdP6Z9ssWfK238c/HVHF7e9UGph8W4fwThafT38H/7pBVskxj+zo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yyy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87" o:spid="_x0000_s1057" style="position:absolute;left:3037;top:20383;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5D4C6F" w:rsidRDefault="00F86A01">
                        <w:pPr>
                          <w:spacing w:after="160" w:line="259" w:lineRule="auto"/>
                          <w:ind w:left="0" w:firstLine="0"/>
                        </w:pPr>
                        <w:r>
                          <w:rPr>
                            <w:sz w:val="17"/>
                          </w:rPr>
                          <w:t>Dokumentární platby</w:t>
                        </w:r>
                      </w:p>
                    </w:txbxContent>
                  </v:textbox>
                </v:rect>
                <v:rect id="Rectangle 488" o:spid="_x0000_s1058" style="position:absolute;top:22393;width:105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AksEA&#10;AADcAAAADwAAAGRycy9kb3ducmV2LnhtbERPy4rCMBTdC/5DuII7TRWR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QJLBAAAA3AAAAA8AAAAAAAAAAAAAAAAAmAIAAGRycy9kb3du&#10;cmV2LnhtbFBLBQYAAAAABAAEAPUAAACGAwAAAAA=&#10;" filled="f" stroked="f">
                  <v:textbox inset="0,0,0,0">
                    <w:txbxContent>
                      <w:p w:rsidR="005D4C6F" w:rsidRDefault="00F86A01">
                        <w:pPr>
                          <w:spacing w:after="160" w:line="259" w:lineRule="auto"/>
                          <w:ind w:left="0" w:firstLine="0"/>
                        </w:pPr>
                        <w:r>
                          <w:rPr>
                            <w:sz w:val="20"/>
                          </w:rPr>
                          <w:t>Spoření a investice</w:t>
                        </w:r>
                      </w:p>
                    </w:txbxContent>
                  </v:textbox>
                </v:rect>
                <v:shape id="Shape 489" o:spid="_x0000_s1059" style="position:absolute;left:2195;top:2502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musQA&#10;AADcAAAADwAAAGRycy9kb3ducmV2LnhtbESPQYvCMBSE74L/ITzBm6aKLLUaRUTBi8uuevD4bJ5t&#10;tXkpTdTqrzcLCx6HmfmGmc4bU4o71a6wrGDQj0AQp1YXnCk47Ne9GITzyBpLy6TgSQ7ms3Zriom2&#10;D/6l+85nIkDYJagg975KpHRpTgZd31bEwTvb2qAPss6krvER4KaUwyj6kgYLDgs5VrTMKb3ubkZB&#10;tj09F/EIXzca+u/9pVj9HPVKqW6nWUxAeGr8J/zf3mgFo3gMf2fCEZC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jJrr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490" o:spid="_x0000_s1060" style="position:absolute;left:3037;top:24627;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5D4C6F" w:rsidRDefault="00F86A01">
                        <w:pPr>
                          <w:spacing w:after="160" w:line="259" w:lineRule="auto"/>
                          <w:ind w:left="0" w:firstLine="0"/>
                        </w:pPr>
                        <w:r>
                          <w:rPr>
                            <w:sz w:val="17"/>
                          </w:rPr>
                          <w:t>Termínované a spořicí účty</w:t>
                        </w:r>
                      </w:p>
                    </w:txbxContent>
                  </v:textbox>
                </v:rect>
                <v:shape id="Shape 491" o:spid="_x0000_s1061" style="position:absolute;left:2195;top:261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BOy8YA&#10;AADcAAAADwAAAGRycy9kb3ducmV2LnhtbESPQWvCQBSE74X+h+UVeil1o4jY6CqlUFAvYpIi3p7Z&#10;1ySYfRt2txr/vSsIPQ4z8w0zX/amFWdyvrGsYDhIQBCXVjdcKSjy7/cpCB+QNbaWScGVPCwXz09z&#10;TLW98I7OWahEhLBPUUEdQpdK6cuaDPqB7Yij92udwRClq6R2eIlw08pRkkykwYbjQo0dfdVUnrI/&#10;o+A0zbP923rb59vj5Ic3h8Rdi0Kp15f+cwYiUB/+w4/2SisYfwzh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BOy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492" o:spid="_x0000_s1062" style="position:absolute;left:3037;top:25725;width:734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5D4C6F" w:rsidRDefault="00F86A01">
                        <w:pPr>
                          <w:spacing w:after="160" w:line="259" w:lineRule="auto"/>
                          <w:ind w:left="0" w:firstLine="0"/>
                        </w:pPr>
                        <w:r>
                          <w:rPr>
                            <w:sz w:val="17"/>
                          </w:rPr>
                          <w:t>Podílové fondy</w:t>
                        </w:r>
                      </w:p>
                    </w:txbxContent>
                  </v:textbox>
                </v:rect>
                <v:shape id="Shape 493" o:spid="_x0000_s1063" style="position:absolute;left:2195;top:2722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HjcYA&#10;AADcAAAADwAAAGRycy9kb3ducmV2LnhtbESPQWvCQBSE7wX/w/KE3pqNVopGVxFJoZdKazx4fGaf&#10;STT7NmTXGPvr3UKhx2FmvmEWq97UoqPWVZYVjKIYBHFudcWFgn32/jIF4TyyxtoyKbiTg9Vy8LTA&#10;RNsbf1O384UIEHYJKii9bxIpXV6SQRfZhjh4J9sa9EG2hdQt3gLc1HIcx2/SYMVhocSGNiXll93V&#10;KCg+j/f1dII/Vxr7bXau0q+DTpV6HvbrOQhPvf8P/7U/tILJ7BV+z4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Hj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4" o:spid="_x0000_s1064" style="position:absolute;left:3037;top:268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Investiční bankovnictví</w:t>
                        </w:r>
                      </w:p>
                    </w:txbxContent>
                  </v:textbox>
                </v:rect>
                <v:rect id="Rectangle 495" o:spid="_x0000_s1065" style="position:absolute;top:28833;width:79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5D4C6F" w:rsidRDefault="00F86A01">
                        <w:pPr>
                          <w:spacing w:after="160" w:line="259" w:lineRule="auto"/>
                          <w:ind w:left="0" w:firstLine="0"/>
                        </w:pPr>
                        <w:r>
                          <w:rPr>
                            <w:sz w:val="20"/>
                          </w:rPr>
                          <w:t>Ostatní služby</w:t>
                        </w:r>
                      </w:p>
                    </w:txbxContent>
                  </v:textbox>
                </v:rect>
                <v:shape id="Shape 496" o:spid="_x0000_s1066" style="position:absolute;left:2195;top:3146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67" style="position:absolute;left:3037;top:31067;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Šeky</w:t>
                        </w:r>
                      </w:p>
                    </w:txbxContent>
                  </v:textbox>
                </v:rect>
                <v:shape id="Shape 498" o:spid="_x0000_s1068" style="position:absolute;left:2195;top:3256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V/MMA&#10;AADcAAAADwAAAGRycy9kb3ducmV2LnhtbERPTWvCQBC9F/wPywi9NRtFSppmDUEUemnRpIcep9lp&#10;kpqdDdlVY3+9exB6fLzvLJ9ML840us6ygkUUgyCure64UfBZ7Z4SEM4ja+wtk4IrOcjXs4cMU20v&#10;fKBz6RsRQtilqKD1fkildHVLBl1kB+LA/djRoA9wbKQe8RLCTS+XcfwsDXYcGlocaNNSfSxPRkHz&#10;/n0tkhX+nWjpP6rfbrv/0lulHudT8QrC0+T/xXf3m1aweglrw5lwBO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YV/M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499" o:spid="_x0000_s1069" style="position:absolute;left:3037;top:32165;width:998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5D4C6F" w:rsidRDefault="00F86A01">
                        <w:pPr>
                          <w:spacing w:after="160" w:line="259" w:lineRule="auto"/>
                          <w:ind w:left="0" w:firstLine="0"/>
                        </w:pPr>
                        <w:r>
                          <w:rPr>
                            <w:sz w:val="17"/>
                          </w:rPr>
                          <w:t>Bankovní informace</w:t>
                        </w:r>
                      </w:p>
                    </w:txbxContent>
                  </v:textbox>
                </v:rect>
                <v:shape id="Shape 500" o:spid="_x0000_s1070" style="position:absolute;left:2195;top:3366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xSsMA&#10;AADcAAAADwAAAGRycy9kb3ducmV2LnhtbERPz2vCMBS+C/4P4Qm7iCYbKNIZZQwGmxdZWxFvb81b&#10;W2xeSpJp/e+Xg+Dx4/u93g62ExfyoXWs4XmuQBBXzrRcayiLj9kKRIjIBjvHpOFGAbab8WiNmXFX&#10;/qZLHmuRQjhkqKGJsc+kDFVDFsPc9cSJ+3XeYkzQ19J4vKZw28kXpZbSYsupocGe3huqzvmf1XBe&#10;Fflx+rUfiv3P8sC7k/K3stT6aTK8vYKINMSH+O7+NBoWKs1P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dxSs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1" o:spid="_x0000_s1071" style="position:absolute;left:3037;top:33263;width:705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Ostatní služby</w:t>
                        </w:r>
                      </w:p>
                    </w:txbxContent>
                  </v:textbox>
                </v:rect>
                <v:rect id="Rectangle 502" o:spid="_x0000_s1072" style="position:absolute;top:35273;width:11849;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5D4C6F" w:rsidRDefault="00F86A01">
                        <w:pPr>
                          <w:spacing w:after="160" w:line="259" w:lineRule="auto"/>
                          <w:ind w:left="0" w:firstLine="0"/>
                        </w:pPr>
                        <w:r>
                          <w:rPr>
                            <w:sz w:val="20"/>
                          </w:rPr>
                          <w:t>Již nenabízené služby</w:t>
                        </w:r>
                      </w:p>
                    </w:txbxContent>
                  </v:textbox>
                </v:rect>
                <v:shape id="Shape 503" o:spid="_x0000_s1073" style="position:absolute;left:2195;top:3790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vPcYA&#10;AADcAAAADwAAAGRycy9kb3ducmV2LnhtbESPQWsCMRSE70L/Q3hCL1KTViqyGqUUCq0X6e4W8fbc&#10;PHcXNy9Lkur675tCocdhZr5hVpvBduJCPrSONTxOFQjiypmWaw1l8fawABEissHOMWm4UYDN+m60&#10;wsy4K3/SJY+1SBAOGWpoYuwzKUPVkMUwdT1x8k7OW4xJ+loaj9cEt518UmouLbacFhrs6bWh6px/&#10;Ww3nRZHvJx+7odgd51+8PSh/K0ut78fDyxJEpCH+h//a70bDs5rB75l0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XvP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4" o:spid="_x0000_s1074" style="position:absolute;left:3037;top:37507;width:124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Každodenní bankovnictví</w:t>
                        </w:r>
                      </w:p>
                    </w:txbxContent>
                  </v:textbox>
                </v:rect>
                <v:shape id="Shape 505" o:spid="_x0000_s1075" style="position:absolute;left:2195;top:3900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76" style="position:absolute;left:3037;top:38605;width:596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5D4C6F" w:rsidRDefault="00F86A01">
                        <w:pPr>
                          <w:spacing w:after="160" w:line="259" w:lineRule="auto"/>
                          <w:ind w:left="0" w:firstLine="0"/>
                        </w:pPr>
                        <w:r>
                          <w:rPr>
                            <w:sz w:val="17"/>
                          </w:rPr>
                          <w:t>Financování</w:t>
                        </w:r>
                      </w:p>
                    </w:txbxContent>
                  </v:textbox>
                </v:rect>
                <v:shape id="Shape 507" o:spid="_x0000_s1077" style="position:absolute;left:2195;top:4010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blMYA&#10;AADcAAAADwAAAGRycy9kb3ducmV2LnhtbESPzWvCQBTE70L/h+UVetON0g+J2QQpFrwo9ePg8Zl9&#10;JtHs25DdaOxf7xYKPQ4z8xsmyXpTiyu1rrKsYDyKQBDnVldcKNjvvoZTEM4ja6wtk4I7OcjSp0GC&#10;sbY33tB16wsRIOxiVFB638RSurwkg25kG+LgnWxr0AfZFlK3eAtwU8tJFL1LgxWHhRIb+iwpv2w7&#10;o6BYHe/z6Sv+dDTx6925Wnwf9EKpl+d+PgPhqff/4b/2Uit4iz7g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Ibl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8" o:spid="_x0000_s1078" style="position:absolute;left:3037;top:39703;width:927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VcMA&#10;AADcAAAADwAAAGRycy9kb3ducmV2LnhtbERPTWvCQBC9F/wPywi91Y1Ci8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JMVcMAAADcAAAADwAAAAAAAAAAAAAAAACYAgAAZHJzL2Rv&#10;d25yZXYueG1sUEsFBgAAAAAEAAQA9QAAAIgDAAAAAA==&#10;" filled="f" stroked="f">
                  <v:textbox inset="0,0,0,0">
                    <w:txbxContent>
                      <w:p w:rsidR="005D4C6F" w:rsidRDefault="00F86A01">
                        <w:pPr>
                          <w:spacing w:after="160" w:line="259" w:lineRule="auto"/>
                          <w:ind w:left="0" w:firstLine="0"/>
                        </w:pPr>
                        <w:r>
                          <w:rPr>
                            <w:sz w:val="17"/>
                          </w:rPr>
                          <w:t>Spoření a pojištění</w:t>
                        </w:r>
                      </w:p>
                    </w:txbxContent>
                  </v:textbox>
                </v:rect>
                <v:shape id="Shape 509" o:spid="_x0000_s1079" style="position:absolute;left:2195;top:41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qfcUA&#10;AADcAAAADwAAAGRycy9kb3ducmV2LnhtbESPT4vCMBTE7wt+h/AEb2u6olKrUUQU9rKL/w4en82z&#10;rdu8lCZq9dNvBMHjMDO/YSazxpTiSrUrLCv46kYgiFOrC84U7HerzxiE88gaS8uk4E4OZtPWxwQT&#10;bW+8oevWZyJA2CWoIPe+SqR0aU4GXddWxME72dqgD7LOpK7xFuCmlL0oGkqDBYeFHCta5JT+bS9G&#10;QfZzvM/jPj4u1PO/u3OxXB/0UqlOu5mPQXhq/Dv8an9rBYNoBM8z4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Sp9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10" o:spid="_x0000_s1080" style="position:absolute;left:3037;top:40800;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5D4C6F" w:rsidRDefault="00F86A01">
                        <w:pPr>
                          <w:spacing w:after="160" w:line="259" w:lineRule="auto"/>
                          <w:ind w:left="0" w:firstLine="0"/>
                        </w:pPr>
                        <w:r>
                          <w:rPr>
                            <w:sz w:val="17"/>
                          </w:rPr>
                          <w:t>Ostatní služby</w:t>
                        </w:r>
                      </w:p>
                    </w:txbxContent>
                  </v:textbox>
                </v:rect>
                <v:rect id="Rectangle 511" o:spid="_x0000_s1081" style="position:absolute;top:42811;width:1801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5D4C6F" w:rsidRDefault="00F86A01">
                        <w:pPr>
                          <w:spacing w:after="160" w:line="259" w:lineRule="auto"/>
                          <w:ind w:left="0" w:firstLine="0"/>
                        </w:pPr>
                        <w:r>
                          <w:rPr>
                            <w:sz w:val="20"/>
                          </w:rPr>
                          <w:t>Zkratky a všeobecná ustanovení</w:t>
                        </w:r>
                      </w:p>
                    </w:txbxContent>
                  </v:textbox>
                </v:rect>
                <v:shape id="Shape 512" o:spid="_x0000_s1082" style="position:absolute;left:2195;top:4544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u0cQA&#10;AADcAAAADwAAAGRycy9kb3ducmV2LnhtbESPQYvCMBSE74L/ITxhb5pa3EW6RhFR8LKLaz14fDZv&#10;22rzUpqo1V9vBMHjMDPfMJNZaypxocaVlhUMBxEI4szqknMFu3TVH4NwHlljZZkU3MjBbNrtTDDR&#10;9sp/dNn6XAQIuwQVFN7XiZQuK8igG9iaOHj/tjHog2xyqRu8BripZBxFX9JgyWGhwJoWBWWn7dko&#10;yH8Ot/l4hPczxf43PZbLzV4vlfrotfNvEJ5a/w6/2mut4HMY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LtH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13" o:spid="_x0000_s1083" style="position:absolute;left:3037;top:45045;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5D4C6F" w:rsidRDefault="00F86A01">
                        <w:pPr>
                          <w:spacing w:after="160" w:line="259" w:lineRule="auto"/>
                          <w:ind w:left="0" w:firstLine="0"/>
                        </w:pPr>
                        <w:r>
                          <w:rPr>
                            <w:sz w:val="17"/>
                          </w:rPr>
                          <w:t>Vysvětlení použitých zkratek a pojmů</w:t>
                        </w:r>
                      </w:p>
                    </w:txbxContent>
                  </v:textbox>
                </v:rect>
                <v:shape id="Shape 514" o:spid="_x0000_s1084" style="position:absolute;left:2195;top:4654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XhlMYA&#10;AADcAAAADwAAAGRycy9kb3ducmV2LnhtbESPQWvCQBSE70L/w/IKvUjdWFRC6ioiFFovYhIpvb1m&#10;X5Ng9m3Y3Wr8992C4HGYmW+Y5XownTiT861lBdNJAoK4srrlWkFZvD2nIHxA1thZJgVX8rBePYyW&#10;mGl74QOd81CLCGGfoYImhD6T0lcNGfQT2xNH78c6gyFKV0vt8BLhppMvSbKQBluOCw32tG2oOuW/&#10;RsEpLfLP8cd+KPbfiyPvvhJ3LUulnh6HzSuIQEO4h2/td61gPp3B/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Xhl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5" o:spid="_x0000_s1085" style="position:absolute;left:3037;top:46143;width:1112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5D4C6F" w:rsidRDefault="00F86A01">
                        <w:pPr>
                          <w:spacing w:after="160" w:line="259" w:lineRule="auto"/>
                          <w:ind w:left="0" w:firstLine="0"/>
                        </w:pPr>
                        <w:r>
                          <w:rPr>
                            <w:sz w:val="17"/>
                          </w:rPr>
                          <w:t>Všeobecná ustanovení</w:t>
                        </w:r>
                      </w:p>
                    </w:txbxContent>
                  </v:textbox>
                </v:rect>
                <w10:anchorlock/>
              </v:group>
            </w:pict>
          </mc:Fallback>
        </mc:AlternateContent>
      </w:r>
    </w:p>
    <w:p w:rsidR="005D4C6F" w:rsidRDefault="00F86A01">
      <w:pPr>
        <w:spacing w:after="605" w:line="265" w:lineRule="auto"/>
        <w:ind w:left="10" w:right="87"/>
        <w:jc w:val="right"/>
      </w:pPr>
      <w:r>
        <w:rPr>
          <w:rFonts w:ascii="Tahoma" w:eastAsia="Tahoma" w:hAnsi="Tahoma" w:cs="Tahoma"/>
          <w:sz w:val="19"/>
        </w:rPr>
        <w:t xml:space="preserve">GARANCE KVALITY  </w:t>
      </w:r>
    </w:p>
    <w:p w:rsidR="005D4C6F" w:rsidRDefault="00F86A01">
      <w:pPr>
        <w:pStyle w:val="Nadpis1"/>
        <w:ind w:left="-5"/>
      </w:pPr>
      <w:r>
        <w:t>GARANCE KVALITY</w:t>
      </w:r>
    </w:p>
    <w:p w:rsidR="005D4C6F" w:rsidRDefault="00F86A01">
      <w:pPr>
        <w:spacing w:after="303" w:line="259" w:lineRule="auto"/>
        <w:ind w:left="0" w:firstLine="0"/>
      </w:pPr>
      <w:r>
        <w:rPr>
          <w:rFonts w:ascii="Calibri" w:eastAsia="Calibri" w:hAnsi="Calibri" w:cs="Calibri"/>
          <w:noProof/>
          <w:sz w:val="22"/>
        </w:rPr>
        <mc:AlternateContent>
          <mc:Choice Requires="wpg">
            <w:drawing>
              <wp:inline distT="0" distB="0" distL="0" distR="0">
                <wp:extent cx="6718051" cy="7318"/>
                <wp:effectExtent l="0" t="0" r="0" b="0"/>
                <wp:docPr id="54128" name="Group 5412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86885" name="Shape 86885"/>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29DE76C7" id="Group 5412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bO9zHIQC&#10;AABZBgAADgAAAAAAAAAAAAAAAAAuAgAAZHJzL2Uyb0RvYy54bWxQSwECLQAUAAYACAAAACEAN8MA&#10;1toAAAAEAQAADwAAAAAAAAAAAAAAAADeBAAAZHJzL2Rvd25yZXYueG1sUEsFBgAAAAAEAAQA8wAA&#10;AOUFAAAAAA==&#10;">
                <v:shape id="Shape 86885"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2jckA&#10;AADeAAAADwAAAGRycy9kb3ducmV2LnhtbESP0UrDQBRE3wX/YbkFX4rdWG0MsdsilYpQqDH1A67Z&#10;22wwezdkt23067tCwcdhZs4w8+VgW3Gk3jeOFdxNEhDEldMN1wo+d+vbDIQPyBpbx6TghzwsF9dX&#10;c8y1O/EHHctQiwhhn6MCE0KXS+krQxb9xHXE0du73mKIsq+l7vEU4baV0yRJpcWG44LBjlaGqu/y&#10;YBU8lq/FPf1+mU06nr1vH16K3WZcKHUzGp6fQAQawn/40n7TCrI0y2bwdydeAbk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Na2jc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p w:rsidR="005D4C6F" w:rsidRDefault="00F86A01">
      <w:pPr>
        <w:pStyle w:val="Nadpis2"/>
        <w:spacing w:after="34"/>
        <w:ind w:left="151"/>
      </w:pPr>
      <w:r>
        <w:t>Záleží nám na Vaší spokojenosti</w:t>
      </w:r>
    </w:p>
    <w:p w:rsidR="005D4C6F" w:rsidRDefault="00F86A01">
      <w:pPr>
        <w:spacing w:after="57" w:line="259" w:lineRule="auto"/>
        <w:ind w:left="-5" w:right="167"/>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Zákaznická zkušenost. V případě, že nesouhlasíte ani s tímto řešením, je možné se písemně obrátit v duchu principů Charty ombudsmana, na nezávislého ombudsmana skupiny Komerční banky.</w:t>
      </w:r>
    </w:p>
    <w:p w:rsidR="005D4C6F" w:rsidRDefault="00F86A01">
      <w:pPr>
        <w:spacing w:after="188" w:line="259" w:lineRule="auto"/>
        <w:ind w:left="0" w:firstLine="0"/>
      </w:pPr>
      <w:r>
        <w:rPr>
          <w:sz w:val="17"/>
        </w:rPr>
        <w:lastRenderedPageBreak/>
        <w:t xml:space="preserve"> </w:t>
      </w:r>
    </w:p>
    <w:p w:rsidR="005D4C6F" w:rsidRDefault="00F86A01">
      <w:pPr>
        <w:spacing w:after="0" w:line="216" w:lineRule="auto"/>
        <w:ind w:left="795" w:right="2569" w:firstLine="0"/>
      </w:pPr>
      <w:r>
        <w:rPr>
          <w:b/>
          <w:sz w:val="20"/>
        </w:rPr>
        <w:t>Komerční banka, a. s.</w:t>
      </w:r>
      <w:r>
        <w:rPr>
          <w:b/>
          <w:sz w:val="20"/>
        </w:rPr>
        <w:tab/>
      </w:r>
      <w:r>
        <w:rPr>
          <w:sz w:val="20"/>
        </w:rPr>
        <w:t xml:space="preserve"> </w:t>
      </w:r>
      <w:r>
        <w:rPr>
          <w:sz w:val="20"/>
        </w:rPr>
        <w:tab/>
      </w:r>
      <w:r>
        <w:rPr>
          <w:b/>
          <w:sz w:val="20"/>
        </w:rPr>
        <w:t xml:space="preserve">Ombudsman skupiny Komerční banky </w:t>
      </w:r>
      <w:r>
        <w:rPr>
          <w:sz w:val="20"/>
        </w:rPr>
        <w:t>Zákaznická zkušenost</w:t>
      </w:r>
      <w:r>
        <w:rPr>
          <w:sz w:val="20"/>
        </w:rPr>
        <w:tab/>
        <w:t>náměstí Junkových 2772/1 náměstí Junkových 2772/1</w:t>
      </w:r>
      <w:r>
        <w:rPr>
          <w:sz w:val="20"/>
        </w:rPr>
        <w:tab/>
        <w:t>155 00 Praha 5</w:t>
      </w:r>
    </w:p>
    <w:p w:rsidR="005D4C6F" w:rsidRDefault="00F86A01">
      <w:pPr>
        <w:spacing w:after="0" w:line="216" w:lineRule="auto"/>
        <w:ind w:left="795" w:right="2573" w:firstLine="0"/>
      </w:pPr>
      <w:r>
        <w:rPr>
          <w:sz w:val="20"/>
        </w:rPr>
        <w:t>155 00 Praha 5</w:t>
      </w:r>
      <w:r>
        <w:rPr>
          <w:sz w:val="20"/>
        </w:rPr>
        <w:tab/>
      </w:r>
      <w:r>
        <w:rPr>
          <w:color w:val="0000EE"/>
          <w:sz w:val="17"/>
          <w:u w:val="single" w:color="0000EE"/>
        </w:rPr>
        <w:t>ombudsman@kb.cz stiznostiareklamace@kb.cz</w:t>
      </w:r>
    </w:p>
    <w:p w:rsidR="005D4C6F" w:rsidRDefault="005D4C6F">
      <w:pPr>
        <w:sectPr w:rsidR="005D4C6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5D4C6F" w:rsidRDefault="00F86A01">
      <w:pPr>
        <w:pStyle w:val="Nadpis1"/>
        <w:ind w:left="-5"/>
      </w:pPr>
      <w:r>
        <w:lastRenderedPageBreak/>
        <w:t>KAŽDODENNÍ BANKOVNICTVÍ</w:t>
      </w:r>
    </w:p>
    <w:p w:rsidR="005D4C6F" w:rsidRDefault="00F86A01">
      <w:pPr>
        <w:spacing w:after="303" w:line="259" w:lineRule="auto"/>
        <w:ind w:left="0" w:right="-55" w:firstLine="0"/>
      </w:pPr>
      <w:r>
        <w:rPr>
          <w:rFonts w:ascii="Calibri" w:eastAsia="Calibri" w:hAnsi="Calibri" w:cs="Calibri"/>
          <w:noProof/>
          <w:sz w:val="22"/>
        </w:rPr>
        <mc:AlternateContent>
          <mc:Choice Requires="wpg">
            <w:drawing>
              <wp:inline distT="0" distB="0" distL="0" distR="0">
                <wp:extent cx="6718051" cy="7318"/>
                <wp:effectExtent l="0" t="0" r="0" b="0"/>
                <wp:docPr id="74114" name="Group 74114"/>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86886" name="Shape 8688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59A7A57" id="Group 74114"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TrAbFIQC&#10;AABZBgAADgAAAAAAAAAAAAAAAAAuAgAAZHJzL2Uyb0RvYy54bWxQSwECLQAUAAYACAAAACEAN8MA&#10;1toAAAAEAQAADwAAAAAAAAAAAAAAAADeBAAAZHJzL2Rvd25yZXYueG1sUEsFBgAAAAAEAAQA8wAA&#10;AOUFAAAAAA==&#10;">
                <v:shape id="Shape 8688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skA&#10;AADeAAAADwAAAGRycy9kb3ducmV2LnhtbESP0UrDQBRE3wX/YblCX0q7sWoaYrdFFEUo2DTtB9xm&#10;r9lg9m7Irm3s17sFwcdhZs4wi9VgW3Gk3jeOFdxOExDEldMN1wr2u9dJBsIHZI2tY1LwQx5Wy+ur&#10;BebanXhLxzLUIkLY56jAhNDlUvrKkEU/dR1x9D5dbzFE2ddS93iKcNvKWZKk0mLDccFgR8+Gqq/y&#10;2yqYl2/FHZ0PZp2OHzYf9y/Fbj0ulBrdDE+PIAIN4T/8137XCrI0y1K43I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AQo+s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p w:rsidR="005D4C6F" w:rsidRDefault="00F86A01">
      <w:pPr>
        <w:pStyle w:val="Nadpis2"/>
        <w:ind w:left="151"/>
      </w:pPr>
      <w:r>
        <w:t>Balíčky a běžné účty</w:t>
      </w:r>
    </w:p>
    <w:tbl>
      <w:tblPr>
        <w:tblStyle w:val="TableGrid"/>
        <w:tblW w:w="10580" w:type="dxa"/>
        <w:tblInd w:w="0" w:type="dxa"/>
        <w:tblCellMar>
          <w:top w:w="69" w:type="dxa"/>
          <w:left w:w="161" w:type="dxa"/>
          <w:right w:w="70" w:type="dxa"/>
        </w:tblCellMar>
        <w:tblLook w:val="04A0" w:firstRow="1" w:lastRow="0" w:firstColumn="1" w:lastColumn="0" w:noHBand="0" w:noVBand="1"/>
      </w:tblPr>
      <w:tblGrid>
        <w:gridCol w:w="1562"/>
        <w:gridCol w:w="1363"/>
        <w:gridCol w:w="951"/>
        <w:gridCol w:w="128"/>
        <w:gridCol w:w="1088"/>
        <w:gridCol w:w="306"/>
        <w:gridCol w:w="691"/>
        <w:gridCol w:w="89"/>
        <w:gridCol w:w="252"/>
        <w:gridCol w:w="521"/>
        <w:gridCol w:w="319"/>
        <w:gridCol w:w="189"/>
        <w:gridCol w:w="865"/>
        <w:gridCol w:w="44"/>
        <w:gridCol w:w="126"/>
        <w:gridCol w:w="968"/>
        <w:gridCol w:w="66"/>
        <w:gridCol w:w="1052"/>
      </w:tblGrid>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83" w:firstLine="0"/>
              <w:jc w:val="center"/>
            </w:pPr>
            <w:r>
              <w:rPr>
                <w:sz w:val="20"/>
              </w:rPr>
              <w:t>Měsíční cena</w:t>
            </w:r>
          </w:p>
        </w:tc>
      </w:tr>
      <w:tr w:rsidR="005D4C6F">
        <w:trPr>
          <w:trHeight w:val="910"/>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Balíček Komplet</w:t>
            </w:r>
          </w:p>
          <w:p w:rsidR="005D4C6F" w:rsidRDefault="00F86A01">
            <w:pPr>
              <w:spacing w:after="0" w:line="259" w:lineRule="auto"/>
              <w:ind w:left="0" w:firstLine="0"/>
              <w:jc w:val="both"/>
            </w:pPr>
            <w:r>
              <w:rPr>
                <w:sz w:val="20"/>
              </w:rPr>
              <w:t>vedení Běžného účtu v Kč, vedení druhého Běžného účtu v Kč nebo v cizí měně, poskytnutí jedné debetní Stříbrné firemní karty, zasílání jednoho výpisu z účtu elektronicky s měsíční četností ke každému Běžnému účtu vedenému v rámci balíčku, internetové bankovnictví Profibanka, MojeBanka Business, Mobilní banka a služba Přímý kanál</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81" w:firstLine="0"/>
              <w:jc w:val="center"/>
            </w:pPr>
            <w:r>
              <w:rPr>
                <w:sz w:val="17"/>
              </w:rPr>
              <w:t>569</w:t>
            </w:r>
          </w:p>
        </w:tc>
      </w:tr>
      <w:tr w:rsidR="005D4C6F">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Balíčky elektronického zpracování odchozích úhrad</w:t>
            </w:r>
          </w:p>
        </w:tc>
        <w:tc>
          <w:tcPr>
            <w:tcW w:w="5290" w:type="dxa"/>
            <w:gridSpan w:val="1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9" w:firstLine="0"/>
              <w:jc w:val="center"/>
            </w:pPr>
            <w:r>
              <w:rPr>
                <w:sz w:val="20"/>
              </w:rPr>
              <w:t>Počet zpracování</w:t>
            </w:r>
          </w:p>
        </w:tc>
      </w:tr>
      <w:tr w:rsidR="005D4C6F">
        <w:trPr>
          <w:trHeight w:val="323"/>
        </w:trPr>
        <w:tc>
          <w:tcPr>
            <w:tcW w:w="0" w:type="auto"/>
            <w:gridSpan w:val="6"/>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8"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8"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8"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8"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8" w:firstLine="0"/>
              <w:jc w:val="center"/>
            </w:pPr>
            <w:r>
              <w:rPr>
                <w:sz w:val="20"/>
              </w:rPr>
              <w:t>1 000</w:t>
            </w:r>
          </w:p>
        </w:tc>
      </w:tr>
      <w:tr w:rsidR="005D4C6F">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5"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5"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5" w:firstLine="0"/>
              <w:jc w:val="center"/>
            </w:pPr>
            <w:r>
              <w:rPr>
                <w:sz w:val="17"/>
              </w:rPr>
              <w:t>1 690</w:t>
            </w:r>
          </w:p>
        </w:tc>
      </w:tr>
      <w:tr w:rsidR="005D4C6F">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both"/>
            </w:pPr>
            <w:r>
              <w:rPr>
                <w:sz w:val="17"/>
              </w:rPr>
              <w:t>Obsahuje položky za transakce pořízené prostřednictvím internetového bankovnictví Profibanka / MojeBanka / MojeBanka Business / Mobilní banka a službou Přímý kanál / MultiCash KB, jsou-li sjednány.</w:t>
            </w: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Měsíční cena</w:t>
            </w: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Běžného účtu v Kč nebo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195</w:t>
            </w:r>
          </w:p>
        </w:tc>
      </w:tr>
      <w:tr w:rsidR="005D4C6F">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16" w:lineRule="auto"/>
              <w:ind w:left="0" w:right="3026" w:firstLine="0"/>
            </w:pPr>
            <w:r>
              <w:rPr>
                <w:b/>
                <w:sz w:val="20"/>
              </w:rPr>
              <w:t xml:space="preserve">Vedení Běžného účtu v balíčku pro Municipality v Kč a v cizí měně </w:t>
            </w:r>
            <w:r>
              <w:rPr>
                <w:sz w:val="20"/>
              </w:rPr>
              <w:t>zasílání výpisu s měsíční četností elektronicky nebo poštou</w:t>
            </w:r>
          </w:p>
          <w:p w:rsidR="005D4C6F" w:rsidRDefault="00F86A01">
            <w:pPr>
              <w:spacing w:after="0" w:line="259" w:lineRule="auto"/>
              <w:ind w:left="0" w:firstLine="0"/>
            </w:pPr>
            <w:r>
              <w:rPr>
                <w:sz w:val="20"/>
              </w:rPr>
              <w:t>první rok zdarma Expresní linka včetně zmocněných osob a jednorázového poplatku za zmocnění</w:t>
            </w:r>
          </w:p>
          <w:p w:rsidR="005D4C6F" w:rsidRDefault="00F86A01">
            <w:pPr>
              <w:spacing w:after="0" w:line="216" w:lineRule="auto"/>
              <w:ind w:left="0" w:firstLine="0"/>
            </w:pPr>
            <w:r>
              <w:rPr>
                <w:sz w:val="20"/>
              </w:rPr>
              <w:t>první rok zdarma internetové bankovnictví MojeBanka / MojeBanka Business se službou Přímý kanál včetně zmocněných osob</w:t>
            </w:r>
          </w:p>
          <w:p w:rsidR="005D4C6F" w:rsidRDefault="00F86A01">
            <w:pPr>
              <w:spacing w:after="0" w:line="259" w:lineRule="auto"/>
              <w:ind w:left="0" w:firstLine="0"/>
            </w:pPr>
            <w:r>
              <w:rPr>
                <w:sz w:val="20"/>
              </w:rPr>
              <w:t>první rok zdarma internetové bankovnicví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Běžného účtu v Kč pro církevní organizace</w:t>
            </w:r>
          </w:p>
          <w:p w:rsidR="005D4C6F" w:rsidRDefault="00F86A01">
            <w:pPr>
              <w:spacing w:after="0" w:line="259" w:lineRule="auto"/>
              <w:ind w:left="0" w:firstLine="0"/>
            </w:pPr>
            <w:r>
              <w:rPr>
                <w:sz w:val="20"/>
              </w:rPr>
              <w:t>Součástí je internetové bankovnictví MojeBanka, MojeBanka Business a zasílání výpisu s měsíční četností elektronicky</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83" w:firstLine="0"/>
            </w:pPr>
            <w:r>
              <w:rPr>
                <w:b/>
                <w:sz w:val="20"/>
              </w:rPr>
              <w:t xml:space="preserve">Vedení Běžného účtu v Kč nebo cizí měně pro složení peněžitých prostředků právnické osoby před vznikem </w:t>
            </w:r>
            <w:r>
              <w:rPr>
                <w:sz w:val="20"/>
              </w:rPr>
              <w:t>Zasílání výpisu s libovolnou četností elektronicky nebo poštou denně při pohybu na účtu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Běžného účtu Fondu rozvoje bydlení</w:t>
            </w:r>
          </w:p>
          <w:p w:rsidR="005D4C6F" w:rsidRDefault="00F86A01">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195</w:t>
            </w: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Měsíční cena</w:t>
            </w:r>
          </w:p>
        </w:tc>
      </w:tr>
      <w:tr w:rsidR="005D4C6F">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vázaného Běžného účtu v Kč</w:t>
            </w:r>
          </w:p>
        </w:tc>
        <w:tc>
          <w:tcPr>
            <w:tcW w:w="212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195</w:t>
            </w: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Běžného účtu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195</w:t>
            </w: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Běžného kontokorentního účtu</w:t>
            </w:r>
          </w:p>
          <w:p w:rsidR="005D4C6F" w:rsidRDefault="00F86A01">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b/>
                <w:sz w:val="20"/>
              </w:rPr>
              <w:t>Vedení neúročených Běžných účtů v Kč, USD, EUR</w:t>
            </w:r>
          </w:p>
          <w:p w:rsidR="005D4C6F" w:rsidRDefault="00F86A01">
            <w:pPr>
              <w:spacing w:after="0" w:line="259" w:lineRule="auto"/>
              <w:ind w:left="0" w:firstLine="0"/>
            </w:pPr>
            <w:r>
              <w:rPr>
                <w:sz w:val="20"/>
              </w:rPr>
              <w:t>Podmínkou pro zřízení tohoto účtu je aktivní podnikatelský Běžný účet / balíček v obsluze poboček, Korporátních a</w:t>
            </w:r>
          </w:p>
          <w:p w:rsidR="005D4C6F" w:rsidRDefault="00F86A01">
            <w:pPr>
              <w:spacing w:after="0" w:line="259" w:lineRule="auto"/>
              <w:ind w:left="0" w:firstLine="0"/>
            </w:pPr>
            <w:r>
              <w:rPr>
                <w:sz w:val="20"/>
              </w:rPr>
              <w:t xml:space="preserve">Obchodních divizí. Účty jsou určeny pro specifické obchody a zajištění aktivních obchodů a dále subjektům se specifickými potřebami pro uložení depozit za účelem evidence - zejména </w:t>
            </w:r>
            <w:r>
              <w:rPr>
                <w:sz w:val="20"/>
              </w:rPr>
              <w:lastRenderedPageBreak/>
              <w:t>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lastRenderedPageBreak/>
              <w:t>zdarma</w:t>
            </w:r>
          </w:p>
        </w:tc>
      </w:tr>
      <w:tr w:rsidR="005D4C6F">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Zřízení, změna a zrušení blokace a rezervace prostředků na Běžných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100</w:t>
            </w:r>
          </w:p>
        </w:tc>
      </w:tr>
      <w:tr w:rsidR="005D4C6F">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Zaslání upomínky - oznámení o vzniku nepovoleného debetu / 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100</w:t>
            </w:r>
          </w:p>
        </w:tc>
      </w:tr>
      <w:tr w:rsidR="005D4C6F">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500</w:t>
            </w:r>
          </w:p>
        </w:tc>
      </w:tr>
      <w:tr w:rsidR="005D4C6F">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Zasílání výpisů z účtu (pokud není součástí balíčku)</w:t>
            </w:r>
          </w:p>
        </w:tc>
      </w:tr>
      <w:tr w:rsidR="005D4C6F">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Měsíční cena</w:t>
            </w:r>
          </w:p>
        </w:tc>
      </w:tr>
      <w:tr w:rsidR="005D4C6F">
        <w:trPr>
          <w:trHeight w:val="323"/>
        </w:trPr>
        <w:tc>
          <w:tcPr>
            <w:tcW w:w="0" w:type="auto"/>
            <w:gridSpan w:val="3"/>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Poštou</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Osobní odběr na pobočce</w:t>
            </w:r>
          </w:p>
        </w:tc>
      </w:tr>
      <w:tr w:rsidR="005D4C6F">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85</w:t>
            </w:r>
          </w:p>
        </w:tc>
        <w:tc>
          <w:tcPr>
            <w:tcW w:w="2293" w:type="dxa"/>
            <w:gridSpan w:val="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190</w:t>
            </w:r>
          </w:p>
        </w:tc>
      </w:tr>
      <w:tr w:rsidR="005D4C6F">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350</w:t>
            </w:r>
          </w:p>
        </w:tc>
        <w:tc>
          <w:tcPr>
            <w:tcW w:w="2293" w:type="dxa"/>
            <w:gridSpan w:val="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650</w:t>
            </w:r>
          </w:p>
        </w:tc>
      </w:tr>
      <w:tr w:rsidR="005D4C6F">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1 450</w:t>
            </w:r>
          </w:p>
        </w:tc>
      </w:tr>
      <w:tr w:rsidR="005D4C6F">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35</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60</w:t>
            </w:r>
          </w:p>
        </w:tc>
      </w:tr>
      <w:tr w:rsidR="005D4C6F">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200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90</w:t>
            </w:r>
          </w:p>
        </w:tc>
      </w:tr>
      <w:tr w:rsidR="005D4C6F">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5D4C6F">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b/>
                <w:sz w:val="20"/>
              </w:rPr>
              <w:t>( + ) Zasílání výpisu z Běžného účtu do zahraničí se připočítává k cenám za jednotlivé výpisy</w:t>
            </w:r>
          </w:p>
        </w:tc>
      </w:tr>
      <w:tr w:rsidR="005D4C6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69</w:t>
            </w:r>
          </w:p>
        </w:tc>
      </w:tr>
      <w:tr w:rsidR="005D4C6F">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center"/>
            </w:pPr>
            <w:r>
              <w:rPr>
                <w:sz w:val="20"/>
              </w:rPr>
              <w:t>Zaslání výpisu z Běžného účtu do zahraničí z podnětu klienta</w:t>
            </w:r>
          </w:p>
        </w:tc>
      </w:tr>
      <w:tr w:rsidR="005D4C6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Výpis do zahraničí ve formátu SWIFT MT 940 (za každý účet a BIC / SWIFT kód)</w:t>
            </w:r>
          </w:p>
        </w:tc>
        <w:tc>
          <w:tcPr>
            <w:tcW w:w="3705" w:type="dxa"/>
            <w:gridSpan w:val="8"/>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 za jednu stranu zaslaného výpisu, max. 3 000 měsíčně</w:t>
            </w:r>
          </w:p>
        </w:tc>
      </w:tr>
      <w:tr w:rsidR="005D4C6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Denní výpis do zahraničí ve formátu MT 942 (za každý účet a BIC / SWIFT kód)</w:t>
            </w:r>
          </w:p>
        </w:tc>
        <w:tc>
          <w:tcPr>
            <w:tcW w:w="3705" w:type="dxa"/>
            <w:gridSpan w:val="8"/>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individuálně</w:t>
            </w:r>
          </w:p>
        </w:tc>
      </w:tr>
      <w:tr w:rsidR="005D4C6F">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Poskytnutí kopie výpisu na vyžádání klienta</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Vyhotovení kopie výpisu</w:t>
            </w:r>
          </w:p>
        </w:tc>
        <w:tc>
          <w:tcPr>
            <w:tcW w:w="3705" w:type="dxa"/>
            <w:gridSpan w:val="8"/>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 za jednotlivý výpis, max. 1 500</w:t>
            </w:r>
          </w:p>
        </w:tc>
      </w:tr>
      <w:tr w:rsidR="005D4C6F">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Zápis kopie výpisu na USB flash disk</w:t>
            </w:r>
          </w:p>
        </w:tc>
        <w:tc>
          <w:tcPr>
            <w:tcW w:w="3705" w:type="dxa"/>
            <w:gridSpan w:val="8"/>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250</w:t>
            </w:r>
          </w:p>
        </w:tc>
      </w:tr>
      <w:tr w:rsidR="005D4C6F">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right="41"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7" w:firstLine="0"/>
              <w:jc w:val="center"/>
            </w:pPr>
            <w:r>
              <w:rPr>
                <w:sz w:val="20"/>
              </w:rPr>
              <w:t>do</w:t>
            </w:r>
          </w:p>
          <w:p w:rsidR="005D4C6F" w:rsidRDefault="00F86A01">
            <w:pPr>
              <w:spacing w:after="0" w:line="259" w:lineRule="auto"/>
              <w:ind w:left="0" w:right="8" w:firstLine="0"/>
              <w:jc w:val="right"/>
            </w:pPr>
            <w:r>
              <w:rPr>
                <w:sz w:val="20"/>
              </w:rPr>
              <w:lastRenderedPageBreak/>
              <w:t>stanoveného</w:t>
            </w:r>
          </w:p>
          <w:p w:rsidR="005D4C6F" w:rsidRDefault="00F86A01">
            <w:pPr>
              <w:spacing w:after="0" w:line="259" w:lineRule="auto"/>
              <w:ind w:left="4" w:firstLine="0"/>
              <w:jc w:val="center"/>
            </w:pPr>
            <w:r>
              <w:rPr>
                <w:sz w:val="20"/>
              </w:rPr>
              <w:t>objemu vč. v</w:t>
            </w:r>
          </w:p>
          <w:p w:rsidR="005D4C6F" w:rsidRDefault="00F86A01">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5D4C6F" w:rsidRDefault="00F86A01">
            <w:pPr>
              <w:spacing w:after="0" w:line="259" w:lineRule="auto"/>
              <w:ind w:left="11"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784"/>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 w:firstLine="0"/>
              <w:jc w:val="center"/>
            </w:pPr>
            <w:r>
              <w:rPr>
                <w:sz w:val="20"/>
              </w:rPr>
              <w:t>od 100 mil.</w:t>
            </w:r>
          </w:p>
          <w:p w:rsidR="005D4C6F" w:rsidRDefault="00F86A01">
            <w:pPr>
              <w:spacing w:after="0" w:line="259" w:lineRule="auto"/>
              <w:ind w:left="5" w:firstLine="0"/>
              <w:jc w:val="center"/>
            </w:pPr>
            <w:r>
              <w:rPr>
                <w:sz w:val="20"/>
              </w:rPr>
              <w:t>Kč do 1 mld.</w:t>
            </w:r>
          </w:p>
          <w:p w:rsidR="005D4C6F" w:rsidRDefault="00F86A01">
            <w:pPr>
              <w:spacing w:after="0" w:line="259" w:lineRule="auto"/>
              <w:ind w:left="6"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6"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5" w:firstLine="0"/>
              <w:jc w:val="center"/>
            </w:pPr>
            <w:r>
              <w:rPr>
                <w:sz w:val="20"/>
              </w:rPr>
              <w:t>nad 10 mil.</w:t>
            </w:r>
          </w:p>
          <w:p w:rsidR="005D4C6F" w:rsidRDefault="00F86A01">
            <w:pPr>
              <w:spacing w:after="0" w:line="259" w:lineRule="auto"/>
              <w:ind w:left="9"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5" w:firstLine="0"/>
              <w:jc w:val="center"/>
            </w:pPr>
            <w:r>
              <w:rPr>
                <w:sz w:val="20"/>
              </w:rPr>
              <w:t>nad 40 tis.</w:t>
            </w:r>
          </w:p>
          <w:p w:rsidR="005D4C6F" w:rsidRDefault="00F86A01">
            <w:pPr>
              <w:spacing w:after="0" w:line="259" w:lineRule="auto"/>
              <w:ind w:left="6"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5" w:firstLine="0"/>
              <w:jc w:val="center"/>
            </w:pPr>
            <w:r>
              <w:rPr>
                <w:sz w:val="20"/>
              </w:rPr>
              <w:t>nad 300 tis.</w:t>
            </w:r>
          </w:p>
          <w:p w:rsidR="005D4C6F" w:rsidRDefault="00F86A01">
            <w:pPr>
              <w:spacing w:after="0" w:line="259" w:lineRule="auto"/>
              <w:ind w:left="8"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6" w:firstLine="0"/>
              <w:jc w:val="center"/>
            </w:pPr>
            <w:r>
              <w:rPr>
                <w:sz w:val="20"/>
              </w:rPr>
              <w:t>nad 5 mil. JPY</w:t>
            </w:r>
          </w:p>
        </w:tc>
      </w:tr>
      <w:tr w:rsidR="005D4C6F">
        <w:trPr>
          <w:trHeight w:val="334"/>
        </w:trPr>
        <w:tc>
          <w:tcPr>
            <w:tcW w:w="158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7" w:firstLine="0"/>
              <w:jc w:val="center"/>
            </w:pPr>
            <w:r>
              <w:rPr>
                <w:sz w:val="20"/>
              </w:rPr>
              <w:t xml:space="preserve">Poplatek z depozit </w:t>
            </w:r>
            <w:r>
              <w:rPr>
                <w:sz w:val="20"/>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0,5 % p.a.</w:t>
            </w:r>
          </w:p>
        </w:tc>
      </w:tr>
    </w:tbl>
    <w:p w:rsidR="005D4C6F" w:rsidRDefault="00F86A01">
      <w:pPr>
        <w:spacing w:line="216" w:lineRule="auto"/>
        <w:ind w:left="199" w:right="10"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5D4C6F" w:rsidRDefault="00F86A01">
      <w:pPr>
        <w:ind w:left="223" w:right="10"/>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D4C6F">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20"/>
              </w:rPr>
              <w:t>Poplatek z přírůstku depozit klienta, pokud celkový objem uložených prostředků za všechny měny k</w:t>
            </w:r>
          </w:p>
          <w:p w:rsidR="005D4C6F" w:rsidRDefault="00F86A01">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8" w:firstLine="0"/>
              <w:jc w:val="center"/>
            </w:pPr>
            <w:r>
              <w:rPr>
                <w:sz w:val="17"/>
              </w:rPr>
              <w:t>bez poplatku</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20"/>
              </w:rPr>
              <w:t>Poplatek z přírůstku depozit klienta, pokud celkový objem uložených prostředků za všechny měny k</w:t>
            </w:r>
          </w:p>
          <w:p w:rsidR="005D4C6F" w:rsidRDefault="00F86A01">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2" w:firstLine="0"/>
              <w:jc w:val="center"/>
            </w:pPr>
            <w:r>
              <w:rPr>
                <w:sz w:val="17"/>
              </w:rPr>
              <w:t>0,20 %</w:t>
            </w:r>
          </w:p>
        </w:tc>
      </w:tr>
    </w:tbl>
    <w:p w:rsidR="005D4C6F" w:rsidRDefault="00F86A01">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5D4C6F" w:rsidRDefault="00F86A01">
      <w:pPr>
        <w:spacing w:line="216" w:lineRule="auto"/>
        <w:ind w:left="223" w:right="10"/>
      </w:pPr>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5D4C6F" w:rsidRDefault="00F86A01">
      <w:pPr>
        <w:ind w:left="223" w:right="10"/>
      </w:pPr>
      <w:r>
        <w:t>Pokud je základ záporný, rovná se poplatek nule.</w:t>
      </w:r>
    </w:p>
    <w:p w:rsidR="005D4C6F" w:rsidRDefault="00F86A01">
      <w:pPr>
        <w:spacing w:line="216" w:lineRule="auto"/>
        <w:ind w:left="223" w:right="10"/>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5D4C6F" w:rsidRDefault="00F86A01">
      <w:pPr>
        <w:spacing w:line="216" w:lineRule="auto"/>
        <w:ind w:left="223" w:right="10"/>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5D4C6F" w:rsidRDefault="00F86A01">
      <w:pPr>
        <w:pStyle w:val="Nadpis2"/>
        <w:ind w:left="151"/>
      </w:pPr>
      <w:r>
        <w:t>Karty</w:t>
      </w:r>
    </w:p>
    <w:tbl>
      <w:tblPr>
        <w:tblStyle w:val="TableGrid"/>
        <w:tblW w:w="10580" w:type="dxa"/>
        <w:tblInd w:w="0" w:type="dxa"/>
        <w:tblCellMar>
          <w:top w:w="69" w:type="dxa"/>
          <w:right w:w="81" w:type="dxa"/>
        </w:tblCellMar>
        <w:tblLook w:val="04A0" w:firstRow="1" w:lastRow="0" w:firstColumn="1" w:lastColumn="0" w:noHBand="0" w:noVBand="1"/>
      </w:tblPr>
      <w:tblGrid>
        <w:gridCol w:w="3699"/>
        <w:gridCol w:w="1588"/>
        <w:gridCol w:w="130"/>
        <w:gridCol w:w="1717"/>
        <w:gridCol w:w="1723"/>
        <w:gridCol w:w="303"/>
        <w:gridCol w:w="1420"/>
      </w:tblGrid>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Debetní karty</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Poskytnutí debetních karet</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 w:firstLine="0"/>
              <w:jc w:val="center"/>
            </w:pPr>
            <w:r>
              <w:rPr>
                <w:sz w:val="20"/>
              </w:rPr>
              <w:t>Zlatá firemní karta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Typ poskytnuté debetní karty</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embosovaná</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Zdarma v rámci vedení účtu</w:t>
            </w:r>
          </w:p>
        </w:tc>
        <w:tc>
          <w:tcPr>
            <w:tcW w:w="1717"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8"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8"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Komplet</w:t>
            </w:r>
          </w:p>
        </w:tc>
        <w:tc>
          <w:tcPr>
            <w:tcW w:w="172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8" w:firstLine="0"/>
              <w:jc w:val="center"/>
            </w:pPr>
            <w:r>
              <w:rPr>
                <w:sz w:val="17"/>
              </w:rPr>
              <w:t>-</w:t>
            </w: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Roční cena za poskytnutí debetní karty (pokud není součástí vedení účtu)</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5"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5"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5" w:firstLine="0"/>
              <w:jc w:val="center"/>
            </w:pPr>
            <w:r>
              <w:rPr>
                <w:sz w:val="17"/>
              </w:rPr>
              <w:t>990</w:t>
            </w:r>
          </w:p>
        </w:tc>
        <w:tc>
          <w:tcPr>
            <w:tcW w:w="1723"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5" w:firstLine="0"/>
              <w:jc w:val="center"/>
            </w:pPr>
            <w:r>
              <w:rPr>
                <w:sz w:val="17"/>
              </w:rPr>
              <w:t>1 990</w:t>
            </w:r>
          </w:p>
        </w:tc>
      </w:tr>
      <w:tr w:rsidR="005D4C6F">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Služby v ceně za poskytnutí debetní karty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8"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5" w:firstLine="0"/>
              <w:jc w:val="center"/>
            </w:pPr>
            <w:r>
              <w:rPr>
                <w:sz w:val="17"/>
              </w:rPr>
              <w:t>Cestovní pojištění k</w:t>
            </w:r>
          </w:p>
          <w:p w:rsidR="005D4C6F" w:rsidRDefault="00F86A01">
            <w:pPr>
              <w:spacing w:after="0" w:line="259" w:lineRule="auto"/>
              <w:ind w:left="20"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16" w:lineRule="auto"/>
              <w:ind w:left="0" w:firstLine="0"/>
              <w:jc w:val="center"/>
            </w:pPr>
            <w:r>
              <w:rPr>
                <w:sz w:val="17"/>
              </w:rPr>
              <w:t>Cestovní pojištění k embosovaným kartám,</w:t>
            </w:r>
          </w:p>
          <w:p w:rsidR="005D4C6F" w:rsidRDefault="00F86A01">
            <w:pPr>
              <w:spacing w:after="0" w:line="259" w:lineRule="auto"/>
              <w:ind w:left="0" w:firstLine="0"/>
              <w:jc w:val="center"/>
            </w:pPr>
            <w:r>
              <w:rPr>
                <w:sz w:val="17"/>
              </w:rPr>
              <w:t>Asistenční služba pro motoristy</w:t>
            </w:r>
          </w:p>
        </w:tc>
        <w:tc>
          <w:tcPr>
            <w:tcW w:w="172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16" w:lineRule="auto"/>
              <w:ind w:left="0" w:firstLine="0"/>
              <w:jc w:val="center"/>
            </w:pPr>
            <w:r>
              <w:rPr>
                <w:sz w:val="17"/>
              </w:rPr>
              <w:t>Cestovní pojištění ke zlatým kartám,</w:t>
            </w:r>
          </w:p>
          <w:p w:rsidR="005D4C6F" w:rsidRDefault="00F86A01">
            <w:pPr>
              <w:spacing w:after="0" w:line="259" w:lineRule="auto"/>
              <w:ind w:left="0" w:firstLine="0"/>
              <w:jc w:val="center"/>
            </w:pPr>
            <w:r>
              <w:rPr>
                <w:sz w:val="17"/>
              </w:rPr>
              <w:t>Asistenční služba pro motoristy</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Vlastní design MojeKarta</w:t>
            </w:r>
          </w:p>
        </w:tc>
        <w:tc>
          <w:tcPr>
            <w:tcW w:w="343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 xml:space="preserve">149 jednorázově na 3 roky </w:t>
            </w:r>
            <w:r>
              <w:rPr>
                <w:sz w:val="23"/>
                <w:vertAlign w:val="superscript"/>
              </w:rPr>
              <w:t>1)</w:t>
            </w:r>
          </w:p>
        </w:tc>
        <w:tc>
          <w:tcPr>
            <w:tcW w:w="3446"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8" w:firstLine="0"/>
              <w:jc w:val="center"/>
            </w:pPr>
            <w:r>
              <w:rPr>
                <w:sz w:val="17"/>
              </w:rPr>
              <w:t>-</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Výběr hotovosti</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34"/>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z cizího bankomatu v ČR </w:t>
            </w:r>
            <w:r>
              <w:rPr>
                <w:sz w:val="20"/>
                <w:vertAlign w:val="superscript"/>
              </w:rPr>
              <w:t>2)</w:t>
            </w:r>
          </w:p>
        </w:tc>
        <w:tc>
          <w:tcPr>
            <w:tcW w:w="5157"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39</w:t>
            </w:r>
          </w:p>
        </w:tc>
        <w:tc>
          <w:tcPr>
            <w:tcW w:w="172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34"/>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z bankomatu v zahraničí </w:t>
            </w:r>
            <w:r>
              <w:rPr>
                <w:sz w:val="20"/>
                <w:vertAlign w:val="superscript"/>
              </w:rPr>
              <w:t>2)</w:t>
            </w:r>
          </w:p>
        </w:tc>
        <w:tc>
          <w:tcPr>
            <w:tcW w:w="5157"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99</w:t>
            </w:r>
          </w:p>
        </w:tc>
        <w:tc>
          <w:tcPr>
            <w:tcW w:w="172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pobočce v ČR i v zahraničí - Cash advance</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149</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lastRenderedPageBreak/>
              <w:t>na pokladně u obchodníka v ČR - Cash back</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Vklad hotovosti</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pomocí vkladového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Dotaz na zůstatek</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bankomatu jiných bank</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25</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Výpisy</w:t>
            </w: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jednoho výpisu z debetní karty elektronicky</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9" w:firstLine="0"/>
              <w:jc w:val="center"/>
            </w:pPr>
            <w:r>
              <w:rPr>
                <w:sz w:val="17"/>
              </w:rPr>
              <w:t>zdarma</w:t>
            </w: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jednoho výpisu poštou nebo předání na pobočce</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5" w:firstLine="0"/>
              <w:jc w:val="center"/>
            </w:pPr>
            <w:r>
              <w:rPr>
                <w:sz w:val="17"/>
              </w:rPr>
              <w:t>5</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PIN</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Změna PIN v bankomatech KB</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Standardní předání</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Předání na pobočce</w:t>
            </w:r>
          </w:p>
        </w:tc>
        <w:tc>
          <w:tcPr>
            <w:tcW w:w="1717"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100</w:t>
            </w:r>
          </w:p>
        </w:tc>
        <w:tc>
          <w:tcPr>
            <w:tcW w:w="5163"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Opětovné předání</w:t>
            </w:r>
          </w:p>
        </w:tc>
        <w:tc>
          <w:tcPr>
            <w:tcW w:w="343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 xml:space="preserve">50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9" w:firstLine="0"/>
              <w:jc w:val="center"/>
            </w:pPr>
            <w:r>
              <w:rPr>
                <w:sz w:val="17"/>
              </w:rPr>
              <w:t>zdarma</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Nestandardní služby</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20"/>
              </w:rPr>
              <w:t>Osobní převzetí karty a/nebo PIN na centrále KB</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2 000</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Expresní zaslání karty a/nebo PIN v ČR (odděleně)</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2 000</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20"/>
              </w:rPr>
              <w:t>Zaslání karty a/nebo PIN do zahraničí (odděleně)</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 xml:space="preserve">1 000 </w:t>
            </w:r>
            <w:r>
              <w:rPr>
                <w:sz w:val="23"/>
                <w:vertAlign w:val="superscript"/>
              </w:rPr>
              <w:t>3)</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Nestandardní změna parametrů karty</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29</w:t>
            </w:r>
          </w:p>
        </w:tc>
      </w:tr>
      <w:tr w:rsidR="005D4C6F">
        <w:trPr>
          <w:trHeight w:val="519"/>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right="3" w:firstLine="0"/>
            </w:pPr>
            <w:r>
              <w:rPr>
                <w:sz w:val="20"/>
              </w:rPr>
              <w:t>Okamžitá změna parametrů karty – změna limitu, povolení / zakázání internetových plateb, povolení dotazu na zůstatek v bankomatu, odemknutí / zamknutí karty</w:t>
            </w: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přes internetové bankovnictví MojeBanka, MojeBanka Business, Mobilní banka</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9" w:firstLine="0"/>
              <w:jc w:val="center"/>
            </w:pPr>
            <w:r>
              <w:rPr>
                <w:sz w:val="17"/>
              </w:rPr>
              <w:t>zdarma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přes Expresní linku KB</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29</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pobočce</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 w:firstLine="0"/>
              <w:jc w:val="center"/>
            </w:pPr>
            <w:r>
              <w:rPr>
                <w:sz w:val="17"/>
              </w:rPr>
              <w:t>79</w:t>
            </w:r>
          </w:p>
        </w:tc>
      </w:tr>
      <w:tr w:rsidR="005D4C6F">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Ostatní</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Stoplistace karty</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 xml:space="preserve">1 000 </w:t>
            </w:r>
            <w:r>
              <w:rPr>
                <w:sz w:val="23"/>
                <w:vertAlign w:val="superscript"/>
              </w:rPr>
              <w:t>3)</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Poskytnutí duplikátu karty</w:t>
            </w:r>
          </w:p>
        </w:tc>
        <w:tc>
          <w:tcPr>
            <w:tcW w:w="6880"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 xml:space="preserve">200 </w:t>
            </w:r>
            <w:r>
              <w:rPr>
                <w:sz w:val="23"/>
                <w:vertAlign w:val="superscript"/>
              </w:rPr>
              <w:t>3)</w:t>
            </w:r>
          </w:p>
        </w:tc>
      </w:tr>
      <w:tr w:rsidR="005D4C6F">
        <w:trPr>
          <w:trHeight w:val="323"/>
        </w:trPr>
        <w:tc>
          <w:tcPr>
            <w:tcW w:w="5287" w:type="dxa"/>
            <w:gridSpan w:val="2"/>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161" w:firstLine="0"/>
            </w:pPr>
            <w:r>
              <w:rPr>
                <w:b/>
                <w:sz w:val="20"/>
              </w:rPr>
              <w:t>Debetní karty</w:t>
            </w:r>
          </w:p>
        </w:tc>
        <w:tc>
          <w:tcPr>
            <w:tcW w:w="3570" w:type="dxa"/>
            <w:gridSpan w:val="3"/>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303"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61" w:firstLine="0"/>
            </w:pPr>
            <w:r>
              <w:rPr>
                <w:sz w:val="20"/>
              </w:rPr>
              <w:t>Poskytnutí debetních karet</w:t>
            </w:r>
          </w:p>
        </w:tc>
        <w:tc>
          <w:tcPr>
            <w:tcW w:w="1588"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308" w:firstLine="0"/>
              <w:jc w:val="center"/>
            </w:pPr>
            <w:r>
              <w:rPr>
                <w:sz w:val="20"/>
              </w:rPr>
              <w:t>Profi karta</w:t>
            </w:r>
          </w:p>
        </w:tc>
        <w:tc>
          <w:tcPr>
            <w:tcW w:w="130"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8" w:firstLine="0"/>
              <w:jc w:val="center"/>
            </w:pPr>
            <w:r>
              <w:rPr>
                <w:sz w:val="20"/>
              </w:rPr>
              <w:t>Stříbrná firemní karta</w:t>
            </w:r>
          </w:p>
        </w:tc>
        <w:tc>
          <w:tcPr>
            <w:tcW w:w="303" w:type="dxa"/>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Zlatá firemní karta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Poskytnutí náhradní karty po stoplistaci</w:t>
            </w:r>
          </w:p>
        </w:tc>
        <w:tc>
          <w:tcPr>
            <w:tcW w:w="158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3570" w:type="dxa"/>
            <w:gridSpan w:val="3"/>
            <w:tcBorders>
              <w:top w:val="single" w:sz="5" w:space="0" w:color="DCDCDC"/>
              <w:left w:val="nil"/>
              <w:bottom w:val="single" w:sz="5" w:space="0" w:color="DCDCDC"/>
              <w:right w:val="nil"/>
            </w:tcBorders>
          </w:tcPr>
          <w:p w:rsidR="005D4C6F" w:rsidRDefault="00F86A01">
            <w:pPr>
              <w:spacing w:after="0" w:line="259" w:lineRule="auto"/>
              <w:ind w:left="312" w:firstLine="0"/>
              <w:jc w:val="center"/>
            </w:pPr>
            <w:r>
              <w:rPr>
                <w:sz w:val="17"/>
              </w:rPr>
              <w:t xml:space="preserve">200 </w:t>
            </w:r>
            <w:r>
              <w:rPr>
                <w:sz w:val="23"/>
                <w:vertAlign w:val="superscript"/>
              </w:rPr>
              <w:t>3)</w:t>
            </w:r>
          </w:p>
        </w:tc>
        <w:tc>
          <w:tcPr>
            <w:tcW w:w="303" w:type="dxa"/>
            <w:tcBorders>
              <w:top w:val="single" w:sz="5" w:space="0" w:color="DCDCDC"/>
              <w:left w:val="nil"/>
              <w:bottom w:val="single" w:sz="5" w:space="0" w:color="DCDCDC"/>
              <w:right w:val="nil"/>
            </w:tcBorders>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55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lastRenderedPageBreak/>
              <w:t>Poskytnutí duplikátu debetní karty s vlastním designem MojeKarta / změna designu MojeKarta</w:t>
            </w:r>
          </w:p>
        </w:tc>
        <w:tc>
          <w:tcPr>
            <w:tcW w:w="158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847" w:type="dxa"/>
            <w:gridSpan w:val="2"/>
            <w:tcBorders>
              <w:top w:val="single" w:sz="5" w:space="0" w:color="DCDCDC"/>
              <w:left w:val="nil"/>
              <w:bottom w:val="single" w:sz="5" w:space="0" w:color="DCDCDC"/>
              <w:right w:val="single" w:sz="5" w:space="0" w:color="DCDCDC"/>
            </w:tcBorders>
            <w:vAlign w:val="center"/>
          </w:tcPr>
          <w:p w:rsidR="005D4C6F" w:rsidRDefault="00F86A01">
            <w:pPr>
              <w:spacing w:after="0" w:line="259" w:lineRule="auto"/>
              <w:ind w:left="0" w:firstLine="0"/>
            </w:pPr>
            <w:r>
              <w:rPr>
                <w:sz w:val="17"/>
              </w:rPr>
              <w:t xml:space="preserve">149 </w:t>
            </w:r>
            <w:r>
              <w:rPr>
                <w:sz w:val="23"/>
                <w:vertAlign w:val="superscript"/>
              </w:rPr>
              <w:t>3)</w:t>
            </w:r>
          </w:p>
        </w:tc>
        <w:tc>
          <w:tcPr>
            <w:tcW w:w="1723"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303" w:type="dxa"/>
            <w:tcBorders>
              <w:top w:val="single" w:sz="5" w:space="0" w:color="DCDCDC"/>
              <w:left w:val="nil"/>
              <w:bottom w:val="single" w:sz="5" w:space="0" w:color="DCDCDC"/>
              <w:right w:val="nil"/>
            </w:tcBorders>
            <w:vAlign w:val="center"/>
          </w:tcPr>
          <w:p w:rsidR="005D4C6F" w:rsidRDefault="00F86A01">
            <w:pPr>
              <w:spacing w:after="0" w:line="259" w:lineRule="auto"/>
              <w:ind w:left="29" w:firstLine="0"/>
            </w:pPr>
            <w:r>
              <w:rPr>
                <w:sz w:val="17"/>
              </w:rPr>
              <w:t>-</w:t>
            </w:r>
          </w:p>
        </w:tc>
        <w:tc>
          <w:tcPr>
            <w:tcW w:w="1420"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Emergency Cash Advance (náhradní hotovost na přepážce při ztrátě, krádeži karty apod.)</w:t>
            </w:r>
          </w:p>
        </w:tc>
        <w:tc>
          <w:tcPr>
            <w:tcW w:w="158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5D4C6F" w:rsidRDefault="00F86A01">
            <w:pPr>
              <w:spacing w:after="0" w:line="259" w:lineRule="auto"/>
              <w:ind w:left="312" w:firstLine="0"/>
              <w:jc w:val="center"/>
            </w:pPr>
            <w:r>
              <w:rPr>
                <w:sz w:val="17"/>
              </w:rPr>
              <w:t xml:space="preserve">3 500 </w:t>
            </w:r>
            <w:r>
              <w:rPr>
                <w:sz w:val="23"/>
                <w:vertAlign w:val="superscript"/>
              </w:rPr>
              <w:t>3)</w:t>
            </w:r>
          </w:p>
        </w:tc>
        <w:tc>
          <w:tcPr>
            <w:tcW w:w="303" w:type="dxa"/>
            <w:tcBorders>
              <w:top w:val="single" w:sz="5" w:space="0" w:color="DCDCDC"/>
              <w:left w:val="nil"/>
              <w:bottom w:val="single" w:sz="5" w:space="0" w:color="DCDCDC"/>
              <w:right w:val="nil"/>
            </w:tcBorders>
            <w:vAlign w:val="center"/>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715"/>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right="293" w:firstLine="0"/>
              <w:jc w:val="both"/>
            </w:pPr>
            <w:r>
              <w:rPr>
                <w:sz w:val="20"/>
              </w:rPr>
              <w:t>Emergency Card Replacement (poskytnutí náhradní karty bez PIN do zahraničí při ztrátě, krádeži karty apod.)</w:t>
            </w:r>
          </w:p>
        </w:tc>
        <w:tc>
          <w:tcPr>
            <w:tcW w:w="158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5D4C6F" w:rsidRDefault="00F86A01">
            <w:pPr>
              <w:spacing w:after="0" w:line="259" w:lineRule="auto"/>
              <w:ind w:left="312" w:firstLine="0"/>
              <w:jc w:val="center"/>
            </w:pPr>
            <w:r>
              <w:rPr>
                <w:sz w:val="17"/>
              </w:rPr>
              <w:t>4 000</w:t>
            </w:r>
          </w:p>
        </w:tc>
        <w:tc>
          <w:tcPr>
            <w:tcW w:w="303" w:type="dxa"/>
            <w:tcBorders>
              <w:top w:val="single" w:sz="5" w:space="0" w:color="DCDCDC"/>
              <w:left w:val="nil"/>
              <w:bottom w:val="single" w:sz="5" w:space="0" w:color="DCDCDC"/>
              <w:right w:val="nil"/>
            </w:tcBorders>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726"/>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4)</w:t>
            </w:r>
          </w:p>
        </w:tc>
        <w:tc>
          <w:tcPr>
            <w:tcW w:w="158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5D4C6F" w:rsidRDefault="00F86A01">
            <w:pPr>
              <w:spacing w:after="0" w:line="259" w:lineRule="auto"/>
              <w:ind w:left="315" w:firstLine="0"/>
              <w:jc w:val="center"/>
            </w:pPr>
            <w:r>
              <w:rPr>
                <w:sz w:val="17"/>
              </w:rPr>
              <w:t>zdarma</w:t>
            </w:r>
          </w:p>
        </w:tc>
        <w:tc>
          <w:tcPr>
            <w:tcW w:w="303" w:type="dxa"/>
            <w:tcBorders>
              <w:top w:val="single" w:sz="5" w:space="0" w:color="DCDCDC"/>
              <w:left w:val="nil"/>
              <w:bottom w:val="single" w:sz="5" w:space="0" w:color="DCDCDC"/>
              <w:right w:val="nil"/>
            </w:tcBorders>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726"/>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4)</w:t>
            </w:r>
          </w:p>
        </w:tc>
        <w:tc>
          <w:tcPr>
            <w:tcW w:w="158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5D4C6F" w:rsidRDefault="00F86A01">
            <w:pPr>
              <w:spacing w:after="0" w:line="259" w:lineRule="auto"/>
              <w:ind w:left="312" w:firstLine="0"/>
              <w:jc w:val="center"/>
            </w:pPr>
            <w:r>
              <w:rPr>
                <w:sz w:val="17"/>
              </w:rPr>
              <w:t>1 %, min. 29</w:t>
            </w:r>
          </w:p>
        </w:tc>
        <w:tc>
          <w:tcPr>
            <w:tcW w:w="303" w:type="dxa"/>
            <w:tcBorders>
              <w:top w:val="single" w:sz="5" w:space="0" w:color="DCDCDC"/>
              <w:left w:val="nil"/>
              <w:bottom w:val="single" w:sz="5" w:space="0" w:color="DCDCDC"/>
              <w:right w:val="nil"/>
            </w:tcBorders>
          </w:tcPr>
          <w:p w:rsidR="005D4C6F" w:rsidRDefault="005D4C6F">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rsidP="00F86A01">
      <w:pPr>
        <w:ind w:left="199" w:right="10" w:hanging="156"/>
      </w:pPr>
      <w:r>
        <w:rPr>
          <w:szCs w:val="15"/>
          <w:u w:color="000000"/>
        </w:rPr>
        <w:t>1)</w:t>
      </w:r>
      <w:r>
        <w:rPr>
          <w:szCs w:val="15"/>
          <w:u w:color="000000"/>
        </w:rPr>
        <w:tab/>
      </w:r>
      <w:r>
        <w:t>Poplatek je účtován společně s ročním poplatkem za kartu. V případě debetní karty poskytované v rámci vedení účtu se tento poplatek účtuje samostatně.</w:t>
      </w:r>
    </w:p>
    <w:p w:rsidR="005D4C6F" w:rsidRDefault="00F86A01" w:rsidP="00F86A01">
      <w:pPr>
        <w:ind w:left="199" w:right="10"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5D4C6F" w:rsidRDefault="00F86A01" w:rsidP="00F86A01">
      <w:pPr>
        <w:ind w:left="199" w:right="10" w:hanging="156"/>
      </w:pPr>
      <w:r>
        <w:rPr>
          <w:szCs w:val="15"/>
          <w:u w:color="000000"/>
        </w:rPr>
        <w:t>3)</w:t>
      </w:r>
      <w:r>
        <w:rPr>
          <w:szCs w:val="15"/>
          <w:u w:color="000000"/>
        </w:rPr>
        <w:tab/>
      </w:r>
      <w:r>
        <w:t>V případě existence pojištění Profi Merlin bude poplatek vrácen.</w:t>
      </w:r>
    </w:p>
    <w:p w:rsidR="005D4C6F" w:rsidRDefault="00F86A01" w:rsidP="00F86A01">
      <w:pPr>
        <w:spacing w:line="216" w:lineRule="auto"/>
        <w:ind w:left="199" w:right="10"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61"/>
        <w:gridCol w:w="184"/>
        <w:gridCol w:w="1009"/>
        <w:gridCol w:w="1636"/>
      </w:tblGrid>
      <w:tr w:rsidR="005D4C6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161" w:firstLine="0"/>
            </w:pPr>
            <w:r>
              <w:rPr>
                <w:b/>
                <w:sz w:val="20"/>
              </w:rPr>
              <w:lastRenderedPageBreak/>
              <w:t>Ostatní karty</w:t>
            </w:r>
          </w:p>
        </w:tc>
        <w:tc>
          <w:tcPr>
            <w:tcW w:w="2461"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61" w:firstLine="0"/>
            </w:pPr>
            <w:r>
              <w:rPr>
                <w:sz w:val="20"/>
              </w:rPr>
              <w:t>Poskytnutí karet</w:t>
            </w:r>
          </w:p>
        </w:tc>
        <w:tc>
          <w:tcPr>
            <w:tcW w:w="2461"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F86A01">
            <w:pPr>
              <w:spacing w:after="0" w:line="259" w:lineRule="auto"/>
              <w:ind w:left="141" w:firstLine="0"/>
            </w:pPr>
            <w:r>
              <w:rPr>
                <w:sz w:val="20"/>
              </w:rPr>
              <w:t>e-Card</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288" w:firstLine="0"/>
            </w:pPr>
            <w:r>
              <w:rPr>
                <w:sz w:val="17"/>
              </w:rPr>
              <w:t>65</w:t>
            </w: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343" w:firstLine="0"/>
            </w:pPr>
            <w:r>
              <w:rPr>
                <w:sz w:val="17"/>
              </w:rPr>
              <w:t>-</w:t>
            </w: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196" w:firstLine="0"/>
            </w:pPr>
            <w:r>
              <w:rPr>
                <w:sz w:val="17"/>
              </w:rPr>
              <w:t>5</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343" w:firstLine="0"/>
            </w:pPr>
            <w:r>
              <w:rPr>
                <w:sz w:val="17"/>
              </w:rPr>
              <w:t>-</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343" w:firstLine="0"/>
            </w:pPr>
            <w:r>
              <w:rPr>
                <w:sz w:val="17"/>
              </w:rPr>
              <w:t>-</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343" w:firstLine="0"/>
            </w:pPr>
            <w:r>
              <w:rPr>
                <w:sz w:val="17"/>
              </w:rPr>
              <w:t>-</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343" w:firstLine="0"/>
            </w:pPr>
            <w:r>
              <w:rPr>
                <w:sz w:val="17"/>
              </w:rPr>
              <w:t>-</w:t>
            </w: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 xml:space="preserve">1 000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519"/>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vAlign w:val="center"/>
          </w:tcPr>
          <w:p w:rsidR="005D4C6F" w:rsidRDefault="00F86A01">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158" w:firstLine="0"/>
            </w:pPr>
            <w:r>
              <w:rPr>
                <w:sz w:val="17"/>
              </w:rPr>
              <w:t>79</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5D4C6F" w:rsidRDefault="00F86A01">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5D4C6F" w:rsidRDefault="00F86A01">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5D4C6F" w:rsidRDefault="00F86A01">
            <w:pPr>
              <w:spacing w:after="0" w:line="259" w:lineRule="auto"/>
              <w:ind w:left="343" w:firstLine="0"/>
            </w:pPr>
            <w:r>
              <w:rPr>
                <w:sz w:val="17"/>
              </w:rPr>
              <w:t>-</w:t>
            </w:r>
          </w:p>
        </w:tc>
      </w:tr>
      <w:tr w:rsidR="005D4C6F">
        <w:trPr>
          <w:trHeight w:val="530"/>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5D4C6F" w:rsidRDefault="00F86A01">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5D4C6F" w:rsidRDefault="00F86A01">
            <w:pPr>
              <w:spacing w:after="0" w:line="259" w:lineRule="auto"/>
              <w:ind w:left="144" w:firstLine="0"/>
            </w:pPr>
            <w:r>
              <w:rPr>
                <w:sz w:val="17"/>
              </w:rPr>
              <w:t>zdarma</w:t>
            </w:r>
          </w:p>
        </w:tc>
      </w:tr>
      <w:tr w:rsidR="005D4C6F">
        <w:trPr>
          <w:trHeight w:val="530"/>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5D4C6F" w:rsidRDefault="00F86A01">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5D4C6F" w:rsidRDefault="00F86A01">
            <w:pPr>
              <w:spacing w:after="0" w:line="259" w:lineRule="auto"/>
              <w:ind w:left="0" w:firstLine="0"/>
            </w:pPr>
            <w:r>
              <w:rPr>
                <w:sz w:val="17"/>
              </w:rPr>
              <w:t>1 %, min. 29</w:t>
            </w:r>
          </w:p>
        </w:tc>
      </w:tr>
    </w:tbl>
    <w:p w:rsidR="005D4C6F" w:rsidRDefault="00F86A01" w:rsidP="00F86A01">
      <w:pPr>
        <w:ind w:left="199" w:right="10" w:hanging="156"/>
      </w:pPr>
      <w:r>
        <w:rPr>
          <w:szCs w:val="15"/>
          <w:u w:color="000000"/>
        </w:rPr>
        <w:t>1)</w:t>
      </w:r>
      <w:r>
        <w:rPr>
          <w:szCs w:val="15"/>
          <w:u w:color="000000"/>
        </w:rPr>
        <w:tab/>
      </w:r>
      <w:r>
        <w:t>V případě existence pojištění Profi Merlin bude poplatek vrácen.</w:t>
      </w:r>
    </w:p>
    <w:p w:rsidR="005D4C6F" w:rsidRDefault="00F86A01" w:rsidP="00F86A01">
      <w:pPr>
        <w:spacing w:line="216" w:lineRule="auto"/>
        <w:ind w:left="199" w:right="10" w:hanging="156"/>
      </w:pPr>
      <w:r>
        <w:rPr>
          <w:szCs w:val="15"/>
          <w:u w:color="000000"/>
        </w:rPr>
        <w:t>2)</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5D4C6F" w:rsidRDefault="005D4C6F">
      <w:pPr>
        <w:spacing w:after="0" w:line="259" w:lineRule="auto"/>
        <w:ind w:left="-661" w:right="11186" w:firstLine="0"/>
      </w:pPr>
    </w:p>
    <w:tbl>
      <w:tblPr>
        <w:tblStyle w:val="TableGrid"/>
        <w:tblW w:w="10580" w:type="dxa"/>
        <w:tblInd w:w="0" w:type="dxa"/>
        <w:tblCellMar>
          <w:top w:w="69" w:type="dxa"/>
          <w:right w:w="61" w:type="dxa"/>
        </w:tblCellMar>
        <w:tblLook w:val="04A0" w:firstRow="1" w:lastRow="0" w:firstColumn="1" w:lastColumn="0" w:noHBand="0" w:noVBand="1"/>
      </w:tblPr>
      <w:tblGrid>
        <w:gridCol w:w="5290"/>
        <w:gridCol w:w="2331"/>
        <w:gridCol w:w="314"/>
        <w:gridCol w:w="648"/>
        <w:gridCol w:w="1997"/>
      </w:tblGrid>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lastRenderedPageBreak/>
              <w:t>Kreditní karty</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right="3" w:firstLine="0"/>
              <w:jc w:val="center"/>
            </w:pPr>
            <w:r>
              <w:rPr>
                <w:sz w:val="20"/>
              </w:rPr>
              <w:t>Zlatá korporátní karta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Roční cena kreditní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2 990</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Měsíční cena za automatickou splátku v rámci bezúročního období</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29</w:t>
            </w:r>
          </w:p>
        </w:tc>
      </w:tr>
      <w:tr w:rsidR="005D4C6F">
        <w:trPr>
          <w:trHeight w:val="887"/>
        </w:trPr>
        <w:tc>
          <w:tcPr>
            <w:tcW w:w="529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16" w:lineRule="auto"/>
              <w:ind w:left="0" w:firstLine="0"/>
              <w:jc w:val="center"/>
            </w:pPr>
            <w:r>
              <w:rPr>
                <w:sz w:val="17"/>
              </w:rPr>
              <w:t>Cestovní pojištění ke korporátním kartám,</w:t>
            </w:r>
          </w:p>
          <w:p w:rsidR="005D4C6F" w:rsidRDefault="00F86A01">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16" w:lineRule="auto"/>
              <w:ind w:left="0" w:firstLine="0"/>
              <w:jc w:val="center"/>
            </w:pPr>
            <w:r>
              <w:rPr>
                <w:sz w:val="17"/>
              </w:rPr>
              <w:t>Cestovní pojištění ke zlatým korporátním kartám,</w:t>
            </w:r>
          </w:p>
          <w:p w:rsidR="005D4C6F" w:rsidRDefault="00F86A01">
            <w:pPr>
              <w:spacing w:after="0" w:line="259" w:lineRule="auto"/>
              <w:ind w:left="781" w:hanging="513"/>
              <w:jc w:val="both"/>
            </w:pPr>
            <w:r>
              <w:rPr>
                <w:sz w:val="17"/>
              </w:rPr>
              <w:t xml:space="preserve">Pojištění zneužití platební karty, Priority pass </w:t>
            </w:r>
            <w:r>
              <w:rPr>
                <w:sz w:val="23"/>
                <w:vertAlign w:val="superscript"/>
              </w:rPr>
              <w:t>1)</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viz oznámení KB o úrok. sazbách</w:t>
            </w:r>
          </w:p>
        </w:tc>
      </w:tr>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Výběr hotovosti</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1 %, min. 30</w:t>
            </w:r>
          </w:p>
        </w:tc>
      </w:tr>
      <w:tr w:rsidR="005D4C6F">
        <w:trPr>
          <w:trHeight w:val="334"/>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z bankomatu jiných bank v ČR </w:t>
            </w:r>
            <w:r>
              <w:rPr>
                <w:sz w:val="20"/>
                <w:vertAlign w:val="superscript"/>
              </w:rPr>
              <w:t>2)</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1 %, min. 100</w:t>
            </w:r>
          </w:p>
        </w:tc>
      </w:tr>
      <w:tr w:rsidR="005D4C6F">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33" w:firstLine="0"/>
            </w:pPr>
            <w:r>
              <w:rPr>
                <w:sz w:val="20"/>
              </w:rPr>
              <w:t xml:space="preserve">z bankomatu v zahraničí </w:t>
            </w:r>
            <w:r>
              <w:rPr>
                <w:sz w:val="20"/>
                <w:vertAlign w:val="superscript"/>
              </w:rPr>
              <w:t>2)</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32" w:right="1456" w:hanging="605"/>
              <w:jc w:val="both"/>
            </w:pPr>
            <w:r>
              <w:rPr>
                <w:sz w:val="17"/>
              </w:rPr>
              <w:t>1 výběr hotovosti měsíčně zdarma 1 %, min. 100</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pobočce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1 %, min. 100</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Dotaz na zůstatek</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25</w:t>
            </w:r>
          </w:p>
        </w:tc>
      </w:tr>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Výpisy</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jednoho výpisu 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PIN</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Nestandardní služby</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2 000</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2 000</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karty a /nebo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4" w:firstLine="0"/>
              <w:jc w:val="center"/>
            </w:pPr>
            <w:r>
              <w:rPr>
                <w:sz w:val="17"/>
              </w:rPr>
              <w:t xml:space="preserve">1 000 </w:t>
            </w:r>
            <w:r>
              <w:rPr>
                <w:sz w:val="23"/>
                <w:vertAlign w:val="superscript"/>
              </w:rPr>
              <w:t>3)</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29</w:t>
            </w:r>
          </w:p>
        </w:tc>
      </w:tr>
      <w:tr w:rsidR="005D4C6F">
        <w:trPr>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right="23" w:firstLine="0"/>
            </w:pPr>
            <w:r>
              <w:rPr>
                <w:sz w:val="20"/>
              </w:rPr>
              <w:t>Okamžitá změna parametrů karty – změna limitu, povolení / zakázání internetových plateb, povolení dotazu na zůstatek v bankomatu, odemknutí / zamknutí karty</w:t>
            </w:r>
          </w:p>
        </w:tc>
      </w:tr>
      <w:tr w:rsidR="005D4C6F">
        <w:trPr>
          <w:trHeight w:val="519"/>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lastRenderedPageBreak/>
              <w:t>Ostatní</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4" w:firstLine="0"/>
              <w:jc w:val="center"/>
            </w:pPr>
            <w:r>
              <w:rPr>
                <w:sz w:val="17"/>
              </w:rPr>
              <w:t xml:space="preserve">1 000 </w:t>
            </w:r>
            <w:r>
              <w:rPr>
                <w:sz w:val="23"/>
                <w:vertAlign w:val="superscript"/>
              </w:rPr>
              <w:t>3)</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4" w:firstLine="0"/>
              <w:jc w:val="center"/>
            </w:pPr>
            <w:r>
              <w:rPr>
                <w:sz w:val="17"/>
              </w:rPr>
              <w:t xml:space="preserve">200 </w:t>
            </w:r>
            <w:r>
              <w:rPr>
                <w:sz w:val="23"/>
                <w:vertAlign w:val="superscript"/>
              </w:rPr>
              <w:t>3)</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Poskytnutí duplikátu karty</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4" w:firstLine="0"/>
              <w:jc w:val="center"/>
            </w:pPr>
            <w:r>
              <w:rPr>
                <w:sz w:val="17"/>
              </w:rPr>
              <w:t xml:space="preserve">200 </w:t>
            </w:r>
            <w:r>
              <w:rPr>
                <w:sz w:val="23"/>
                <w:vertAlign w:val="superscript"/>
              </w:rPr>
              <w:t>3)</w:t>
            </w:r>
          </w:p>
        </w:tc>
      </w:tr>
      <w:tr w:rsidR="005D4C6F">
        <w:trPr>
          <w:trHeight w:val="519"/>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jc w:val="both"/>
            </w:pPr>
            <w:r>
              <w:rPr>
                <w:sz w:val="20"/>
              </w:rPr>
              <w:t>Emergency Cash Advance (náhradní hotovost na přepážce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4" w:firstLine="0"/>
              <w:jc w:val="center"/>
            </w:pPr>
            <w:r>
              <w:rPr>
                <w:sz w:val="17"/>
              </w:rPr>
              <w:t xml:space="preserve">3 500 </w:t>
            </w:r>
            <w:r>
              <w:rPr>
                <w:sz w:val="23"/>
                <w:vertAlign w:val="superscript"/>
              </w:rPr>
              <w:t>3)</w:t>
            </w:r>
          </w:p>
        </w:tc>
      </w:tr>
      <w:tr w:rsidR="005D4C6F">
        <w:trPr>
          <w:trHeight w:val="519"/>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jc w:val="both"/>
            </w:pPr>
            <w:r>
              <w:rPr>
                <w:sz w:val="20"/>
              </w:rPr>
              <w:t>Emergency Card Replacement (poskytnutí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5" w:firstLine="0"/>
              <w:jc w:val="center"/>
            </w:pPr>
            <w:r>
              <w:rPr>
                <w:sz w:val="17"/>
              </w:rPr>
              <w:t>4 000</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Bezhotovostní převod z úvěrového účtu ke kreditní kartě na jiný účet v Kč</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 w:firstLine="0"/>
              <w:jc w:val="center"/>
            </w:pPr>
            <w:r>
              <w:rPr>
                <w:sz w:val="17"/>
              </w:rPr>
              <w:t>1 %</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5" w:firstLine="0"/>
              <w:jc w:val="center"/>
            </w:pPr>
            <w:r>
              <w:rPr>
                <w:sz w:val="17"/>
              </w:rPr>
              <w:t>20</w:t>
            </w:r>
          </w:p>
        </w:tc>
      </w:tr>
      <w:tr w:rsidR="005D4C6F">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161" w:firstLine="0"/>
            </w:pPr>
            <w:r>
              <w:rPr>
                <w:b/>
                <w:sz w:val="20"/>
              </w:rPr>
              <w:t>Kreditní karty</w:t>
            </w:r>
          </w:p>
        </w:tc>
        <w:tc>
          <w:tcPr>
            <w:tcW w:w="2331"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962"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Zlatá korporátní karta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Zaslání 2. a každé další upomínky</w:t>
            </w:r>
          </w:p>
        </w:tc>
        <w:tc>
          <w:tcPr>
            <w:tcW w:w="233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5D4C6F" w:rsidRDefault="00F86A01">
            <w:pPr>
              <w:spacing w:after="0" w:line="259" w:lineRule="auto"/>
              <w:ind w:left="251" w:firstLine="0"/>
            </w:pPr>
            <w:r>
              <w:rPr>
                <w:sz w:val="17"/>
              </w:rPr>
              <w:t>500</w:t>
            </w:r>
          </w:p>
        </w:tc>
        <w:tc>
          <w:tcPr>
            <w:tcW w:w="1997"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530"/>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 xml:space="preserve">Příchozí úhrada - Platba na kartu ve prospěch úvěrového účtu vedeného u KB, k němuž je karta poskytnuta </w:t>
            </w:r>
            <w:r>
              <w:rPr>
                <w:sz w:val="20"/>
                <w:vertAlign w:val="superscript"/>
              </w:rPr>
              <w:t>4)</w:t>
            </w:r>
          </w:p>
        </w:tc>
        <w:tc>
          <w:tcPr>
            <w:tcW w:w="233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5D4C6F" w:rsidRDefault="00F86A01">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530"/>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94" w:firstLine="0"/>
            </w:pPr>
            <w:r>
              <w:rPr>
                <w:sz w:val="20"/>
              </w:rPr>
              <w:t xml:space="preserve">Příchozí úhrada - Expresní platba na kartu ve prospěch úvěrového účtu vedeného u KB, k němuž je karta poskytnuta </w:t>
            </w:r>
            <w:r>
              <w:rPr>
                <w:sz w:val="20"/>
                <w:vertAlign w:val="superscript"/>
              </w:rPr>
              <w:t>4)</w:t>
            </w:r>
          </w:p>
        </w:tc>
        <w:tc>
          <w:tcPr>
            <w:tcW w:w="233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5D4C6F" w:rsidRDefault="00F86A01">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rsidP="00F86A01">
      <w:pPr>
        <w:ind w:left="199" w:right="10" w:hanging="156"/>
      </w:pPr>
      <w:r>
        <w:rPr>
          <w:szCs w:val="15"/>
          <w:u w:color="000000"/>
        </w:rPr>
        <w:t>1)</w:t>
      </w:r>
      <w:r>
        <w:rPr>
          <w:szCs w:val="15"/>
          <w:u w:color="000000"/>
        </w:rPr>
        <w:tab/>
      </w:r>
      <w:r>
        <w:t xml:space="preserve">Jedná se o Standard Membership Priority Pass, kde za každý vstup bude účtován poplatek dle podmínek programu dostupných na </w:t>
      </w:r>
      <w:hyperlink r:id="rId15">
        <w:r>
          <w:rPr>
            <w:color w:val="0000EE"/>
            <w:u w:val="single" w:color="0000EE"/>
          </w:rPr>
          <w:t>www.prioritypass.com</w:t>
        </w:r>
      </w:hyperlink>
    </w:p>
    <w:p w:rsidR="005D4C6F" w:rsidRDefault="00F86A01" w:rsidP="00F86A01">
      <w:pPr>
        <w:ind w:left="199" w:right="10" w:hanging="156"/>
      </w:pPr>
      <w:r>
        <w:rPr>
          <w:szCs w:val="15"/>
          <w:u w:color="000000"/>
        </w:rPr>
        <w:t>2)</w:t>
      </w:r>
      <w:r>
        <w:rPr>
          <w:szCs w:val="15"/>
          <w:u w:color="000000"/>
        </w:rPr>
        <w:tab/>
      </w:r>
      <w:r>
        <w:t>Poplatky za výběry hotovosti z bankomatu zde uvedené nezahrnují poplatky, jejichž zaplacení mohou v souvislosti s výběrem hotovosti požadovat provozovatelé bankomatu.</w:t>
      </w:r>
    </w:p>
    <w:p w:rsidR="005D4C6F" w:rsidRDefault="00F86A01" w:rsidP="00F86A01">
      <w:pPr>
        <w:ind w:left="199" w:right="10" w:hanging="156"/>
      </w:pPr>
      <w:r>
        <w:rPr>
          <w:szCs w:val="15"/>
          <w:u w:color="000000"/>
        </w:rPr>
        <w:t>3)</w:t>
      </w:r>
      <w:r>
        <w:rPr>
          <w:szCs w:val="15"/>
          <w:u w:color="000000"/>
        </w:rPr>
        <w:tab/>
      </w:r>
      <w:r>
        <w:t>V případě existence pojištění Profi Merlin bude poplatek vrácen.</w:t>
      </w:r>
    </w:p>
    <w:p w:rsidR="005D4C6F" w:rsidRDefault="00F86A01" w:rsidP="00F86A01">
      <w:pPr>
        <w:ind w:left="199" w:right="10" w:hanging="156"/>
      </w:pPr>
      <w:r>
        <w:rPr>
          <w:szCs w:val="15"/>
          <w:u w:color="000000"/>
        </w:rPr>
        <w:t>4)</w:t>
      </w:r>
      <w:r>
        <w:rPr>
          <w:szCs w:val="15"/>
          <w:u w:color="000000"/>
        </w:rPr>
        <w:tab/>
      </w: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CellMar>
          <w:top w:w="69" w:type="dxa"/>
          <w:left w:w="161" w:type="dxa"/>
          <w:right w:w="275" w:type="dxa"/>
        </w:tblCellMar>
        <w:tblLook w:val="04A0" w:firstRow="1" w:lastRow="0" w:firstColumn="1" w:lastColumn="0" w:noHBand="0" w:noVBand="1"/>
      </w:tblPr>
      <w:tblGrid>
        <w:gridCol w:w="5290"/>
        <w:gridCol w:w="2645"/>
        <w:gridCol w:w="2645"/>
      </w:tblGrid>
      <w:tr w:rsidR="005D4C6F">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835" w:hanging="625"/>
              <w:jc w:val="both"/>
            </w:pPr>
            <w:r>
              <w:rPr>
                <w:sz w:val="20"/>
              </w:rPr>
              <w:t xml:space="preserve">Akceptace platebních karet na internetu </w:t>
            </w:r>
            <w:r>
              <w:rPr>
                <w:sz w:val="20"/>
                <w:vertAlign w:val="superscript"/>
              </w:rPr>
              <w:t>3)</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3" w:firstLine="0"/>
              <w:jc w:val="center"/>
            </w:pPr>
            <w:r>
              <w:rPr>
                <w:sz w:val="17"/>
              </w:rPr>
              <w:t>199 měsíčně / 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2" w:firstLine="0"/>
              <w:jc w:val="center"/>
            </w:pPr>
            <w:r>
              <w:rPr>
                <w:sz w:val="17"/>
              </w:rPr>
              <w:t>-</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2" w:firstLine="0"/>
              <w:jc w:val="center"/>
            </w:pPr>
            <w:r>
              <w:rPr>
                <w:sz w:val="17"/>
              </w:rPr>
              <w:t>-</w:t>
            </w:r>
          </w:p>
        </w:tc>
      </w:tr>
    </w:tbl>
    <w:p w:rsidR="005D4C6F" w:rsidRDefault="00F86A01" w:rsidP="00F86A01">
      <w:pPr>
        <w:ind w:left="199" w:right="10" w:hanging="156"/>
      </w:pPr>
      <w:r>
        <w:rPr>
          <w:szCs w:val="15"/>
          <w:u w:color="000000"/>
        </w:rPr>
        <w:t>1)</w:t>
      </w:r>
      <w:r>
        <w:rPr>
          <w:szCs w:val="15"/>
          <w:u w:color="000000"/>
        </w:rPr>
        <w:tab/>
      </w:r>
      <w:r>
        <w:t>Obchodník není povinen hradit měsíční cenu ode dne instalace příslušného platebního terminálu do konce následujícího druhého kalendářního měsíce.</w:t>
      </w:r>
    </w:p>
    <w:p w:rsidR="005D4C6F" w:rsidRDefault="00F86A01" w:rsidP="00F86A01">
      <w:pPr>
        <w:spacing w:after="54" w:line="216" w:lineRule="auto"/>
        <w:ind w:left="199" w:right="10" w:hanging="156"/>
      </w:pPr>
      <w:r>
        <w:rPr>
          <w:szCs w:val="15"/>
          <w:u w:color="000000"/>
        </w:rPr>
        <w:t>2)</w:t>
      </w:r>
      <w:r>
        <w:rPr>
          <w:szCs w:val="15"/>
          <w:u w:color="000000"/>
        </w:rPr>
        <w:tab/>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215885</wp:posOffset>
                </wp:positionH>
                <wp:positionV relativeFrom="paragraph">
                  <wp:posOffset>241114</wp:posOffset>
                </wp:positionV>
                <wp:extent cx="25614" cy="120749"/>
                <wp:effectExtent l="0" t="0" r="0" b="0"/>
                <wp:wrapSquare wrapText="bothSides"/>
                <wp:docPr id="72991" name="Group 72991"/>
                <wp:cNvGraphicFramePr/>
                <a:graphic xmlns:a="http://schemas.openxmlformats.org/drawingml/2006/main">
                  <a:graphicData uri="http://schemas.microsoft.com/office/word/2010/wordprocessingGroup">
                    <wpg:wgp>
                      <wpg:cNvGrpSpPr/>
                      <wpg:grpSpPr>
                        <a:xfrm>
                          <a:off x="0" y="0"/>
                          <a:ext cx="25614" cy="120749"/>
                          <a:chOff x="0" y="0"/>
                          <a:chExt cx="25614" cy="120749"/>
                        </a:xfrm>
                      </wpg:grpSpPr>
                      <wps:wsp>
                        <wps:cNvPr id="3034" name="Shape 3034"/>
                        <wps:cNvSpPr/>
                        <wps:spPr>
                          <a:xfrm>
                            <a:off x="0" y="0"/>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3036" name="Shape 3036"/>
                        <wps:cNvSpPr/>
                        <wps:spPr>
                          <a:xfrm>
                            <a:off x="0" y="95138"/>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7E685306" id="Group 72991" o:spid="_x0000_s1026" style="position:absolute;margin-left:17pt;margin-top:19pt;width:2pt;height:9.5pt;z-index:251659264"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">
                <v:shape id="Shape 3034" o:spid="_x0000_s1027" style="position:absolute;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NSMMA&#10;AADdAAAADwAAAGRycy9kb3ducmV2LnhtbESPQWvCQBSE7wX/w/IEL6Vu1CIluopopL1GPXh8ZJ9J&#10;2uzbkH1q/PduodDjMDPfMMt17xp1oy7Ung1Mxgko4sLbmksDp+P+7QNUEGSLjWcy8KAA69XgZYmp&#10;9XfO6XaQUkUIhxQNVCJtqnUoKnIYxr4ljt7Fdw4lyq7UtsN7hLtGT5Nkrh3WHBcqbGlbUfFzuDoD&#10;mOfBiw2f2dm2u2yzPb1+S2bMaNhvFqCEevkP/7W/rIFZMnuH3zfxC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NSMMAAADdAAAADwAAAAAAAAAAAAAAAACYAgAAZHJzL2Rv&#10;d25yZXYueG1sUEsFBgAAAAAEAAQA9QAAAIgDAAAAAA==&#10;" path="m12807,v7073,,12807,5730,12807,12805c25614,19881,19880,25611,12807,25611,5734,25611,,19881,,12805,,5730,5734,,12807,xe" fillcolor="black" strokeweight=".1016mm">
                  <v:stroke miterlimit="83231f" joinstyle="miter" endcap="square"/>
                  <v:path arrowok="t" textboxrect="0,0,25614,25611"/>
                </v:shape>
                <v:shape id="Shape 3036" o:spid="_x0000_s1028" style="position:absolute;top:95138;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2pMMA&#10;AADdAAAADwAAAGRycy9kb3ducmV2LnhtbESPQWvCQBSE74L/YXkFL1I3rSAldRXRFL1GPfT4yD6T&#10;2OzbkH3V+O9dQfA4zMw3zHzZu0ZdqAu1ZwMfkwQUceFtzaWB4+Hn/QtUEGSLjWcycKMAy8VwMMfU&#10;+ivndNlLqSKEQ4oGKpE21ToUFTkME98SR+/kO4cSZVdq2+E1wl2jP5Nkph3WHBcqbGldUfG3/3cG&#10;MM+DFxu22a9tN9lqfRyfJTNm9NavvkEJ9fIKP9s7a2CaTGfweBOfgF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2pMMAAADdAAAADwAAAAAAAAAAAAAAAACYAgAAZHJzL2Rv&#10;d25yZXYueG1sUEsFBgAAAAAEAAQA9QAAAIgDAAAAAA==&#10;" path="m12807,v7073,,12807,5730,12807,12805c25614,19881,19880,25611,12807,25611,5734,25611,,19881,,12805,,5730,5734,,12807,xe" fillcolor="black" strokeweight=".1016mm">
                  <v:stroke miterlimit="83231f" joinstyle="miter" endcap="square"/>
                  <v:path arrowok="t" textboxrect="0,0,25614,25611"/>
                </v:shape>
                <w10:wrap type="square"/>
              </v:group>
            </w:pict>
          </mc:Fallback>
        </mc:AlternateConten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5D4C6F" w:rsidRDefault="00F86A01" w:rsidP="00F86A01">
      <w:pPr>
        <w:spacing w:line="216" w:lineRule="auto"/>
        <w:ind w:left="199" w:right="10" w:hanging="156"/>
      </w:pPr>
      <w:r>
        <w:rPr>
          <w:szCs w:val="15"/>
          <w:u w:color="000000"/>
        </w:rPr>
        <w:t>3)</w:t>
      </w:r>
      <w:r>
        <w:rPr>
          <w:szCs w:val="15"/>
          <w:u w:color="000000"/>
        </w:rPr>
        <w:tab/>
      </w: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5D4C6F" w:rsidRDefault="00F86A01">
      <w:pPr>
        <w:ind w:left="223" w:right="10"/>
      </w:pPr>
      <w:r>
        <w:t>Pro stanovení této ceny se používá výše obratu dosaženého prostřednictvím platebních karet v daném měsíci.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110"/>
        <w:gridCol w:w="1307"/>
        <w:gridCol w:w="1552"/>
        <w:gridCol w:w="1305"/>
        <w:gridCol w:w="1306"/>
      </w:tblGrid>
      <w:tr w:rsidR="005D4C6F">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5D4C6F" w:rsidRDefault="00F86A01">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Denně</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bl>
    <w:p w:rsidR="005D4C6F" w:rsidRDefault="00F86A01">
      <w:pPr>
        <w:ind w:left="199" w:right="10" w:hanging="156"/>
      </w:pPr>
      <w:r>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5290"/>
        <w:gridCol w:w="2645"/>
        <w:gridCol w:w="2645"/>
      </w:tblGrid>
      <w:tr w:rsidR="005D4C6F">
        <w:trPr>
          <w:trHeight w:val="334"/>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lastRenderedPageBreak/>
              <w:t>EET - Elektronická evidence tržeb</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 xml:space="preserve">Měsíční cena </w:t>
            </w:r>
            <w:r>
              <w:rPr>
                <w:sz w:val="20"/>
                <w:vertAlign w:val="superscript"/>
              </w:rPr>
              <w:t>1)</w:t>
            </w:r>
          </w:p>
        </w:tc>
      </w:tr>
      <w:tr w:rsidR="005D4C6F">
        <w:trPr>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EET na registrační pokladně</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200 + 21 % DPH měsíčně</w:t>
            </w:r>
          </w:p>
        </w:tc>
      </w:tr>
      <w:tr w:rsidR="005D4C6F">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5D4C6F" w:rsidRDefault="00F86A01">
      <w:pPr>
        <w:ind w:left="53" w:right="10"/>
      </w:pPr>
      <w:r>
        <w:t>1) Výše měsíční ceny se vztahuje na každý platební terminál obchodníka se službou EET a na každou registrační pokladnu, pro níž byla sjednána EET podpora.</w:t>
      </w:r>
    </w:p>
    <w:tbl>
      <w:tblPr>
        <w:tblStyle w:val="TableGrid"/>
        <w:tblW w:w="10580" w:type="dxa"/>
        <w:tblInd w:w="0" w:type="dxa"/>
        <w:tblCellMar>
          <w:top w:w="51" w:type="dxa"/>
          <w:left w:w="156" w:type="dxa"/>
          <w:right w:w="115" w:type="dxa"/>
        </w:tblCellMar>
        <w:tblLook w:val="04A0" w:firstRow="1" w:lastRow="0" w:firstColumn="1" w:lastColumn="0" w:noHBand="0" w:noVBand="1"/>
      </w:tblPr>
      <w:tblGrid>
        <w:gridCol w:w="5290"/>
        <w:gridCol w:w="5290"/>
      </w:tblGrid>
      <w:tr w:rsidR="005D4C6F">
        <w:trPr>
          <w:trHeight w:val="334"/>
        </w:trPr>
        <w:tc>
          <w:tcPr>
            <w:tcW w:w="5290" w:type="dxa"/>
            <w:tcBorders>
              <w:top w:val="nil"/>
              <w:left w:val="nil"/>
              <w:bottom w:val="nil"/>
              <w:right w:val="nil"/>
            </w:tcBorders>
            <w:shd w:val="clear" w:color="auto" w:fill="C8C8C8"/>
          </w:tcPr>
          <w:p w:rsidR="005D4C6F" w:rsidRDefault="00F86A01">
            <w:pPr>
              <w:spacing w:after="0" w:line="259" w:lineRule="auto"/>
              <w:ind w:left="0" w:firstLine="0"/>
            </w:pPr>
            <w:r>
              <w:rPr>
                <w:b/>
                <w:sz w:val="24"/>
              </w:rPr>
              <w:t>Pojištění platebních karet</w:t>
            </w:r>
          </w:p>
        </w:tc>
        <w:tc>
          <w:tcPr>
            <w:tcW w:w="5290" w:type="dxa"/>
            <w:tcBorders>
              <w:top w:val="nil"/>
              <w:left w:val="nil"/>
              <w:bottom w:val="nil"/>
              <w:right w:val="nil"/>
            </w:tcBorders>
            <w:shd w:val="clear" w:color="auto" w:fill="C8C8C8"/>
          </w:tcPr>
          <w:p w:rsidR="005D4C6F" w:rsidRDefault="005D4C6F">
            <w:pPr>
              <w:spacing w:after="160" w:line="259" w:lineRule="auto"/>
              <w:ind w:left="0" w:firstLine="0"/>
            </w:pPr>
          </w:p>
        </w:tc>
      </w:tr>
      <w:tr w:rsidR="005D4C6F">
        <w:trPr>
          <w:trHeight w:val="179"/>
        </w:trPr>
        <w:tc>
          <w:tcPr>
            <w:tcW w:w="5290" w:type="dxa"/>
            <w:tcBorders>
              <w:top w:val="nil"/>
              <w:left w:val="nil"/>
              <w:bottom w:val="single" w:sz="5" w:space="0" w:color="DCDCDC"/>
              <w:right w:val="nil"/>
            </w:tcBorders>
          </w:tcPr>
          <w:p w:rsidR="005D4C6F" w:rsidRDefault="005D4C6F">
            <w:pPr>
              <w:spacing w:after="160" w:line="259" w:lineRule="auto"/>
              <w:ind w:left="0" w:firstLine="0"/>
            </w:pPr>
          </w:p>
        </w:tc>
        <w:tc>
          <w:tcPr>
            <w:tcW w:w="5290" w:type="dxa"/>
            <w:tcBorders>
              <w:top w:val="nil"/>
              <w:left w:val="nil"/>
              <w:bottom w:val="single" w:sz="5" w:space="0" w:color="DCDCDC"/>
              <w:right w:val="nil"/>
            </w:tcBorders>
          </w:tcPr>
          <w:p w:rsidR="005D4C6F" w:rsidRDefault="005D4C6F">
            <w:pPr>
              <w:spacing w:after="160" w:line="259" w:lineRule="auto"/>
              <w:ind w:left="0" w:firstLine="0"/>
            </w:pP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60" w:firstLine="0"/>
              <w:jc w:val="center"/>
            </w:pPr>
            <w:r>
              <w:rPr>
                <w:sz w:val="20"/>
              </w:rPr>
              <w:t>Profi Merlin (kolektivní)</w:t>
            </w:r>
          </w:p>
        </w:tc>
      </w:tr>
      <w:tr w:rsidR="005D4C6F">
        <w:trPr>
          <w:trHeight w:val="323"/>
        </w:trPr>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9" w:firstLine="0"/>
              <w:jc w:val="center"/>
            </w:pPr>
            <w:r>
              <w:rPr>
                <w:sz w:val="17"/>
              </w:rPr>
              <w:t>468 ročně</w:t>
            </w:r>
          </w:p>
        </w:tc>
      </w:tr>
    </w:tbl>
    <w:p w:rsidR="005D4C6F" w:rsidRDefault="005D4C6F">
      <w:pPr>
        <w:sectPr w:rsidR="005D4C6F">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0" w:h="16840"/>
          <w:pgMar w:top="1136" w:right="714" w:bottom="1263" w:left="661" w:header="384" w:footer="315" w:gutter="0"/>
          <w:cols w:space="708"/>
        </w:sectPr>
      </w:pPr>
    </w:p>
    <w:tbl>
      <w:tblPr>
        <w:tblStyle w:val="TableGrid"/>
        <w:tblpPr w:vertAnchor="page" w:horzAnchor="page" w:tblpX="661" w:tblpY="14920"/>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lastRenderedPageBreak/>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lastRenderedPageBreak/>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bl>
    <w:p w:rsidR="005D4C6F" w:rsidRDefault="00F86A01">
      <w:pPr>
        <w:pStyle w:val="Nadpis2"/>
        <w:shd w:val="clear" w:color="auto" w:fill="auto"/>
        <w:ind w:left="93"/>
      </w:pPr>
      <w:r>
        <w:t>Přímé bankovnictví</w:t>
      </w:r>
    </w:p>
    <w:tbl>
      <w:tblPr>
        <w:tblStyle w:val="TableGrid"/>
        <w:tblW w:w="10580" w:type="dxa"/>
        <w:tblInd w:w="-58" w:type="dxa"/>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5D4C6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16" w:lineRule="auto"/>
              <w:ind w:left="0" w:firstLine="0"/>
              <w:jc w:val="center"/>
            </w:pPr>
            <w:r>
              <w:rPr>
                <w:sz w:val="20"/>
              </w:rPr>
              <w:t>Internetové bankovnictví</w:t>
            </w:r>
          </w:p>
          <w:p w:rsidR="005D4C6F" w:rsidRDefault="00F86A01">
            <w:pPr>
              <w:spacing w:after="0" w:line="259" w:lineRule="auto"/>
              <w:ind w:left="9" w:firstLine="0"/>
              <w:jc w:val="center"/>
            </w:pPr>
            <w:r>
              <w:rPr>
                <w:sz w:val="20"/>
              </w:rPr>
              <w:t>MojeBanka /</w:t>
            </w:r>
          </w:p>
          <w:p w:rsidR="005D4C6F" w:rsidRDefault="00F86A01">
            <w:pPr>
              <w:spacing w:after="0" w:line="259" w:lineRule="auto"/>
              <w:ind w:left="7" w:firstLine="0"/>
              <w:jc w:val="center"/>
            </w:pPr>
            <w:r>
              <w:rPr>
                <w:sz w:val="20"/>
              </w:rPr>
              <w:t>MojeBanka</w:t>
            </w:r>
          </w:p>
          <w:p w:rsidR="005D4C6F" w:rsidRDefault="00F86A01">
            <w:pPr>
              <w:spacing w:after="0" w:line="259" w:lineRule="auto"/>
              <w:ind w:left="6" w:firstLine="0"/>
              <w:jc w:val="center"/>
            </w:pPr>
            <w:r>
              <w:rPr>
                <w:sz w:val="20"/>
              </w:rPr>
              <w:t xml:space="preserve">Busines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16" w:lineRule="auto"/>
              <w:ind w:left="0" w:firstLine="0"/>
              <w:jc w:val="center"/>
            </w:pPr>
            <w:r>
              <w:rPr>
                <w:sz w:val="20"/>
              </w:rPr>
              <w:t>Internetové bankovnictví</w:t>
            </w:r>
          </w:p>
          <w:p w:rsidR="005D4C6F" w:rsidRDefault="00F86A01">
            <w:pPr>
              <w:spacing w:after="0" w:line="259" w:lineRule="auto"/>
              <w:ind w:left="9" w:firstLine="0"/>
              <w:jc w:val="center"/>
            </w:pPr>
            <w:r>
              <w:rPr>
                <w:sz w:val="20"/>
              </w:rPr>
              <w:t>MojeBanka /</w:t>
            </w:r>
          </w:p>
          <w:p w:rsidR="005D4C6F" w:rsidRDefault="00F86A01">
            <w:pPr>
              <w:spacing w:after="0" w:line="259" w:lineRule="auto"/>
              <w:ind w:left="7" w:firstLine="0"/>
              <w:jc w:val="center"/>
            </w:pPr>
            <w:r>
              <w:rPr>
                <w:sz w:val="20"/>
              </w:rPr>
              <w:t>MojeBanka</w:t>
            </w:r>
          </w:p>
          <w:p w:rsidR="005D4C6F" w:rsidRDefault="00F86A01">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16" w:lineRule="auto"/>
              <w:ind w:left="0" w:firstLine="0"/>
              <w:jc w:val="center"/>
            </w:pPr>
            <w:r>
              <w:rPr>
                <w:sz w:val="20"/>
              </w:rPr>
              <w:t>Internetové bankovnictví</w:t>
            </w:r>
          </w:p>
          <w:p w:rsidR="005D4C6F" w:rsidRDefault="00F86A01">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16" w:lineRule="auto"/>
              <w:ind w:left="0" w:firstLine="0"/>
              <w:jc w:val="center"/>
            </w:pPr>
            <w:r>
              <w:rPr>
                <w:sz w:val="20"/>
              </w:rPr>
              <w:t>Internetové bankovnictví</w:t>
            </w:r>
          </w:p>
          <w:p w:rsidR="005D4C6F" w:rsidRDefault="00F86A01">
            <w:pPr>
              <w:spacing w:after="0" w:line="259" w:lineRule="auto"/>
              <w:ind w:left="7" w:firstLine="0"/>
              <w:jc w:val="center"/>
            </w:pPr>
            <w:r>
              <w:rPr>
                <w:sz w:val="20"/>
              </w:rPr>
              <w:t>Mobilní banka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9" w:firstLine="0"/>
              <w:jc w:val="center"/>
            </w:pPr>
            <w:r>
              <w:rPr>
                <w:sz w:val="17"/>
              </w:rPr>
              <w:t>zdarma</w:t>
            </w: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9" w:firstLine="0"/>
              <w:jc w:val="center"/>
            </w:pPr>
            <w:r>
              <w:rPr>
                <w:sz w:val="17"/>
              </w:rPr>
              <w:t>zdarma</w:t>
            </w:r>
          </w:p>
        </w:tc>
      </w:tr>
    </w:tbl>
    <w:p w:rsidR="005D4C6F" w:rsidRDefault="00F86A01">
      <w:pPr>
        <w:ind w:left="53" w:right="10"/>
      </w:pPr>
      <w:r>
        <w:t>1) V případě, že jsou služby poskytovány současně, je účtována cena za jednu službu.</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5"/>
        <w:gridCol w:w="3705"/>
      </w:tblGrid>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oznámení</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2,50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2,50 </w:t>
            </w:r>
            <w:r>
              <w:rPr>
                <w:sz w:val="23"/>
                <w:vertAlign w:val="superscript"/>
              </w:rPr>
              <w:t>1)</w:t>
            </w:r>
          </w:p>
        </w:tc>
      </w:tr>
    </w:tbl>
    <w:p w:rsidR="005D4C6F" w:rsidRDefault="00F86A01">
      <w:pPr>
        <w:spacing w:after="297"/>
        <w:ind w:left="53" w:right="10"/>
      </w:pPr>
      <w:r>
        <w:t>1) Cena za vyžádanou transakční historii je 0,50 Kč za zaslání jedné informační SMS.</w:t>
      </w:r>
    </w:p>
    <w:p w:rsidR="005D4C6F" w:rsidRDefault="00F86A01">
      <w:pPr>
        <w:pStyle w:val="Nadpis3"/>
        <w:ind w:left="151"/>
      </w:pPr>
      <w:r>
        <w:t>Další služby k přímému bankovnictví</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5"/>
        <w:gridCol w:w="3705"/>
      </w:tblGrid>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35</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160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100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29</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zdarma (mimo území ČR: 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lastRenderedPageBreak/>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500 měsíčně</w:t>
            </w:r>
          </w:p>
        </w:tc>
      </w:tr>
      <w:tr w:rsidR="005D4C6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center"/>
            </w:pPr>
            <w:r>
              <w:rPr>
                <w:sz w:val="17"/>
              </w:rPr>
              <w:t>1 000 za zřízení každé služby, měsíční poplatky individuálně</w:t>
            </w:r>
          </w:p>
        </w:tc>
      </w:tr>
      <w:tr w:rsidR="005D4C6F">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center"/>
            </w:pPr>
            <w:r>
              <w:rPr>
                <w:sz w:val="17"/>
              </w:rPr>
              <w:t>1 000 za zřízení každé služby, měsíční poplatky 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500 za zřízení služby</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bl>
    <w:p w:rsidR="005D4C6F" w:rsidRDefault="005D4C6F">
      <w:pPr>
        <w:spacing w:after="0" w:line="259" w:lineRule="auto"/>
        <w:ind w:left="-719" w:right="11088" w:firstLine="0"/>
      </w:pP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4"/>
        <w:gridCol w:w="3706"/>
      </w:tblGrid>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640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250 + 21 % DPH</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390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80" w:firstLine="0"/>
              <w:jc w:val="center"/>
            </w:pPr>
            <w:r>
              <w:rPr>
                <w:sz w:val="20"/>
              </w:rPr>
              <w:t>Cena za službu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0" w:firstLine="0"/>
              <w:jc w:val="center"/>
            </w:pPr>
            <w:r>
              <w:rPr>
                <w:sz w:val="17"/>
              </w:rPr>
              <w:t>2 400 + 21 % DPH / 1 900 + 21 % DPH</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80" w:firstLine="0"/>
              <w:jc w:val="center"/>
            </w:pPr>
            <w:r>
              <w:rPr>
                <w:sz w:val="17"/>
              </w:rPr>
              <w:t>2 200 + 21 % DPH</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80" w:firstLine="0"/>
              <w:jc w:val="center"/>
            </w:pPr>
            <w:r>
              <w:rPr>
                <w:sz w:val="17"/>
              </w:rPr>
              <w:t>2 700 + 21 % DPH</w:t>
            </w:r>
          </w:p>
        </w:tc>
      </w:tr>
      <w:tr w:rsidR="005D4C6F">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Ceny jsou platné pro případy, kdy uvedené servisní služby zajišťuje externí subdodavatel, se kterým má KB pro takové výkony uzavřen smluvní vztah.</w:t>
            </w:r>
          </w:p>
          <w:p w:rsidR="005D4C6F" w:rsidRDefault="00F86A01">
            <w:pPr>
              <w:spacing w:after="0"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5D4C6F" w:rsidRDefault="00F86A01">
            <w:pPr>
              <w:spacing w:after="0"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5D4C6F" w:rsidRDefault="00F86A01">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5D4C6F" w:rsidRDefault="00F86A01">
      <w:r>
        <w:br w:type="page"/>
      </w:r>
    </w:p>
    <w:p w:rsidR="005D4C6F" w:rsidRDefault="00F86A01">
      <w:pPr>
        <w:pStyle w:val="Nadpis2"/>
        <w:shd w:val="clear" w:color="auto" w:fill="auto"/>
        <w:ind w:left="93"/>
      </w:pPr>
      <w:r>
        <w:lastRenderedPageBreak/>
        <w:t>Platební styk</w:t>
      </w:r>
    </w:p>
    <w:tbl>
      <w:tblPr>
        <w:tblStyle w:val="TableGrid"/>
        <w:tblW w:w="10580" w:type="dxa"/>
        <w:tblInd w:w="-58" w:type="dxa"/>
        <w:tblCellMar>
          <w:top w:w="51" w:type="dxa"/>
          <w:left w:w="156" w:type="dxa"/>
          <w:right w:w="78" w:type="dxa"/>
        </w:tblCellMar>
        <w:tblLook w:val="04A0" w:firstRow="1" w:lastRow="0" w:firstColumn="1" w:lastColumn="0" w:noHBand="0" w:noVBand="1"/>
      </w:tblPr>
      <w:tblGrid>
        <w:gridCol w:w="7"/>
        <w:gridCol w:w="3691"/>
        <w:gridCol w:w="6"/>
        <w:gridCol w:w="2286"/>
        <w:gridCol w:w="6"/>
        <w:gridCol w:w="2286"/>
        <w:gridCol w:w="6"/>
        <w:gridCol w:w="2286"/>
        <w:gridCol w:w="6"/>
      </w:tblGrid>
      <w:tr w:rsidR="005D4C6F">
        <w:trPr>
          <w:gridAfter w:val="1"/>
          <w:wAfter w:w="6" w:type="dxa"/>
          <w:trHeight w:val="334"/>
        </w:trPr>
        <w:tc>
          <w:tcPr>
            <w:tcW w:w="3699" w:type="dxa"/>
            <w:gridSpan w:val="2"/>
            <w:tcBorders>
              <w:top w:val="nil"/>
              <w:left w:val="nil"/>
              <w:bottom w:val="nil"/>
              <w:right w:val="nil"/>
            </w:tcBorders>
            <w:shd w:val="clear" w:color="auto" w:fill="C8C8C8"/>
          </w:tcPr>
          <w:p w:rsidR="005D4C6F" w:rsidRDefault="00F86A01">
            <w:pPr>
              <w:spacing w:after="0" w:line="259" w:lineRule="auto"/>
              <w:ind w:left="0" w:firstLine="0"/>
            </w:pPr>
            <w:r>
              <w:rPr>
                <w:b/>
                <w:sz w:val="24"/>
              </w:rPr>
              <w:t>Tuzemské platby</w:t>
            </w:r>
          </w:p>
        </w:tc>
        <w:tc>
          <w:tcPr>
            <w:tcW w:w="2293" w:type="dxa"/>
            <w:gridSpan w:val="2"/>
            <w:tcBorders>
              <w:top w:val="nil"/>
              <w:left w:val="nil"/>
              <w:bottom w:val="nil"/>
              <w:right w:val="nil"/>
            </w:tcBorders>
            <w:shd w:val="clear" w:color="auto" w:fill="C8C8C8"/>
          </w:tcPr>
          <w:p w:rsidR="005D4C6F" w:rsidRDefault="005D4C6F">
            <w:pPr>
              <w:spacing w:after="160" w:line="259" w:lineRule="auto"/>
              <w:ind w:left="0" w:firstLine="0"/>
            </w:pPr>
          </w:p>
        </w:tc>
        <w:tc>
          <w:tcPr>
            <w:tcW w:w="2293" w:type="dxa"/>
            <w:gridSpan w:val="2"/>
            <w:tcBorders>
              <w:top w:val="nil"/>
              <w:left w:val="nil"/>
              <w:bottom w:val="nil"/>
              <w:right w:val="nil"/>
            </w:tcBorders>
            <w:shd w:val="clear" w:color="auto" w:fill="C8C8C8"/>
          </w:tcPr>
          <w:p w:rsidR="005D4C6F" w:rsidRDefault="005D4C6F">
            <w:pPr>
              <w:spacing w:after="160" w:line="259" w:lineRule="auto"/>
              <w:ind w:left="0" w:firstLine="0"/>
            </w:pPr>
          </w:p>
        </w:tc>
        <w:tc>
          <w:tcPr>
            <w:tcW w:w="2293" w:type="dxa"/>
            <w:gridSpan w:val="2"/>
            <w:tcBorders>
              <w:top w:val="nil"/>
              <w:left w:val="nil"/>
              <w:bottom w:val="nil"/>
              <w:right w:val="nil"/>
            </w:tcBorders>
            <w:shd w:val="clear" w:color="auto" w:fill="C8C8C8"/>
          </w:tcPr>
          <w:p w:rsidR="005D4C6F" w:rsidRDefault="005D4C6F">
            <w:pPr>
              <w:spacing w:after="160" w:line="259" w:lineRule="auto"/>
              <w:ind w:left="0" w:firstLine="0"/>
            </w:pPr>
          </w:p>
        </w:tc>
      </w:tr>
      <w:tr w:rsidR="005D4C6F">
        <w:trPr>
          <w:gridAfter w:val="1"/>
          <w:wAfter w:w="6" w:type="dxa"/>
          <w:trHeight w:val="179"/>
        </w:trPr>
        <w:tc>
          <w:tcPr>
            <w:tcW w:w="3699" w:type="dxa"/>
            <w:gridSpan w:val="2"/>
            <w:tcBorders>
              <w:top w:val="nil"/>
              <w:left w:val="nil"/>
              <w:bottom w:val="single" w:sz="5" w:space="0" w:color="DCDCDC"/>
              <w:right w:val="nil"/>
            </w:tcBorders>
          </w:tcPr>
          <w:p w:rsidR="005D4C6F" w:rsidRDefault="005D4C6F">
            <w:pPr>
              <w:spacing w:after="160" w:line="259" w:lineRule="auto"/>
              <w:ind w:left="0" w:firstLine="0"/>
            </w:pPr>
          </w:p>
        </w:tc>
        <w:tc>
          <w:tcPr>
            <w:tcW w:w="2293" w:type="dxa"/>
            <w:gridSpan w:val="2"/>
            <w:tcBorders>
              <w:top w:val="nil"/>
              <w:left w:val="nil"/>
              <w:bottom w:val="single" w:sz="5" w:space="0" w:color="DCDCDC"/>
              <w:right w:val="nil"/>
            </w:tcBorders>
          </w:tcPr>
          <w:p w:rsidR="005D4C6F" w:rsidRDefault="005D4C6F">
            <w:pPr>
              <w:spacing w:after="160" w:line="259" w:lineRule="auto"/>
              <w:ind w:left="0" w:firstLine="0"/>
            </w:pPr>
          </w:p>
        </w:tc>
        <w:tc>
          <w:tcPr>
            <w:tcW w:w="2293" w:type="dxa"/>
            <w:gridSpan w:val="2"/>
            <w:tcBorders>
              <w:top w:val="nil"/>
              <w:left w:val="nil"/>
              <w:bottom w:val="single" w:sz="5" w:space="0" w:color="DCDCDC"/>
              <w:right w:val="nil"/>
            </w:tcBorders>
          </w:tcPr>
          <w:p w:rsidR="005D4C6F" w:rsidRDefault="005D4C6F">
            <w:pPr>
              <w:spacing w:after="160" w:line="259" w:lineRule="auto"/>
              <w:ind w:left="0" w:firstLine="0"/>
            </w:pPr>
          </w:p>
        </w:tc>
        <w:tc>
          <w:tcPr>
            <w:tcW w:w="2293" w:type="dxa"/>
            <w:gridSpan w:val="2"/>
            <w:tcBorders>
              <w:top w:val="nil"/>
              <w:left w:val="nil"/>
              <w:bottom w:val="single" w:sz="5" w:space="0" w:color="DCDCDC"/>
              <w:right w:val="nil"/>
            </w:tcBorders>
          </w:tcPr>
          <w:p w:rsidR="005D4C6F" w:rsidRDefault="005D4C6F">
            <w:pPr>
              <w:spacing w:after="160" w:line="259" w:lineRule="auto"/>
              <w:ind w:left="0" w:firstLine="0"/>
            </w:pPr>
          </w:p>
        </w:tc>
      </w:tr>
      <w:tr w:rsidR="005D4C6F">
        <w:trPr>
          <w:gridAfter w:val="1"/>
          <w:wAfter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6" w:firstLine="0"/>
            </w:pPr>
            <w:r>
              <w:rPr>
                <w:sz w:val="20"/>
              </w:rPr>
              <w:t>Příchozí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1" w:firstLine="0"/>
              <w:jc w:val="center"/>
            </w:pPr>
            <w:r>
              <w:rPr>
                <w:sz w:val="20"/>
              </w:rPr>
              <w:t>+ Cena za způsob zpracování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 w:firstLine="0"/>
              <w:jc w:val="center"/>
            </w:pPr>
            <w:r>
              <w:rPr>
                <w:sz w:val="20"/>
              </w:rPr>
              <w:t>+ Příplatek za úhradu mimo KB</w:t>
            </w:r>
          </w:p>
        </w:tc>
      </w:tr>
      <w:tr w:rsidR="005D4C6F">
        <w:trPr>
          <w:gridAfter w:val="1"/>
          <w:wAfter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pPr>
            <w:r>
              <w:rPr>
                <w:sz w:val="20"/>
              </w:rPr>
              <w:t>Příchozí úhrada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7" w:firstLine="0"/>
              <w:jc w:val="center"/>
            </w:pPr>
            <w:r>
              <w:rPr>
                <w:sz w:val="17"/>
              </w:rPr>
              <w:t>5</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1"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7" w:firstLine="0"/>
              <w:jc w:val="center"/>
            </w:pPr>
            <w:r>
              <w:rPr>
                <w:sz w:val="17"/>
              </w:rPr>
              <w:t>2</w:t>
            </w:r>
          </w:p>
        </w:tc>
      </w:tr>
      <w:tr w:rsidR="005D4C6F">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Odchozí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1"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6" w:firstLine="0"/>
              <w:jc w:val="center"/>
            </w:pPr>
            <w:r>
              <w:rPr>
                <w:sz w:val="20"/>
              </w:rPr>
              <w:t>+ Cena za způsob zpracování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4" w:firstLine="0"/>
              <w:jc w:val="center"/>
            </w:pPr>
            <w:r>
              <w:rPr>
                <w:sz w:val="20"/>
              </w:rPr>
              <w:t>+ Příplatek za úhradu mimo KB</w:t>
            </w:r>
          </w:p>
        </w:tc>
      </w:tr>
      <w:tr w:rsidR="005D4C6F">
        <w:trPr>
          <w:gridBefore w:val="1"/>
          <w:wBefore w:w="6" w:type="dxa"/>
          <w:trHeight w:val="334"/>
        </w:trPr>
        <w:tc>
          <w:tcPr>
            <w:tcW w:w="369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Elektronická odchozí úhrada </w:t>
            </w:r>
            <w:r>
              <w:rPr>
                <w:sz w:val="20"/>
                <w:vertAlign w:val="superscript"/>
              </w:rPr>
              <w:t>1)</w:t>
            </w:r>
          </w:p>
        </w:tc>
        <w:tc>
          <w:tcPr>
            <w:tcW w:w="2293" w:type="dxa"/>
            <w:gridSpan w:val="2"/>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2,90</w:t>
            </w:r>
          </w:p>
        </w:tc>
        <w:tc>
          <w:tcPr>
            <w:tcW w:w="2293" w:type="dxa"/>
            <w:gridSpan w:val="2"/>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w:t>
            </w:r>
          </w:p>
        </w:tc>
      </w:tr>
      <w:tr w:rsidR="005D4C6F">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Expresní linka KB</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29</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Papírový příkaz</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69</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gridBefore w:val="1"/>
          <w:wBefore w:w="6" w:type="dxa"/>
          <w:trHeight w:val="519"/>
        </w:trPr>
        <w:tc>
          <w:tcPr>
            <w:tcW w:w="369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Papírový příkaz - zpracovaný na pobočce v den předání</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2" w:firstLine="0"/>
              <w:jc w:val="center"/>
            </w:pPr>
            <w:r>
              <w:rPr>
                <w:sz w:val="17"/>
              </w:rPr>
              <w:t xml:space="preserve">99 </w:t>
            </w:r>
            <w:r>
              <w:rPr>
                <w:sz w:val="23"/>
                <w:vertAlign w:val="superscript"/>
              </w:rPr>
              <w:t>2)</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Papírový příkaz - neodvolatelná platba</w:t>
            </w:r>
          </w:p>
        </w:tc>
        <w:tc>
          <w:tcPr>
            <w:tcW w:w="0" w:type="auto"/>
            <w:gridSpan w:val="2"/>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119</w:t>
            </w:r>
          </w:p>
        </w:tc>
        <w:tc>
          <w:tcPr>
            <w:tcW w:w="0" w:type="auto"/>
            <w:gridSpan w:val="2"/>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rsidP="00F86A01">
      <w:pPr>
        <w:spacing w:after="54" w:line="216" w:lineRule="auto"/>
        <w:ind w:left="199" w:right="10" w:hanging="156"/>
      </w:pPr>
      <w:r>
        <w:rPr>
          <w:szCs w:val="15"/>
          <w:u w:color="000000"/>
        </w:rPr>
        <w:t>1)</w:t>
      </w:r>
      <w:r>
        <w:rPr>
          <w:szCs w:val="15"/>
          <w:u w:color="000000"/>
        </w:rPr>
        <w:tab/>
      </w:r>
      <w:r>
        <w:t>Elektronicky = s použitím internetového bankovnictví Mobilní banka, MojeBanka, MojeBanka Business, Profibanka a služeb MojePlatba, Přímý kanál nebo MultiCash KB, pokud to tyto služby pro daný účet umožňují.</w:t>
      </w:r>
    </w:p>
    <w:tbl>
      <w:tblPr>
        <w:tblStyle w:val="TableGrid"/>
        <w:tblpPr w:vertAnchor="page" w:horzAnchor="page" w:tblpX="661" w:tblpY="12390"/>
        <w:tblOverlap w:val="never"/>
        <w:tblW w:w="10580" w:type="dxa"/>
        <w:tblInd w:w="0" w:type="dxa"/>
        <w:tblCellMar>
          <w:top w:w="69" w:type="dxa"/>
          <w:left w:w="161" w:type="dxa"/>
          <w:right w:w="78" w:type="dxa"/>
        </w:tblCellMar>
        <w:tblLook w:val="04A0" w:firstRow="1" w:lastRow="0" w:firstColumn="1" w:lastColumn="0" w:noHBand="0" w:noVBand="1"/>
      </w:tblPr>
      <w:tblGrid>
        <w:gridCol w:w="3699"/>
        <w:gridCol w:w="2293"/>
        <w:gridCol w:w="2293"/>
        <w:gridCol w:w="2293"/>
      </w:tblGrid>
      <w:tr w:rsidR="005D4C6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1" w:firstLine="0"/>
              <w:jc w:val="center"/>
            </w:pPr>
            <w:r>
              <w:rPr>
                <w:sz w:val="20"/>
              </w:rPr>
              <w:t>Cena za provedení úhrady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6"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4" w:firstLine="0"/>
              <w:jc w:val="center"/>
            </w:pPr>
            <w:r>
              <w:rPr>
                <w:sz w:val="20"/>
              </w:rPr>
              <w:t>+ Příplatek za úhradu mimo KB</w:t>
            </w:r>
          </w:p>
        </w:tc>
      </w:tr>
      <w:tr w:rsidR="005D4C6F">
        <w:trPr>
          <w:trHeight w:val="473"/>
        </w:trPr>
        <w:tc>
          <w:tcPr>
            <w:tcW w:w="3699"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center"/>
            </w:pPr>
            <w:r>
              <w:rPr>
                <w:sz w:val="17"/>
              </w:rPr>
              <w:t>69 za první platbu provedenou v kalendářním měsíci</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w:t>
            </w:r>
          </w:p>
        </w:tc>
      </w:tr>
      <w:tr w:rsidR="005D4C6F">
        <w:trPr>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Poštou zaslané oznámení o neprovedeném příkazu nebo o důvodu neprovedení odchozí úhrady</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4"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4" w:firstLine="0"/>
              <w:jc w:val="center"/>
            </w:pPr>
            <w:r>
              <w:rPr>
                <w:sz w:val="17"/>
              </w:rPr>
              <w:t>-</w:t>
            </w:r>
          </w:p>
        </w:tc>
      </w:tr>
    </w:tbl>
    <w:p w:rsidR="005D4C6F" w:rsidRDefault="00F86A01" w:rsidP="00F86A01">
      <w:pPr>
        <w:ind w:left="199" w:right="10" w:hanging="156"/>
      </w:pPr>
      <w:r>
        <w:rPr>
          <w:szCs w:val="15"/>
          <w:u w:color="000000"/>
        </w:rPr>
        <w:t>2)</w:t>
      </w:r>
      <w:r>
        <w:rPr>
          <w:szCs w:val="15"/>
          <w:u w:color="000000"/>
        </w:rPr>
        <w:tab/>
      </w:r>
      <w:r>
        <w:t>Použije se v případě papírového příkazu k úhradě v Kč z účtu vedeného v Kč na účet ve stejné měně v KB nebo na účet do jiné banky.</w:t>
      </w:r>
    </w:p>
    <w:tbl>
      <w:tblPr>
        <w:tblStyle w:val="TableGrid"/>
        <w:tblW w:w="10580" w:type="dxa"/>
        <w:tblInd w:w="-58" w:type="dxa"/>
        <w:tblCellMar>
          <w:top w:w="69" w:type="dxa"/>
          <w:left w:w="161" w:type="dxa"/>
          <w:right w:w="78" w:type="dxa"/>
        </w:tblCellMar>
        <w:tblLook w:val="04A0" w:firstRow="1" w:lastRow="0" w:firstColumn="1" w:lastColumn="0" w:noHBand="0" w:noVBand="1"/>
      </w:tblPr>
      <w:tblGrid>
        <w:gridCol w:w="3699"/>
        <w:gridCol w:w="2293"/>
        <w:gridCol w:w="2260"/>
        <w:gridCol w:w="33"/>
        <w:gridCol w:w="2293"/>
        <w:gridCol w:w="2"/>
      </w:tblGrid>
      <w:tr w:rsidR="005D4C6F">
        <w:trPr>
          <w:trHeight w:val="323"/>
        </w:trPr>
        <w:tc>
          <w:tcPr>
            <w:tcW w:w="8252" w:type="dxa"/>
            <w:gridSpan w:val="3"/>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 + ) Následující volitelné položky se dále přičítají k odchozí úhradě</w:t>
            </w:r>
          </w:p>
        </w:tc>
        <w:tc>
          <w:tcPr>
            <w:tcW w:w="2328" w:type="dxa"/>
            <w:gridSpan w:val="3"/>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20"/>
              </w:rPr>
              <w:t>Expresní odchozí úhrada v Kč do jiné banky v ČR v den splatnosti (do 14:30 hod. pomocí služeb přímého bankovnictví, do</w:t>
            </w:r>
          </w:p>
          <w:p w:rsidR="005D4C6F" w:rsidRDefault="00F86A01">
            <w:pPr>
              <w:spacing w:after="0" w:line="259" w:lineRule="auto"/>
              <w:ind w:left="0" w:firstLine="0"/>
            </w:pPr>
            <w:r>
              <w:rPr>
                <w:sz w:val="20"/>
              </w:rPr>
              <w:t>13:00 hod. pomocí papírového příkazu)</w:t>
            </w:r>
          </w:p>
        </w:tc>
        <w:tc>
          <w:tcPr>
            <w:tcW w:w="2328"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90</w:t>
            </w:r>
          </w:p>
        </w:tc>
      </w:tr>
      <w:tr w:rsidR="005D4C6F">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vAlign w:val="center"/>
          </w:tcPr>
          <w:p w:rsidR="005D4C6F" w:rsidRDefault="005D4C6F">
            <w:pPr>
              <w:spacing w:after="160" w:line="259" w:lineRule="auto"/>
              <w:ind w:left="0" w:firstLine="0"/>
            </w:pP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1"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6"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4" w:firstLine="0"/>
              <w:jc w:val="center"/>
            </w:pPr>
            <w:r>
              <w:rPr>
                <w:sz w:val="20"/>
              </w:rPr>
              <w:t>+ Příplatek za úhradu mimo KB</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1" w:firstLine="0"/>
              <w:jc w:val="center"/>
            </w:pPr>
            <w:r>
              <w:rPr>
                <w:sz w:val="17"/>
              </w:rPr>
              <w:t>2</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10</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Připsaná inkasní platba z jiné banky</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4"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Připsaná inkasní platba v rámci KB</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4" w:firstLine="0"/>
              <w:jc w:val="center"/>
            </w:pPr>
            <w:r>
              <w:rPr>
                <w:sz w:val="17"/>
              </w:rPr>
              <w:t>-</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4"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1" w:firstLine="0"/>
              <w:jc w:val="center"/>
            </w:pPr>
            <w:r>
              <w:rPr>
                <w:sz w:val="17"/>
              </w:rPr>
              <w:t>2</w:t>
            </w:r>
          </w:p>
        </w:tc>
      </w:tr>
      <w:tr w:rsidR="005D4C6F">
        <w:trPr>
          <w:gridAfter w:val="1"/>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07" w:firstLine="0"/>
              <w:jc w:val="center"/>
            </w:pPr>
            <w:r>
              <w:rPr>
                <w:sz w:val="20"/>
              </w:rPr>
              <w:t>Zrušení</w:t>
            </w:r>
          </w:p>
        </w:tc>
      </w:tr>
      <w:tr w:rsidR="005D4C6F">
        <w:trPr>
          <w:gridAfter w:val="1"/>
          <w:trHeight w:val="334"/>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6" w:firstLine="0"/>
              <w:jc w:val="center"/>
            </w:pPr>
            <w:r>
              <w:rPr>
                <w:sz w:val="17"/>
              </w:rPr>
              <w:t>zdarma</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2"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6" w:firstLine="0"/>
              <w:jc w:val="center"/>
            </w:pPr>
            <w:r>
              <w:rPr>
                <w:sz w:val="17"/>
              </w:rPr>
              <w:t>zdarma</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2"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6" w:firstLine="0"/>
              <w:jc w:val="center"/>
            </w:pPr>
            <w:r>
              <w:rPr>
                <w:sz w:val="17"/>
              </w:rPr>
              <w:t>zdarma</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2"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06" w:firstLine="0"/>
              <w:jc w:val="center"/>
            </w:pPr>
            <w:r>
              <w:rPr>
                <w:sz w:val="17"/>
              </w:rPr>
              <w:t>zdarma</w:t>
            </w:r>
          </w:p>
        </w:tc>
      </w:tr>
      <w:tr w:rsidR="005D4C6F">
        <w:trPr>
          <w:gridAfter w:val="1"/>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0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06" w:firstLine="0"/>
              <w:jc w:val="center"/>
            </w:pPr>
            <w:r>
              <w:rPr>
                <w:sz w:val="17"/>
              </w:rPr>
              <w:t>zdarma</w:t>
            </w:r>
          </w:p>
        </w:tc>
      </w:tr>
    </w:tbl>
    <w:p w:rsidR="005D4C6F" w:rsidRDefault="00F86A01">
      <w:pPr>
        <w:ind w:left="53" w:right="10"/>
      </w:pPr>
      <w:r>
        <w:t>1) Elektronicky = s použitím internetového bankovnictví Mobilní banka, MojeBanka, MojeBanka Business, Profibanka, pokud to tyto služby pro daný účet umožňují.</w:t>
      </w:r>
    </w:p>
    <w:p w:rsidR="005D4C6F" w:rsidRDefault="005D4C6F">
      <w:pPr>
        <w:sectPr w:rsidR="005D4C6F">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812" w:bottom="1275" w:left="719" w:header="384" w:footer="315" w:gutter="0"/>
          <w:cols w:space="708"/>
        </w:sectPr>
      </w:pPr>
    </w:p>
    <w:tbl>
      <w:tblPr>
        <w:tblStyle w:val="TableGrid"/>
        <w:tblpPr w:vertAnchor="page" w:horzAnchor="page" w:tblpX="661" w:tblpY="10679"/>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5D4C6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300</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w:t>
            </w:r>
          </w:p>
        </w:tc>
      </w:tr>
      <w:tr w:rsidR="005D4C6F">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p w:rsidR="005D4C6F" w:rsidRDefault="00F86A01">
      <w:pPr>
        <w:pStyle w:val="Nadpis3"/>
        <w:shd w:val="clear" w:color="auto" w:fill="auto"/>
        <w:spacing w:after="53"/>
        <w:ind w:left="151"/>
      </w:pPr>
      <w:r>
        <w:t>Zahraniční a cizoměnové platby mimo KB</w:t>
      </w:r>
    </w:p>
    <w:p w:rsidR="005D4C6F" w:rsidRDefault="00F86A01">
      <w:pPr>
        <w:spacing w:after="0"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zahranční platby, které zahrnují i cizoměnové odchozí úhrady mimo KB v ČR. Bližší informace o zahraničních platbách naleznete </w:t>
      </w:r>
      <w:hyperlink r:id="rId28">
        <w:r>
          <w:rPr>
            <w:color w:val="0000EE"/>
            <w:sz w:val="17"/>
            <w:u w:val="single" w:color="0000EE"/>
          </w:rPr>
          <w:t>zde</w:t>
        </w:r>
      </w:hyperlink>
      <w:r>
        <w:rPr>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7"/>
        <w:gridCol w:w="1"/>
        <w:gridCol w:w="1"/>
      </w:tblGrid>
      <w:tr w:rsidR="005D4C6F">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pPr>
            <w:r>
              <w:rPr>
                <w:sz w:val="20"/>
              </w:rPr>
              <w:t>Příchozí úhrady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16" w:firstLine="0"/>
              <w:jc w:val="center"/>
            </w:pPr>
            <w:r>
              <w:rPr>
                <w:sz w:val="20"/>
              </w:rPr>
              <w:t>Cena příchozí úhrady</w:t>
            </w:r>
          </w:p>
        </w:tc>
        <w:tc>
          <w:tcPr>
            <w:tcW w:w="2386" w:type="dxa"/>
            <w:gridSpan w:val="4"/>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center"/>
            </w:pPr>
            <w:r>
              <w:rPr>
                <w:sz w:val="20"/>
              </w:rPr>
              <w:t>+ Cena za zpracování zahraniční úhrady</w:t>
            </w:r>
          </w:p>
        </w:tc>
      </w:tr>
      <w:tr w:rsidR="005D4C6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Příchozí úhrada 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6" w:firstLine="0"/>
              <w:jc w:val="center"/>
            </w:pPr>
            <w:r>
              <w:rPr>
                <w:sz w:val="17"/>
              </w:rPr>
              <w:t>5</w:t>
            </w:r>
          </w:p>
        </w:tc>
        <w:tc>
          <w:tcPr>
            <w:tcW w:w="2386"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145</w:t>
            </w:r>
          </w:p>
        </w:tc>
      </w:tr>
      <w:tr w:rsidR="005D4C6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Příchozí úhrada SEPA platba nad 50 000 EUR</w:t>
            </w:r>
          </w:p>
        </w:tc>
        <w:tc>
          <w:tcPr>
            <w:tcW w:w="0" w:type="auto"/>
            <w:gridSpan w:val="4"/>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1 095</w:t>
            </w:r>
          </w:p>
        </w:tc>
      </w:tr>
      <w:tr w:rsidR="005D4C6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Příchozí úhrada od klientů KBSK</w:t>
            </w:r>
          </w:p>
        </w:tc>
        <w:tc>
          <w:tcPr>
            <w:tcW w:w="0" w:type="auto"/>
            <w:gridSpan w:val="4"/>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7</w:t>
            </w:r>
          </w:p>
        </w:tc>
      </w:tr>
      <w:tr w:rsidR="005D4C6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Zahraniční příchozí úhrada - typ poplatku "OUR"</w:t>
            </w:r>
          </w:p>
        </w:tc>
        <w:tc>
          <w:tcPr>
            <w:tcW w:w="0" w:type="auto"/>
            <w:gridSpan w:val="4"/>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zdarma</w:t>
            </w:r>
          </w:p>
        </w:tc>
      </w:tr>
      <w:tr w:rsidR="005D4C6F">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Ostatní zahraniční příchozí úhrady</w:t>
            </w:r>
          </w:p>
        </w:tc>
        <w:tc>
          <w:tcPr>
            <w:tcW w:w="0" w:type="auto"/>
            <w:gridSpan w:val="4"/>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 w:firstLine="0"/>
              <w:jc w:val="center"/>
            </w:pPr>
            <w:r>
              <w:rPr>
                <w:sz w:val="17"/>
              </w:rPr>
              <w:t>0,9 %, min. 225, max. 1 095</w:t>
            </w:r>
          </w:p>
        </w:tc>
      </w:tr>
      <w:tr w:rsidR="005D4C6F">
        <w:trPr>
          <w:trHeight w:val="300"/>
        </w:trPr>
        <w:tc>
          <w:tcPr>
            <w:tcW w:w="10580" w:type="dxa"/>
            <w:gridSpan w:val="11"/>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V případě, že příchozí úhrada je nižší než příslušný poplatek, pak se nezpoplatňuje.</w:t>
            </w:r>
          </w:p>
        </w:tc>
      </w:tr>
      <w:tr w:rsidR="005D4C6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 + ) Následující volitelné položky se dále přičítají k příchozí úhradě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Vyplacení v hotovosti</w:t>
            </w:r>
          </w:p>
        </w:tc>
        <w:tc>
          <w:tcPr>
            <w:tcW w:w="2437"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r w:rsidR="005D4C6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Výplata prostřednictvím vystavení bankovního šeku</w:t>
            </w:r>
          </w:p>
        </w:tc>
        <w:tc>
          <w:tcPr>
            <w:tcW w:w="2437" w:type="dxa"/>
            <w:gridSpan w:val="4"/>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200</w:t>
            </w:r>
          </w:p>
        </w:tc>
      </w:tr>
      <w:tr w:rsidR="005D4C6F">
        <w:trPr>
          <w:gridAfter w:val="2"/>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5D4C6F" w:rsidRDefault="00F86A01">
            <w:pPr>
              <w:spacing w:after="0" w:line="259" w:lineRule="auto"/>
              <w:ind w:left="0" w:firstLine="0"/>
            </w:pPr>
            <w:r>
              <w:rPr>
                <w:sz w:val="20"/>
              </w:rPr>
              <w:t>Odchozí úhrady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jc w:val="center"/>
            </w:pPr>
            <w:r>
              <w:rPr>
                <w:sz w:val="20"/>
              </w:rPr>
              <w:t>Cena odchozí úhrady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 Cena za zpracování zahraniční úhrady</w:t>
            </w:r>
          </w:p>
        </w:tc>
      </w:tr>
      <w:tr w:rsidR="005D4C6F">
        <w:trPr>
          <w:gridAfter w:val="2"/>
          <w:trHeight w:val="715"/>
        </w:trPr>
        <w:tc>
          <w:tcPr>
            <w:tcW w:w="0" w:type="auto"/>
            <w:vMerge/>
            <w:tcBorders>
              <w:top w:val="nil"/>
              <w:left w:val="single" w:sz="5" w:space="0" w:color="DCDCDC"/>
              <w:bottom w:val="single" w:sz="5" w:space="0" w:color="DCDCDC"/>
              <w:right w:val="nil"/>
            </w:tcBorders>
          </w:tcPr>
          <w:p w:rsidR="005D4C6F" w:rsidRDefault="005D4C6F">
            <w:pPr>
              <w:spacing w:after="160" w:line="259" w:lineRule="auto"/>
              <w:ind w:left="0" w:firstLine="0"/>
            </w:pPr>
          </w:p>
        </w:tc>
        <w:tc>
          <w:tcPr>
            <w:tcW w:w="0" w:type="auto"/>
            <w:vMerge/>
            <w:tcBorders>
              <w:top w:val="nil"/>
              <w:left w:val="nil"/>
              <w:bottom w:val="single" w:sz="5" w:space="0" w:color="DCDCDC"/>
              <w:right w:val="single" w:sz="5" w:space="0" w:color="DCDCDC"/>
            </w:tcBorders>
          </w:tcPr>
          <w:p w:rsidR="005D4C6F" w:rsidRDefault="005D4C6F">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4" w:firstLine="0"/>
              <w:jc w:val="center"/>
            </w:pPr>
            <w:r>
              <w:rPr>
                <w:sz w:val="20"/>
              </w:rPr>
              <w:t>STANDARD</w:t>
            </w:r>
          </w:p>
          <w:p w:rsidR="005D4C6F" w:rsidRDefault="00F86A01">
            <w:pPr>
              <w:spacing w:after="0" w:line="259" w:lineRule="auto"/>
              <w:ind w:left="53" w:firstLine="0"/>
              <w:jc w:val="center"/>
            </w:pPr>
            <w:r>
              <w:rPr>
                <w:sz w:val="20"/>
              </w:rPr>
              <w:t>(za dva</w:t>
            </w:r>
          </w:p>
          <w:p w:rsidR="005D4C6F" w:rsidRDefault="00F86A01">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17" w:firstLine="0"/>
              <w:jc w:val="center"/>
            </w:pPr>
            <w:r>
              <w:rPr>
                <w:sz w:val="20"/>
              </w:rPr>
              <w:t xml:space="preserve">EXPRES </w:t>
            </w:r>
          </w:p>
          <w:p w:rsidR="005D4C6F" w:rsidRDefault="00F86A01">
            <w:pPr>
              <w:spacing w:after="0" w:line="259" w:lineRule="auto"/>
              <w:ind w:left="56" w:firstLine="0"/>
              <w:jc w:val="center"/>
            </w:pPr>
            <w:r>
              <w:rPr>
                <w:sz w:val="20"/>
              </w:rPr>
              <w:t>(následující</w:t>
            </w:r>
          </w:p>
          <w:p w:rsidR="005D4C6F" w:rsidRDefault="00F86A01">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2" w:firstLine="0"/>
              <w:jc w:val="center"/>
            </w:pPr>
            <w:r>
              <w:rPr>
                <w:sz w:val="20"/>
              </w:rPr>
              <w:t>URGENT</w:t>
            </w:r>
          </w:p>
          <w:p w:rsidR="005D4C6F" w:rsidRDefault="00F86A01">
            <w:pPr>
              <w:spacing w:after="0" w:line="259" w:lineRule="auto"/>
              <w:ind w:left="51" w:firstLine="0"/>
              <w:jc w:val="center"/>
            </w:pPr>
            <w:r>
              <w:rPr>
                <w:sz w:val="20"/>
              </w:rPr>
              <w:t>(v ten samý</w:t>
            </w:r>
          </w:p>
          <w:p w:rsidR="005D4C6F" w:rsidRDefault="00F86A01">
            <w:pPr>
              <w:spacing w:after="0" w:line="259" w:lineRule="auto"/>
              <w:ind w:left="56" w:firstLine="0"/>
              <w:jc w:val="center"/>
            </w:pPr>
            <w:r>
              <w:rPr>
                <w:sz w:val="20"/>
              </w:rPr>
              <w:t>Obchodní den)</w:t>
            </w:r>
          </w:p>
        </w:tc>
      </w:tr>
      <w:tr w:rsidR="005D4C6F">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73" w:firstLine="0"/>
              <w:jc w:val="center"/>
            </w:pPr>
            <w:r>
              <w:rPr>
                <w:sz w:val="20"/>
              </w:rPr>
              <w:t>Odchozí úhrada 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795</w:t>
            </w:r>
          </w:p>
        </w:tc>
      </w:tr>
      <w:tr w:rsidR="005D4C6F">
        <w:trPr>
          <w:gridAfter w:val="2"/>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1 495</w:t>
            </w:r>
          </w:p>
        </w:tc>
      </w:tr>
      <w:tr w:rsidR="005D4C6F">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Odchozí úhrada 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2 100</w:t>
            </w:r>
          </w:p>
        </w:tc>
      </w:tr>
      <w:tr w:rsidR="005D4C6F">
        <w:trPr>
          <w:gridAfter w:val="2"/>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2 800</w:t>
            </w:r>
          </w:p>
        </w:tc>
      </w:tr>
      <w:tr w:rsidR="005D4C6F">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Odchozí úhrada do KBSK</w:t>
            </w: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10</w:t>
            </w:r>
          </w:p>
        </w:tc>
      </w:tr>
      <w:tr w:rsidR="005D4C6F">
        <w:trPr>
          <w:gridAfter w:val="2"/>
          <w:trHeight w:val="323"/>
        </w:trPr>
        <w:tc>
          <w:tcPr>
            <w:tcW w:w="0" w:type="auto"/>
            <w:vMerge/>
            <w:tcBorders>
              <w:top w:val="nil"/>
              <w:left w:val="single" w:sz="5" w:space="0" w:color="DCDCDC"/>
              <w:bottom w:val="single" w:sz="5" w:space="0" w:color="DCDCDC"/>
              <w:right w:val="single" w:sz="5" w:space="0" w:color="DCDCDC"/>
            </w:tcBorders>
            <w:vAlign w:val="bottom"/>
          </w:tcPr>
          <w:p w:rsidR="005D4C6F" w:rsidRDefault="005D4C6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310</w:t>
            </w:r>
          </w:p>
        </w:tc>
      </w:tr>
      <w:tr w:rsidR="005D4C6F">
        <w:trPr>
          <w:gridAfter w:val="2"/>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Ostatní zahraniční platby</w:t>
            </w:r>
          </w:p>
          <w:p w:rsidR="005D4C6F" w:rsidRDefault="00F86A01">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1" w:firstLine="0"/>
              <w:jc w:val="center"/>
            </w:pPr>
            <w:r>
              <w:rPr>
                <w:sz w:val="17"/>
              </w:rPr>
              <w:t>+ 600</w:t>
            </w:r>
          </w:p>
        </w:tc>
      </w:tr>
      <w:tr w:rsidR="005D4C6F">
        <w:trPr>
          <w:gridAfter w:val="2"/>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+ 1 300</w:t>
            </w:r>
          </w:p>
        </w:tc>
      </w:tr>
      <w:tr w:rsidR="005D4C6F">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 Následující volitelné položky se dále přičítají k odchozí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gridAfter w:val="1"/>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gridSpan w:val="4"/>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800</w:t>
            </w:r>
          </w:p>
        </w:tc>
      </w:tr>
    </w:tbl>
    <w:p w:rsidR="005D4C6F" w:rsidRDefault="00F86A01">
      <w:pPr>
        <w:pStyle w:val="Nadpis4"/>
      </w:pPr>
      <w:r>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5D4C6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6</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195</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w:t>
            </w:r>
          </w:p>
        </w:tc>
      </w:tr>
      <w:tr w:rsidR="005D4C6F">
        <w:trPr>
          <w:trHeight w:val="334"/>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79</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bl>
    <w:p w:rsidR="005D4C6F" w:rsidRDefault="00F86A01">
      <w:pPr>
        <w:ind w:left="53" w:right="10"/>
      </w:pPr>
      <w:r>
        <w:t>1) Elektronicky = s použitím internetového bankovnictví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2"/>
        <w:gridCol w:w="2437"/>
      </w:tblGrid>
      <w:tr w:rsidR="005D4C6F">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w:t>
            </w:r>
          </w:p>
        </w:tc>
      </w:tr>
      <w:tr w:rsidR="005D4C6F">
        <w:trPr>
          <w:trHeight w:val="323"/>
        </w:trPr>
        <w:tc>
          <w:tcPr>
            <w:tcW w:w="8142" w:type="dxa"/>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145</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w:t>
            </w:r>
          </w:p>
        </w:tc>
      </w:tr>
      <w:tr w:rsidR="005D4C6F">
        <w:trPr>
          <w:trHeight w:val="323"/>
        </w:trPr>
        <w:tc>
          <w:tcPr>
            <w:tcW w:w="8142" w:type="dxa"/>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6</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195</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Cena</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400</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200</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814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bl>
    <w:p w:rsidR="005D4C6F" w:rsidRDefault="00F86A01">
      <w:pPr>
        <w:pStyle w:val="Nadpis3"/>
        <w:shd w:val="clear" w:color="auto" w:fill="auto"/>
        <w:spacing w:after="53"/>
        <w:ind w:left="151"/>
      </w:pPr>
      <w:r>
        <w:t>Hotovostní operace</w:t>
      </w:r>
    </w:p>
    <w:p w:rsidR="005D4C6F" w:rsidRDefault="00F86A01">
      <w:pPr>
        <w:spacing w:after="0" w:line="259" w:lineRule="auto"/>
        <w:ind w:left="-5"/>
      </w:pPr>
      <w:r>
        <w:rPr>
          <w:sz w:val="17"/>
        </w:rPr>
        <w:t>Poplatky za hotovostní služby a transakce uvedené v Sazebníku KB se vždy odvíjí od účtu, resp. od segmentu majitele účtu.</w:t>
      </w:r>
    </w:p>
    <w:p w:rsidR="005D4C6F" w:rsidRDefault="00F86A01">
      <w:pPr>
        <w:spacing w:after="0" w:line="259" w:lineRule="auto"/>
        <w:ind w:left="-5"/>
      </w:pPr>
      <w:r>
        <w:rPr>
          <w:sz w:val="17"/>
        </w:rPr>
        <w:t>U hotovostních transakcí, které probíhají mimo účet klienta KB tzn. výměna, směnárna, vklady a výběry hotovosti na účty vedené v ČNB, je poplatek vždy hrazen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6"/>
        <w:gridCol w:w="2472"/>
        <w:gridCol w:w="2472"/>
      </w:tblGrid>
      <w:tr w:rsidR="005D4C6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2" w:firstLine="0"/>
              <w:jc w:val="center"/>
            </w:pPr>
            <w:r>
              <w:rPr>
                <w:sz w:val="20"/>
              </w:rPr>
              <w:t>Cena za výběr</w:t>
            </w:r>
          </w:p>
        </w:tc>
      </w:tr>
      <w:tr w:rsidR="005D4C6F">
        <w:trPr>
          <w:trHeight w:val="323"/>
        </w:trPr>
        <w:tc>
          <w:tcPr>
            <w:tcW w:w="5636" w:type="dxa"/>
            <w:gridSpan w:val="2"/>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viz kapitola platební karty</w:t>
            </w:r>
          </w:p>
        </w:tc>
      </w:tr>
      <w:tr w:rsidR="005D4C6F">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75</w:t>
            </w:r>
          </w:p>
        </w:tc>
      </w:tr>
      <w:tr w:rsidR="005D4C6F">
        <w:trPr>
          <w:trHeight w:val="323"/>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2 %, min. 50</w:t>
            </w:r>
          </w:p>
        </w:tc>
      </w:tr>
      <w:tr w:rsidR="005D4C6F">
        <w:trPr>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5636" w:type="dxa"/>
            <w:gridSpan w:val="2"/>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Výběr hotovosti v Kč s více než 50 ks mincí</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3 %, min. 100</w:t>
            </w:r>
          </w:p>
        </w:tc>
      </w:tr>
      <w:tr w:rsidR="005D4C6F">
        <w:trPr>
          <w:trHeight w:val="323"/>
        </w:trPr>
        <w:tc>
          <w:tcPr>
            <w:tcW w:w="5636" w:type="dxa"/>
            <w:gridSpan w:val="2"/>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Příplatek za výplatu hotovosti uzavřeným obalem (realizovanou jedním šekem)</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r w:rsidR="005D4C6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vklad</w:t>
            </w:r>
          </w:p>
        </w:tc>
      </w:tr>
      <w:tr w:rsidR="005D4C6F">
        <w:trPr>
          <w:trHeight w:val="323"/>
        </w:trPr>
        <w:tc>
          <w:tcPr>
            <w:tcW w:w="5636" w:type="dxa"/>
            <w:gridSpan w:val="2"/>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75</w:t>
            </w:r>
          </w:p>
        </w:tc>
      </w:tr>
      <w:tr w:rsidR="005D4C6F">
        <w:trPr>
          <w:trHeight w:val="334"/>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75</w:t>
            </w:r>
          </w:p>
        </w:tc>
      </w:tr>
      <w:tr w:rsidR="005D4C6F">
        <w:trPr>
          <w:trHeight w:val="519"/>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1 % z celkové vkládané částky, min.</w:t>
            </w:r>
          </w:p>
          <w:p w:rsidR="005D4C6F" w:rsidRDefault="00F86A01">
            <w:pPr>
              <w:spacing w:after="0" w:line="259" w:lineRule="auto"/>
              <w:ind w:left="49" w:firstLine="0"/>
              <w:jc w:val="center"/>
            </w:pPr>
            <w:r>
              <w:rPr>
                <w:sz w:val="17"/>
              </w:rPr>
              <w:t>70</w:t>
            </w:r>
          </w:p>
        </w:tc>
      </w:tr>
      <w:tr w:rsidR="005D4C6F">
        <w:trPr>
          <w:trHeight w:val="472"/>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3 % z celkové vkládané částky, min.</w:t>
            </w:r>
          </w:p>
          <w:p w:rsidR="005D4C6F" w:rsidRDefault="00F86A01">
            <w:pPr>
              <w:spacing w:after="0" w:line="259" w:lineRule="auto"/>
              <w:ind w:left="49" w:firstLine="0"/>
              <w:jc w:val="center"/>
            </w:pPr>
            <w:r>
              <w:rPr>
                <w:sz w:val="17"/>
              </w:rPr>
              <w:t>100</w:t>
            </w:r>
          </w:p>
        </w:tc>
      </w:tr>
      <w:tr w:rsidR="005D4C6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2 %, min. 50</w:t>
            </w:r>
          </w:p>
        </w:tc>
      </w:tr>
      <w:tr w:rsidR="005D4C6F">
        <w:trPr>
          <w:trHeight w:val="323"/>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10 %</w:t>
            </w:r>
          </w:p>
        </w:tc>
      </w:tr>
    </w:tbl>
    <w:p w:rsidR="005D4C6F" w:rsidRDefault="00F86A01" w:rsidP="00F86A01">
      <w:pPr>
        <w:spacing w:after="55" w:line="216" w:lineRule="auto"/>
        <w:ind w:left="199" w:right="10" w:hanging="156"/>
      </w:pPr>
      <w:r>
        <w:rPr>
          <w:szCs w:val="15"/>
          <w:u w:color="000000"/>
        </w:rPr>
        <w:t>1)</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5D4C6F" w:rsidRDefault="00F86A01" w:rsidP="00F86A01">
      <w:pPr>
        <w:spacing w:line="216" w:lineRule="auto"/>
        <w:ind w:left="199" w:right="10" w:hanging="156"/>
      </w:pPr>
      <w:r>
        <w:rPr>
          <w:szCs w:val="15"/>
          <w:u w:color="000000"/>
        </w:rPr>
        <w:t>2)</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5D4C6F" w:rsidRDefault="005D4C6F">
      <w:pPr>
        <w:sectPr w:rsidR="005D4C6F">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0" w:h="16840"/>
          <w:pgMar w:top="1181" w:right="702" w:bottom="4571" w:left="661" w:header="384" w:footer="315" w:gutter="0"/>
          <w:cols w:space="708"/>
        </w:sectPr>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6"/>
        <w:gridCol w:w="2472"/>
        <w:gridCol w:w="2472"/>
      </w:tblGrid>
      <w:tr w:rsidR="005D4C6F">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Cena za vklad</w:t>
            </w:r>
          </w:p>
        </w:tc>
      </w:tr>
      <w:tr w:rsidR="005D4C6F">
        <w:trPr>
          <w:trHeight w:val="323"/>
        </w:trPr>
        <w:tc>
          <w:tcPr>
            <w:tcW w:w="5636" w:type="dxa"/>
            <w:gridSpan w:val="2"/>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2 %, min. 50</w:t>
            </w:r>
          </w:p>
        </w:tc>
      </w:tr>
      <w:tr w:rsidR="005D4C6F">
        <w:trPr>
          <w:trHeight w:val="323"/>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519"/>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2 %, min. 50</w:t>
            </w:r>
          </w:p>
        </w:tc>
      </w:tr>
      <w:tr w:rsidR="005D4C6F">
        <w:trPr>
          <w:trHeight w:val="47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3 % z celkové vkládané částky, min.</w:t>
            </w:r>
          </w:p>
          <w:p w:rsidR="005D4C6F" w:rsidRDefault="00F86A01">
            <w:pPr>
              <w:spacing w:after="0" w:line="259" w:lineRule="auto"/>
              <w:ind w:left="49" w:firstLine="0"/>
              <w:jc w:val="center"/>
            </w:pPr>
            <w:r>
              <w:rPr>
                <w:sz w:val="17"/>
              </w:rPr>
              <w:t>100</w:t>
            </w:r>
          </w:p>
        </w:tc>
      </w:tr>
      <w:tr w:rsidR="005D4C6F">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75</w:t>
            </w:r>
          </w:p>
        </w:tc>
      </w:tr>
      <w:tr w:rsidR="005D4C6F">
        <w:trPr>
          <w:trHeight w:val="334"/>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75</w:t>
            </w:r>
          </w:p>
        </w:tc>
      </w:tr>
      <w:tr w:rsidR="005D4C6F">
        <w:trPr>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10 %</w:t>
            </w:r>
          </w:p>
        </w:tc>
      </w:tr>
    </w:tbl>
    <w:p w:rsidR="005D4C6F" w:rsidRDefault="00F86A01" w:rsidP="00F86A01">
      <w:pPr>
        <w:spacing w:after="55" w:line="216" w:lineRule="auto"/>
        <w:ind w:left="199" w:right="10" w:hanging="156"/>
      </w:pPr>
      <w:r>
        <w:rPr>
          <w:szCs w:val="15"/>
          <w:u w:color="000000"/>
        </w:rPr>
        <w:t>1)</w:t>
      </w:r>
      <w:r>
        <w:rPr>
          <w:szCs w:val="15"/>
          <w:u w:color="000000"/>
        </w:rPr>
        <w:tab/>
      </w: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5D4C6F" w:rsidRDefault="00F86A01" w:rsidP="00F86A01">
      <w:pPr>
        <w:ind w:left="199" w:right="10" w:hanging="156"/>
      </w:pPr>
      <w:r>
        <w:rPr>
          <w:szCs w:val="15"/>
          <w:u w:color="000000"/>
        </w:rPr>
        <w:t>2)</w:t>
      </w:r>
      <w:r>
        <w:rPr>
          <w:szCs w:val="15"/>
          <w:u w:color="000000"/>
        </w:rPr>
        <w:tab/>
      </w: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Další služby</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0,15 % </w:t>
            </w:r>
            <w:r>
              <w:rPr>
                <w:sz w:val="23"/>
                <w:vertAlign w:val="superscript"/>
              </w:rPr>
              <w:t>1)</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149</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Vklad Kč na učty cizích bank přes přepážku - super expres (předaný do 13:00 hod.)</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2 %, min. 200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Operace na účtech u cizích bank</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3 %, min. 100</w:t>
            </w:r>
          </w:p>
        </w:tc>
      </w:tr>
    </w:tbl>
    <w:p w:rsidR="005D4C6F" w:rsidRDefault="00F86A01">
      <w:pPr>
        <w:spacing w:line="216" w:lineRule="auto"/>
        <w:ind w:left="199" w:right="10"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5D4C6F" w:rsidRDefault="00F86A01">
      <w:pPr>
        <w:ind w:left="223" w:right="10"/>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tbl>
      <w:tblPr>
        <w:tblStyle w:val="TableGrid"/>
        <w:tblW w:w="10580" w:type="dxa"/>
        <w:tblInd w:w="0" w:type="dxa"/>
        <w:tblCellMar>
          <w:top w:w="69" w:type="dxa"/>
          <w:left w:w="161" w:type="dxa"/>
          <w:right w:w="114" w:type="dxa"/>
        </w:tblCellMar>
        <w:tblLook w:val="04A0" w:firstRow="1" w:lastRow="0" w:firstColumn="1" w:lastColumn="0" w:noHBand="0" w:noVBand="1"/>
      </w:tblPr>
      <w:tblGrid>
        <w:gridCol w:w="3699"/>
        <w:gridCol w:w="3440"/>
        <w:gridCol w:w="3440"/>
      </w:tblGrid>
      <w:tr w:rsidR="005D4C6F">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Profi pojištění plateb</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Profi pojištění plateb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0" w:firstLine="0"/>
              <w:jc w:val="center"/>
            </w:pPr>
            <w:r>
              <w:rPr>
                <w:sz w:val="20"/>
              </w:rPr>
              <w:t>Profi pojištění plateb - varianta Extra</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8" w:firstLine="0"/>
              <w:jc w:val="center"/>
            </w:pPr>
            <w:r>
              <w:rPr>
                <w:sz w:val="17"/>
              </w:rPr>
              <w:t>ročně 1 990</w:t>
            </w:r>
          </w:p>
        </w:tc>
      </w:tr>
      <w:tr w:rsidR="005D4C6F">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5D4C6F" w:rsidRDefault="00F86A01">
      <w:pPr>
        <w:pStyle w:val="Nadpis1"/>
        <w:spacing w:after="154"/>
        <w:ind w:left="-5"/>
      </w:pPr>
      <w:r>
        <w:t>FINANCOVÁNÍ</w:t>
      </w:r>
    </w:p>
    <w:p w:rsidR="005D4C6F" w:rsidRDefault="00F86A01">
      <w:pPr>
        <w:pStyle w:val="Nadpis2"/>
        <w:spacing w:after="34"/>
        <w:ind w:left="151"/>
      </w:pPr>
      <w:r>
        <w:t>Úvěry</w:t>
      </w:r>
    </w:p>
    <w:p w:rsidR="005D4C6F" w:rsidRDefault="00F86A01">
      <w:pPr>
        <w:spacing w:after="45" w:line="259" w:lineRule="auto"/>
        <w:ind w:left="-5"/>
      </w:pPr>
      <w:r>
        <w:rPr>
          <w:sz w:val="17"/>
        </w:rPr>
        <w:t>Pravidla pro stanovení a výběr cen uvedená v kapitole „Úvěry" platí pro všechny podnikatelské úvěry, pokud není stanoveno jinak.</w:t>
      </w:r>
    </w:p>
    <w:p w:rsidR="005D4C6F" w:rsidRDefault="00F86A01">
      <w:pPr>
        <w:spacing w:after="57"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5D4C6F" w:rsidRDefault="00F86A01">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Úvěry pro podnikatelské subjekty a municipality</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Zpracování a vyhodnocení žádosti o úvěr (příslib úvěru)</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Realizace úvěru (příslibu úvěru)</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34"/>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 xml:space="preserve">Spravování úvěru </w:t>
            </w:r>
            <w:r>
              <w:rPr>
                <w:sz w:val="20"/>
                <w:vertAlign w:val="superscript"/>
              </w:rPr>
              <w:footnoteReference w:id="1"/>
            </w:r>
            <w:r>
              <w:rPr>
                <w:sz w:val="20"/>
                <w:vertAlign w:val="superscript"/>
              </w:rPr>
              <w:t>)</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Podnikatelské subjekty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Podnikatelské subjekty - smlouvy uzavřené v obchodních centrech KB do 31.12.2006 </w:t>
            </w:r>
            <w:r>
              <w:rPr>
                <w:sz w:val="20"/>
                <w:vertAlign w:val="superscript"/>
              </w:rPr>
              <w:footnoteReference w:id="2"/>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700 měsíčně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Municipality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300 měsíčně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Změna ve smlouvě vymezených podmínek úvěru v Kč a v cizí měně z podnětu klienta</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bl>
    <w:p w:rsidR="005D4C6F" w:rsidRDefault="00F86A01">
      <w:r>
        <w:br w:type="page"/>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Ostatní služby spojené s financováním</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Vyhodnocení rizik spojených:</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se zástavou nemovitosti</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 čerpáním úvěru zajištěného rozestavěnou nemovitostí</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Žádost o dotaci:</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zpracování žádosti o dotaci</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schválení dotace</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Rezervace zdrojů:</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povolené debety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1" w:firstLine="0"/>
              <w:jc w:val="center"/>
            </w:pPr>
            <w:r>
              <w:rPr>
                <w:sz w:val="17"/>
              </w:rPr>
              <w:t>0,60 % p.a.</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povolené debety pro municipality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mimo povolené debety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Výpis z úvěrového účtu (měsíčně):</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elektronicky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poštou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39</w:t>
            </w:r>
          </w:p>
        </w:tc>
      </w:tr>
      <w:tr w:rsidR="005D4C6F">
        <w:trPr>
          <w:trHeight w:val="334"/>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 xml:space="preserve">Zasílání upomínek o neprovedení splátky: </w:t>
            </w:r>
            <w:r>
              <w:rPr>
                <w:sz w:val="20"/>
                <w:vertAlign w:val="superscript"/>
              </w:rPr>
              <w:t>4)</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1. upomínka</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100</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2. a každá další upomínka </w:t>
            </w:r>
            <w:r>
              <w:rPr>
                <w:sz w:val="20"/>
                <w:vertAlign w:val="superscript"/>
              </w:rPr>
              <w:t>5)</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bl>
    <w:p w:rsidR="005D4C6F" w:rsidRDefault="00F86A01" w:rsidP="00F86A01">
      <w:pPr>
        <w:ind w:left="199" w:right="10" w:hanging="156"/>
      </w:pPr>
      <w:r>
        <w:rPr>
          <w:szCs w:val="15"/>
          <w:u w:color="000000"/>
        </w:rPr>
        <w:t>1)</w:t>
      </w:r>
      <w:r>
        <w:rPr>
          <w:szCs w:val="15"/>
          <w:u w:color="000000"/>
        </w:rPr>
        <w:tab/>
      </w:r>
      <w:r>
        <w:t>Cena se stanoví z nečerpané částky povoleného debetu.</w:t>
      </w:r>
    </w:p>
    <w:p w:rsidR="005D4C6F" w:rsidRDefault="00F86A01" w:rsidP="00F86A01">
      <w:pPr>
        <w:spacing w:after="54" w:line="216" w:lineRule="auto"/>
        <w:ind w:left="199" w:right="10" w:hanging="156"/>
      </w:pPr>
      <w:r>
        <w:rPr>
          <w:szCs w:val="15"/>
          <w:u w:color="000000"/>
        </w:rPr>
        <w:t>2)</w:t>
      </w:r>
      <w:r>
        <w:rPr>
          <w:szCs w:val="15"/>
          <w:u w:color="000000"/>
        </w:rPr>
        <w:tab/>
      </w: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5D4C6F" w:rsidRDefault="00F86A01" w:rsidP="00F86A01">
      <w:pPr>
        <w:ind w:left="199" w:right="10" w:hanging="156"/>
      </w:pPr>
      <w:r>
        <w:rPr>
          <w:szCs w:val="15"/>
          <w:u w:color="000000"/>
        </w:rPr>
        <w:t>3)</w:t>
      </w:r>
      <w:r>
        <w:rPr>
          <w:szCs w:val="15"/>
          <w:u w:color="000000"/>
        </w:rPr>
        <w:tab/>
      </w:r>
      <w:r>
        <w:t>Platí pro podnikatelské úvěry a podnikatelské hypotéky sjednané od 1. 7. 2010, pro podnikatelské úvěry a podnikatelské hypotéky sjednané do 30. 6. 2010 zdarma. 4) Cena se hradí po zaslání upomínky, je jednorázová a nevratná.</w:t>
      </w:r>
    </w:p>
    <w:p w:rsidR="005D4C6F" w:rsidRDefault="00F86A01">
      <w:pPr>
        <w:ind w:left="53" w:right="10"/>
      </w:pPr>
      <w:r>
        <w:t>5) Upomínka se inkasuje přesáhne li celkový závazek po splatnosti 1 000 Kč</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Exportní odběratelské úvěry</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 xml:space="preserve">Poplatek za zpracování nabídky financování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89" w:right="135" w:firstLine="0"/>
              <w:jc w:val="center"/>
            </w:pPr>
            <w:r>
              <w:rPr>
                <w:sz w:val="17"/>
              </w:rPr>
              <w:t>individuálně dle uskutečněných úkonů, max 75 000</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Poplatek za přípravu, zpracování podkladů a uzavření smlouvy</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Změna smluvní dokumentace</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pPr>
        <w:ind w:left="53" w:right="10"/>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Forfaiting</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Závazková provize</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Jednorázový zpracovatelský poplatek</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pPr>
        <w:pStyle w:val="Nadpis2"/>
        <w:ind w:left="151"/>
      </w:pPr>
      <w:r>
        <w:t>Záruky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Zpracování a vyhodnocení žádosti o bankovní záruku</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0" w:firstLine="0"/>
              <w:jc w:val="center"/>
            </w:pPr>
            <w:r>
              <w:rPr>
                <w:sz w:val="17"/>
              </w:rPr>
              <w:t xml:space="preserve">individuálně </w:t>
            </w:r>
            <w:r>
              <w:rPr>
                <w:sz w:val="23"/>
                <w:vertAlign w:val="superscript"/>
              </w:rPr>
              <w:t>1)</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Vyhotovení dokumentace spojené s poskytnutím bankovní záruky</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Poskytování bankovní záruky</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Změna smlouvy o poskytnutí bankovní záruky / změna bankovní záruky</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Uplatnění poskytnuté záruky / protizáruky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3 000</w:t>
            </w:r>
          </w:p>
        </w:tc>
      </w:tr>
    </w:tbl>
    <w:p w:rsidR="005D4C6F" w:rsidRDefault="00F86A01">
      <w:pPr>
        <w:ind w:left="53" w:right="10"/>
      </w:pPr>
      <w:r>
        <w:t>1) Použije se i v případě protizáruky, příslibu bankovní záruky.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2 000</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Uplatnění (žádost o uplatnění) přijaté záruky vystavené jinou bankou (odeslání výzvy k plnění), ověření znění výzvy k plnění u přijaté záruky</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3 000</w:t>
            </w:r>
          </w:p>
        </w:tc>
      </w:tr>
      <w:tr w:rsidR="005D4C6F">
        <w:trPr>
          <w:trHeight w:val="715"/>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Poskytnutí jiné služby v souvislosti s přijatou bankovní zárukou (např. ověření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1 500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Odeslání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8" w:firstLine="0"/>
              <w:jc w:val="center"/>
            </w:pPr>
            <w:r>
              <w:rPr>
                <w:sz w:val="17"/>
              </w:rPr>
              <w:t>dle skutečných nákladů</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150</w:t>
            </w:r>
          </w:p>
        </w:tc>
      </w:tr>
    </w:tbl>
    <w:p w:rsidR="005D4C6F" w:rsidRDefault="00F86A01">
      <w:pPr>
        <w:pStyle w:val="Nadpis2"/>
        <w:ind w:left="151"/>
      </w:pPr>
      <w:r>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0,5 % ze směnečné částky</w:t>
            </w: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Odkup směnek MF ČR (provize)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0,05 % ze směnečné částky, min. 1 000, max. 10 000</w:t>
            </w: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Obstarání výplaty indosované směnky FNM nebo MF ČR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0,3 %ze směnečné částky, min. 1 000, max. 15 000</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50 + 21 % DPH</w:t>
            </w:r>
          </w:p>
        </w:tc>
      </w:tr>
    </w:tbl>
    <w:p w:rsidR="005D4C6F" w:rsidRDefault="00F86A01">
      <w:pPr>
        <w:ind w:left="53" w:right="10"/>
      </w:pPr>
      <w:r>
        <w:t>1)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0,3 % z částky inkasa, min. 1 000, max. 20 000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1 000 + skutečné vzniklé náklady</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500 + skutečné vzniklé náklady</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dle ceníku kurýrní služby</w:t>
            </w:r>
          </w:p>
        </w:tc>
      </w:tr>
    </w:tbl>
    <w:p w:rsidR="005D4C6F" w:rsidRDefault="00F86A01">
      <w:pPr>
        <w:spacing w:after="309"/>
        <w:ind w:left="53" w:right="10"/>
      </w:pPr>
      <w:r>
        <w:t>1) Položka Sazebníku určená také pro fyzické osoby - občany.</w:t>
      </w:r>
    </w:p>
    <w:p w:rsidR="005D4C6F" w:rsidRDefault="00F86A01">
      <w:pPr>
        <w:pStyle w:val="Nadpis2"/>
        <w:spacing w:after="149"/>
        <w:ind w:left="151"/>
      </w:pPr>
      <w:r>
        <w:t>Dokumentární platby</w:t>
      </w:r>
    </w:p>
    <w:p w:rsidR="005D4C6F" w:rsidRDefault="00F86A01">
      <w:pPr>
        <w:pStyle w:val="Nadpis3"/>
        <w:ind w:left="151"/>
      </w:pPr>
      <w:r>
        <w:t>Dokumentární akreditiv</w:t>
      </w:r>
    </w:p>
    <w:tbl>
      <w:tblPr>
        <w:tblStyle w:val="TableGrid"/>
        <w:tblW w:w="10580" w:type="dxa"/>
        <w:tblInd w:w="0" w:type="dxa"/>
        <w:tblCellMar>
          <w:top w:w="69" w:type="dxa"/>
          <w:left w:w="161" w:type="dxa"/>
          <w:right w:w="86"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vAlign w:val="center"/>
          </w:tcPr>
          <w:p w:rsidR="005D4C6F" w:rsidRDefault="005D4C6F">
            <w:pPr>
              <w:spacing w:after="160" w:line="259" w:lineRule="auto"/>
              <w:ind w:left="0" w:firstLine="0"/>
            </w:pPr>
          </w:p>
        </w:tc>
      </w:tr>
      <w:tr w:rsidR="005D4C6F">
        <w:trPr>
          <w:trHeight w:val="887"/>
        </w:trPr>
        <w:tc>
          <w:tcPr>
            <w:tcW w:w="6874"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2" w:firstLine="0"/>
              <w:jc w:val="center"/>
            </w:pPr>
            <w:r>
              <w:rPr>
                <w:sz w:val="17"/>
              </w:rPr>
              <w:t xml:space="preserve">0,3 %, min. 1 000 za 1. čtvrtletí </w:t>
            </w:r>
            <w:r>
              <w:rPr>
                <w:sz w:val="23"/>
                <w:vertAlign w:val="superscript"/>
              </w:rPr>
              <w:t>1)</w:t>
            </w:r>
            <w:r>
              <w:rPr>
                <w:sz w:val="17"/>
              </w:rPr>
              <w:t>, (při částce nad 30 mil.</w:t>
            </w:r>
          </w:p>
          <w:p w:rsidR="005D4C6F" w:rsidRDefault="00F86A01">
            <w:pPr>
              <w:spacing w:after="0" w:line="216" w:lineRule="auto"/>
              <w:ind w:left="0" w:firstLine="0"/>
              <w:jc w:val="center"/>
            </w:pPr>
            <w:r>
              <w:rPr>
                <w:sz w:val="17"/>
              </w:rPr>
              <w:t xml:space="preserve">0,25 %, nad 150 mil. 0,2 %),  + 0,1 %, min. 1 000 za každý další započatý měsíc </w:t>
            </w:r>
            <w:r>
              <w:rPr>
                <w:sz w:val="23"/>
                <w:vertAlign w:val="superscript"/>
              </w:rPr>
              <w:t>1)</w:t>
            </w:r>
            <w:r>
              <w:rPr>
                <w:sz w:val="17"/>
              </w:rPr>
              <w:t xml:space="preserve"> + individuální riziková přirážka </w:t>
            </w:r>
            <w:r>
              <w:rPr>
                <w:sz w:val="23"/>
                <w:vertAlign w:val="superscript"/>
              </w:rPr>
              <w:t>2)</w:t>
            </w:r>
          </w:p>
          <w:p w:rsidR="005D4C6F" w:rsidRDefault="00F86A01">
            <w:pPr>
              <w:spacing w:after="0" w:line="259" w:lineRule="auto"/>
              <w:ind w:left="22" w:firstLine="0"/>
              <w:jc w:val="center"/>
            </w:pPr>
            <w:r>
              <w:rPr>
                <w:sz w:val="17"/>
              </w:rPr>
              <w:t>Splatno v den otevření na celou dobu platnosti akreditivu.</w:t>
            </w:r>
          </w:p>
        </w:tc>
      </w:tr>
      <w:tr w:rsidR="005D4C6F">
        <w:trPr>
          <w:trHeight w:val="715"/>
        </w:trPr>
        <w:tc>
          <w:tcPr>
            <w:tcW w:w="6874"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16" w:lineRule="auto"/>
              <w:ind w:left="824" w:hanging="570"/>
              <w:jc w:val="both"/>
            </w:pPr>
            <w:r>
              <w:rPr>
                <w:sz w:val="17"/>
              </w:rPr>
              <w:t xml:space="preserve">0,1%, min. 1 000 za každý další započatý měsíc </w:t>
            </w:r>
            <w:r>
              <w:rPr>
                <w:sz w:val="23"/>
                <w:vertAlign w:val="superscript"/>
              </w:rPr>
              <w:t>1)</w:t>
            </w:r>
            <w:r>
              <w:rPr>
                <w:sz w:val="17"/>
              </w:rPr>
              <w:t xml:space="preserve"> + individuální riziková přirážka </w:t>
            </w:r>
            <w:r>
              <w:rPr>
                <w:sz w:val="23"/>
                <w:vertAlign w:val="superscript"/>
              </w:rPr>
              <w:t>2)</w:t>
            </w:r>
          </w:p>
          <w:p w:rsidR="005D4C6F" w:rsidRDefault="00F86A01">
            <w:pPr>
              <w:spacing w:after="0" w:line="259" w:lineRule="auto"/>
              <w:ind w:left="22" w:firstLine="0"/>
              <w:jc w:val="center"/>
            </w:pPr>
            <w:r>
              <w:rPr>
                <w:sz w:val="17"/>
              </w:rPr>
              <w:t>Splatno v den změny na celou dobu platnosti akreditivu.</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 xml:space="preserve">0,25 % z vyplacené částky </w:t>
            </w:r>
            <w:r>
              <w:rPr>
                <w:sz w:val="23"/>
                <w:vertAlign w:val="superscript"/>
              </w:rPr>
              <w:t>3)</w:t>
            </w:r>
            <w:r>
              <w:rPr>
                <w:sz w:val="17"/>
              </w:rPr>
              <w:t>, min. 1 000</w:t>
            </w:r>
          </w:p>
        </w:tc>
      </w:tr>
      <w:tr w:rsidR="005D4C6F">
        <w:trPr>
          <w:trHeight w:val="691"/>
        </w:trPr>
        <w:tc>
          <w:tcPr>
            <w:tcW w:w="6874"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254"/>
              <w:jc w:val="both"/>
            </w:pPr>
            <w:r>
              <w:rPr>
                <w:sz w:val="17"/>
              </w:rPr>
              <w:t xml:space="preserve">0,25 %, min. 1 000 za každé započaté čtvrtletí </w:t>
            </w:r>
            <w:r>
              <w:rPr>
                <w:sz w:val="23"/>
                <w:vertAlign w:val="superscript"/>
              </w:rPr>
              <w:t>1)</w:t>
            </w:r>
            <w:r>
              <w:rPr>
                <w:sz w:val="17"/>
              </w:rPr>
              <w:t xml:space="preserve">, + individuální riziková přirážka </w:t>
            </w:r>
            <w:r>
              <w:rPr>
                <w:sz w:val="23"/>
                <w:vertAlign w:val="superscript"/>
              </w:rPr>
              <w:t>2)</w:t>
            </w:r>
            <w:r>
              <w:rPr>
                <w:sz w:val="17"/>
              </w:rPr>
              <w:t xml:space="preserve"> + poplatky za výplatu (0,25 % z vyplacené částky), min. 1 000</w:t>
            </w:r>
          </w:p>
        </w:tc>
      </w:tr>
    </w:tbl>
    <w:p w:rsidR="005D4C6F" w:rsidRDefault="00F86A01" w:rsidP="00F86A01">
      <w:pPr>
        <w:ind w:left="199" w:right="7127" w:hanging="156"/>
      </w:pPr>
      <w:r>
        <w:rPr>
          <w:szCs w:val="15"/>
          <w:u w:color="000000"/>
        </w:rPr>
        <w:t>1)</w:t>
      </w:r>
      <w:r>
        <w:rPr>
          <w:szCs w:val="15"/>
          <w:u w:color="000000"/>
        </w:rPr>
        <w:tab/>
      </w:r>
      <w:r>
        <w:t>Čtvrtletí = 90 dní, měsíc = 30 dní.</w:t>
      </w:r>
    </w:p>
    <w:p w:rsidR="005D4C6F" w:rsidRDefault="00F86A01" w:rsidP="00F86A01">
      <w:pPr>
        <w:ind w:left="199" w:right="7127" w:hanging="156"/>
      </w:pPr>
      <w:r>
        <w:rPr>
          <w:szCs w:val="15"/>
          <w:u w:color="000000"/>
        </w:rPr>
        <w:t>2)</w:t>
      </w:r>
      <w:r>
        <w:rPr>
          <w:szCs w:val="15"/>
          <w:u w:color="000000"/>
        </w:rPr>
        <w:tab/>
      </w:r>
      <w:r>
        <w:t>Individuální riziková přirážka závisí na míře kreditního rizika. 3) Případně z částky vrácených dokladů.</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0,2 %, min. 1 000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0,1 %, min. 500</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0,3 % z vyplacené částky, min. 1 000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0,125 %, min. 1 000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0,3 % z částky dokladů, min. 1 000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0,15 % z převedené částky, min. 2 000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3 000</w:t>
            </w:r>
          </w:p>
        </w:tc>
      </w:tr>
      <w:tr w:rsidR="005D4C6F">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bl>
    <w:p w:rsidR="005D4C6F" w:rsidRDefault="00F86A01">
      <w:pPr>
        <w:pStyle w:val="Nadpis3"/>
        <w:ind w:left="151"/>
      </w:pPr>
      <w:r>
        <w:t>Dokumentární inkaso</w:t>
      </w: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Odběratelské - importní / Dodavatelské - exportní</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0,3 % z částky inkasa, min. 1 000 max. 20 000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Urgence platby, 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200</w:t>
            </w:r>
          </w:p>
        </w:tc>
      </w:tr>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F86A01">
            <w:pPr>
              <w:spacing w:after="0" w:line="259" w:lineRule="auto"/>
              <w:ind w:left="-6" w:firstLine="0"/>
            </w:pPr>
            <w:r>
              <w:rPr>
                <w:b/>
                <w:sz w:val="20"/>
              </w:rPr>
              <w:t>omobilu</w:t>
            </w: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02" w:firstLine="0"/>
              <w:jc w:val="center"/>
            </w:pPr>
            <w:r>
              <w:rPr>
                <w:sz w:val="17"/>
              </w:rPr>
              <w:t>420</w:t>
            </w:r>
          </w:p>
        </w:tc>
      </w:tr>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Položky společné pro dokumentární platby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750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dle ceníku kurýrní služby</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150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bl>
    <w:p w:rsidR="005D4C6F" w:rsidRDefault="005D4C6F">
      <w:pPr>
        <w:sectPr w:rsidR="005D4C6F">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0" w:h="16840"/>
          <w:pgMar w:top="1136" w:right="669" w:bottom="2522" w:left="661" w:header="384" w:footer="315" w:gutter="0"/>
          <w:cols w:space="708"/>
          <w:titlePg/>
        </w:sectPr>
      </w:pPr>
    </w:p>
    <w:p w:rsidR="005D4C6F" w:rsidRDefault="00F86A01">
      <w:pPr>
        <w:pStyle w:val="Nadpis1"/>
        <w:ind w:left="-5"/>
      </w:pPr>
      <w:r>
        <w:t>SPOŘENÍ A INVESTICE</w:t>
      </w:r>
    </w:p>
    <w:p w:rsidR="005D4C6F" w:rsidRDefault="00F86A01">
      <w:pPr>
        <w:spacing w:after="303" w:line="259" w:lineRule="auto"/>
        <w:ind w:left="0" w:right="-49" w:firstLine="0"/>
      </w:pPr>
      <w:r>
        <w:rPr>
          <w:rFonts w:ascii="Calibri" w:eastAsia="Calibri" w:hAnsi="Calibri" w:cs="Calibri"/>
          <w:noProof/>
          <w:sz w:val="22"/>
        </w:rPr>
        <mc:AlternateContent>
          <mc:Choice Requires="wpg">
            <w:drawing>
              <wp:inline distT="0" distB="0" distL="0" distR="0">
                <wp:extent cx="6718051" cy="7317"/>
                <wp:effectExtent l="0" t="0" r="0" b="0"/>
                <wp:docPr id="79925" name="Group 79925"/>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86887" name="Shape 8688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6220161" id="Group 79925"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E0e0nqF&#10;AgAAWQYAAA4AAAAAAAAAAAAAAAAALgIAAGRycy9lMm9Eb2MueG1sUEsBAi0AFAAGAAgAAAAhADfD&#10;ANbaAAAABAEAAA8AAAAAAAAAAAAAAAAA3wQAAGRycy9kb3ducmV2LnhtbFBLBQYAAAAABAAEAPMA&#10;AADmBQAAAAA=&#10;">
                <v:shape id="Shape 8688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iNYckA&#10;AADeAAAADwAAAGRycy9kb3ducmV2LnhtbESP0UrDQBRE3wX/YblCX4rdWG0aYrelVBShUGPqB1yz&#10;12wwezdk1zb267sFwcdhZs4wi9VgW3Gg3jeOFdxNEhDEldMN1wo+9s+3GQgfkDW2jknBL3lYLa+v&#10;Fphrd+R3OpShFhHCPkcFJoQul9JXhiz6ieuIo/fleoshyr6WusdjhNtWTpMklRYbjgsGO9oYqr7L&#10;H6tgXr4U93T6NNt0PHvbPTwV++24UGp0M6wfQQQawn/4r/2qFWRpls3hcideAbk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0iNYc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p w:rsidR="005D4C6F" w:rsidRDefault="00F86A01">
      <w:pPr>
        <w:pStyle w:val="Nadpis2"/>
        <w:ind w:left="151"/>
      </w:pPr>
      <w:r>
        <w:t>Termínované a spořicí účty</w:t>
      </w:r>
    </w:p>
    <w:tbl>
      <w:tblPr>
        <w:tblStyle w:val="TableGrid"/>
        <w:tblW w:w="10580" w:type="dxa"/>
        <w:tblInd w:w="0" w:type="dxa"/>
        <w:tblCellMar>
          <w:top w:w="51" w:type="dxa"/>
          <w:left w:w="156" w:type="dxa"/>
          <w:right w:w="87" w:type="dxa"/>
        </w:tblCellMar>
        <w:tblLook w:val="04A0" w:firstRow="1" w:lastRow="0" w:firstColumn="1" w:lastColumn="0" w:noHBand="0" w:noVBand="1"/>
      </w:tblPr>
      <w:tblGrid>
        <w:gridCol w:w="3699"/>
        <w:gridCol w:w="2293"/>
        <w:gridCol w:w="882"/>
        <w:gridCol w:w="1411"/>
        <w:gridCol w:w="2293"/>
        <w:gridCol w:w="1"/>
      </w:tblGrid>
      <w:tr w:rsidR="005D4C6F">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2" w:firstLine="0"/>
              <w:jc w:val="center"/>
            </w:pPr>
            <w:r>
              <w:rPr>
                <w:sz w:val="20"/>
              </w:rPr>
              <w:t>Spořicí účet</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elektronicky</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w:t>
            </w:r>
          </w:p>
        </w:tc>
      </w:tr>
      <w:tr w:rsidR="005D4C6F">
        <w:trPr>
          <w:gridAfter w:val="1"/>
          <w:trHeight w:val="519"/>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3" w:firstLine="0"/>
              <w:jc w:val="center"/>
            </w:pPr>
            <w:r>
              <w:rPr>
                <w:sz w:val="17"/>
              </w:rPr>
              <w:t>-</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viz tabulka v kapitole Platební styk</w:t>
            </w:r>
          </w:p>
        </w:tc>
      </w:tr>
      <w:tr w:rsidR="005D4C6F">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3" w:firstLine="0"/>
              <w:jc w:val="center"/>
            </w:pPr>
            <w:r>
              <w:rPr>
                <w:sz w:val="17"/>
              </w:rPr>
              <w:t>-</w:t>
            </w:r>
          </w:p>
        </w:tc>
      </w:tr>
      <w:tr w:rsidR="005D4C6F">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6" w:firstLine="0"/>
            </w:pPr>
            <w:r>
              <w:rPr>
                <w:b/>
                <w:sz w:val="20"/>
              </w:rPr>
              <w:t>Depozitní směnka</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 w:firstLine="0"/>
            </w:pPr>
            <w:r>
              <w:rPr>
                <w:sz w:val="20"/>
              </w:rPr>
              <w:t>Vystavení a proplácení depozitní směnky KB</w:t>
            </w:r>
          </w:p>
        </w:tc>
        <w:tc>
          <w:tcPr>
            <w:tcW w:w="370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8" w:firstLine="0"/>
              <w:jc w:val="center"/>
            </w:pPr>
            <w:r>
              <w:rPr>
                <w:sz w:val="17"/>
              </w:rPr>
              <w:t>zdarma</w:t>
            </w:r>
          </w:p>
        </w:tc>
      </w:tr>
      <w:tr w:rsidR="005D4C6F">
        <w:trPr>
          <w:trHeight w:val="161"/>
        </w:trPr>
        <w:tc>
          <w:tcPr>
            <w:tcW w:w="6874" w:type="dxa"/>
            <w:gridSpan w:val="3"/>
            <w:tcBorders>
              <w:top w:val="single" w:sz="5" w:space="0" w:color="DCDCDC"/>
              <w:left w:val="nil"/>
              <w:bottom w:val="nil"/>
              <w:right w:val="nil"/>
            </w:tcBorders>
          </w:tcPr>
          <w:p w:rsidR="005D4C6F" w:rsidRDefault="005D4C6F">
            <w:pPr>
              <w:spacing w:after="160" w:line="259" w:lineRule="auto"/>
              <w:ind w:left="0" w:firstLine="0"/>
            </w:pPr>
          </w:p>
        </w:tc>
        <w:tc>
          <w:tcPr>
            <w:tcW w:w="3705" w:type="dxa"/>
            <w:gridSpan w:val="3"/>
            <w:tcBorders>
              <w:top w:val="single" w:sz="5" w:space="0" w:color="DCDCDC"/>
              <w:left w:val="nil"/>
              <w:bottom w:val="nil"/>
              <w:right w:val="nil"/>
            </w:tcBorders>
          </w:tcPr>
          <w:p w:rsidR="005D4C6F" w:rsidRDefault="005D4C6F">
            <w:pPr>
              <w:spacing w:after="160" w:line="259" w:lineRule="auto"/>
              <w:ind w:left="0" w:firstLine="0"/>
            </w:pPr>
          </w:p>
        </w:tc>
      </w:tr>
      <w:tr w:rsidR="005D4C6F">
        <w:trPr>
          <w:trHeight w:val="386"/>
        </w:trPr>
        <w:tc>
          <w:tcPr>
            <w:tcW w:w="6874" w:type="dxa"/>
            <w:gridSpan w:val="3"/>
            <w:tcBorders>
              <w:top w:val="nil"/>
              <w:left w:val="nil"/>
              <w:bottom w:val="nil"/>
              <w:right w:val="nil"/>
            </w:tcBorders>
            <w:shd w:val="clear" w:color="auto" w:fill="EE6B61"/>
          </w:tcPr>
          <w:p w:rsidR="005D4C6F" w:rsidRDefault="00F86A01">
            <w:pPr>
              <w:spacing w:after="0" w:line="259" w:lineRule="auto"/>
              <w:ind w:left="0" w:firstLine="0"/>
            </w:pPr>
            <w:r>
              <w:rPr>
                <w:b/>
                <w:color w:val="F5F5F5"/>
                <w:sz w:val="26"/>
              </w:rPr>
              <w:t>Podílové fondy</w:t>
            </w:r>
          </w:p>
        </w:tc>
        <w:tc>
          <w:tcPr>
            <w:tcW w:w="3705" w:type="dxa"/>
            <w:gridSpan w:val="3"/>
            <w:tcBorders>
              <w:top w:val="nil"/>
              <w:left w:val="nil"/>
              <w:bottom w:val="nil"/>
              <w:right w:val="nil"/>
            </w:tcBorders>
            <w:shd w:val="clear" w:color="auto" w:fill="EE6B61"/>
          </w:tcPr>
          <w:p w:rsidR="005D4C6F" w:rsidRDefault="005D4C6F">
            <w:pPr>
              <w:spacing w:after="160" w:line="259" w:lineRule="auto"/>
              <w:ind w:left="0" w:firstLine="0"/>
            </w:pPr>
          </w:p>
        </w:tc>
      </w:tr>
      <w:tr w:rsidR="005D4C6F">
        <w:trPr>
          <w:trHeight w:val="173"/>
        </w:trPr>
        <w:tc>
          <w:tcPr>
            <w:tcW w:w="6874" w:type="dxa"/>
            <w:gridSpan w:val="3"/>
            <w:tcBorders>
              <w:top w:val="nil"/>
              <w:left w:val="nil"/>
              <w:bottom w:val="nil"/>
              <w:right w:val="nil"/>
            </w:tcBorders>
          </w:tcPr>
          <w:p w:rsidR="005D4C6F" w:rsidRDefault="005D4C6F">
            <w:pPr>
              <w:spacing w:after="160" w:line="259" w:lineRule="auto"/>
              <w:ind w:left="0" w:firstLine="0"/>
            </w:pPr>
          </w:p>
        </w:tc>
        <w:tc>
          <w:tcPr>
            <w:tcW w:w="3705" w:type="dxa"/>
            <w:gridSpan w:val="3"/>
            <w:tcBorders>
              <w:top w:val="nil"/>
              <w:left w:val="nil"/>
              <w:bottom w:val="nil"/>
              <w:right w:val="nil"/>
            </w:tcBorders>
          </w:tcPr>
          <w:p w:rsidR="005D4C6F" w:rsidRDefault="005D4C6F">
            <w:pPr>
              <w:spacing w:after="160" w:line="259" w:lineRule="auto"/>
              <w:ind w:left="0" w:firstLine="0"/>
            </w:pPr>
          </w:p>
        </w:tc>
      </w:tr>
      <w:tr w:rsidR="005D4C6F">
        <w:trPr>
          <w:trHeight w:val="334"/>
        </w:trPr>
        <w:tc>
          <w:tcPr>
            <w:tcW w:w="6874" w:type="dxa"/>
            <w:gridSpan w:val="3"/>
            <w:tcBorders>
              <w:top w:val="nil"/>
              <w:left w:val="nil"/>
              <w:bottom w:val="nil"/>
              <w:right w:val="nil"/>
            </w:tcBorders>
            <w:shd w:val="clear" w:color="auto" w:fill="C8C8C8"/>
          </w:tcPr>
          <w:p w:rsidR="005D4C6F" w:rsidRDefault="00F86A01">
            <w:pPr>
              <w:spacing w:after="0" w:line="259" w:lineRule="auto"/>
              <w:ind w:left="0" w:firstLine="0"/>
            </w:pPr>
            <w:r>
              <w:rPr>
                <w:b/>
                <w:sz w:val="24"/>
              </w:rPr>
              <w:t>KB Fondy</w:t>
            </w:r>
          </w:p>
        </w:tc>
        <w:tc>
          <w:tcPr>
            <w:tcW w:w="3705" w:type="dxa"/>
            <w:gridSpan w:val="3"/>
            <w:tcBorders>
              <w:top w:val="nil"/>
              <w:left w:val="nil"/>
              <w:bottom w:val="nil"/>
              <w:right w:val="nil"/>
            </w:tcBorders>
            <w:shd w:val="clear" w:color="auto" w:fill="C8C8C8"/>
          </w:tcPr>
          <w:p w:rsidR="005D4C6F" w:rsidRDefault="005D4C6F">
            <w:pPr>
              <w:spacing w:after="160" w:line="259" w:lineRule="auto"/>
              <w:ind w:left="0" w:firstLine="0"/>
            </w:pPr>
          </w:p>
        </w:tc>
      </w:tr>
      <w:tr w:rsidR="005D4C6F">
        <w:trPr>
          <w:trHeight w:val="173"/>
        </w:trPr>
        <w:tc>
          <w:tcPr>
            <w:tcW w:w="6874" w:type="dxa"/>
            <w:gridSpan w:val="3"/>
            <w:tcBorders>
              <w:top w:val="nil"/>
              <w:left w:val="nil"/>
              <w:bottom w:val="nil"/>
              <w:right w:val="nil"/>
            </w:tcBorders>
          </w:tcPr>
          <w:p w:rsidR="005D4C6F" w:rsidRDefault="005D4C6F">
            <w:pPr>
              <w:spacing w:after="160" w:line="259" w:lineRule="auto"/>
              <w:ind w:left="0" w:firstLine="0"/>
            </w:pPr>
          </w:p>
        </w:tc>
        <w:tc>
          <w:tcPr>
            <w:tcW w:w="3705" w:type="dxa"/>
            <w:gridSpan w:val="3"/>
            <w:tcBorders>
              <w:top w:val="nil"/>
              <w:left w:val="nil"/>
              <w:bottom w:val="nil"/>
              <w:right w:val="nil"/>
            </w:tcBorders>
          </w:tcPr>
          <w:p w:rsidR="005D4C6F" w:rsidRDefault="005D4C6F">
            <w:pPr>
              <w:spacing w:after="160" w:line="259" w:lineRule="auto"/>
              <w:ind w:left="0" w:firstLine="0"/>
            </w:pPr>
          </w:p>
        </w:tc>
      </w:tr>
      <w:tr w:rsidR="005D4C6F">
        <w:trPr>
          <w:trHeight w:val="334"/>
        </w:trPr>
        <w:tc>
          <w:tcPr>
            <w:tcW w:w="6874" w:type="dxa"/>
            <w:gridSpan w:val="3"/>
            <w:tcBorders>
              <w:top w:val="nil"/>
              <w:left w:val="nil"/>
              <w:bottom w:val="nil"/>
              <w:right w:val="nil"/>
            </w:tcBorders>
            <w:shd w:val="clear" w:color="auto" w:fill="C8C8C8"/>
          </w:tcPr>
          <w:p w:rsidR="005D4C6F" w:rsidRDefault="00F86A01">
            <w:pPr>
              <w:spacing w:after="0" w:line="259" w:lineRule="auto"/>
              <w:ind w:left="0" w:firstLine="0"/>
            </w:pPr>
            <w:r>
              <w:rPr>
                <w:b/>
                <w:sz w:val="24"/>
              </w:rPr>
              <w:t>Fondy Amundi CR</w:t>
            </w:r>
          </w:p>
        </w:tc>
        <w:tc>
          <w:tcPr>
            <w:tcW w:w="3705" w:type="dxa"/>
            <w:gridSpan w:val="3"/>
            <w:tcBorders>
              <w:top w:val="nil"/>
              <w:left w:val="nil"/>
              <w:bottom w:val="nil"/>
              <w:right w:val="nil"/>
            </w:tcBorders>
            <w:shd w:val="clear" w:color="auto" w:fill="C8C8C8"/>
          </w:tcPr>
          <w:p w:rsidR="005D4C6F" w:rsidRDefault="005D4C6F">
            <w:pPr>
              <w:spacing w:after="160" w:line="259" w:lineRule="auto"/>
              <w:ind w:left="0" w:firstLine="0"/>
            </w:pPr>
          </w:p>
        </w:tc>
      </w:tr>
      <w:tr w:rsidR="005D4C6F">
        <w:trPr>
          <w:trHeight w:val="173"/>
        </w:trPr>
        <w:tc>
          <w:tcPr>
            <w:tcW w:w="6874" w:type="dxa"/>
            <w:gridSpan w:val="3"/>
            <w:tcBorders>
              <w:top w:val="nil"/>
              <w:left w:val="nil"/>
              <w:bottom w:val="nil"/>
              <w:right w:val="nil"/>
            </w:tcBorders>
          </w:tcPr>
          <w:p w:rsidR="005D4C6F" w:rsidRDefault="005D4C6F">
            <w:pPr>
              <w:spacing w:after="160" w:line="259" w:lineRule="auto"/>
              <w:ind w:left="0" w:firstLine="0"/>
            </w:pPr>
          </w:p>
        </w:tc>
        <w:tc>
          <w:tcPr>
            <w:tcW w:w="3705" w:type="dxa"/>
            <w:gridSpan w:val="3"/>
            <w:tcBorders>
              <w:top w:val="nil"/>
              <w:left w:val="nil"/>
              <w:bottom w:val="nil"/>
              <w:right w:val="nil"/>
            </w:tcBorders>
          </w:tcPr>
          <w:p w:rsidR="005D4C6F" w:rsidRDefault="005D4C6F">
            <w:pPr>
              <w:spacing w:after="160" w:line="259" w:lineRule="auto"/>
              <w:ind w:left="0" w:firstLine="0"/>
            </w:pPr>
          </w:p>
        </w:tc>
      </w:tr>
      <w:tr w:rsidR="005D4C6F">
        <w:trPr>
          <w:trHeight w:val="334"/>
        </w:trPr>
        <w:tc>
          <w:tcPr>
            <w:tcW w:w="6874" w:type="dxa"/>
            <w:gridSpan w:val="3"/>
            <w:tcBorders>
              <w:top w:val="nil"/>
              <w:left w:val="nil"/>
              <w:bottom w:val="nil"/>
              <w:right w:val="nil"/>
            </w:tcBorders>
            <w:shd w:val="clear" w:color="auto" w:fill="C8C8C8"/>
          </w:tcPr>
          <w:p w:rsidR="005D4C6F" w:rsidRDefault="00F86A01">
            <w:pPr>
              <w:spacing w:after="0" w:line="259" w:lineRule="auto"/>
              <w:ind w:left="0" w:firstLine="0"/>
            </w:pPr>
            <w:r>
              <w:rPr>
                <w:b/>
                <w:sz w:val="24"/>
              </w:rPr>
              <w:t>Fondy AMUNDI</w:t>
            </w:r>
          </w:p>
        </w:tc>
        <w:tc>
          <w:tcPr>
            <w:tcW w:w="3705" w:type="dxa"/>
            <w:gridSpan w:val="3"/>
            <w:tcBorders>
              <w:top w:val="nil"/>
              <w:left w:val="nil"/>
              <w:bottom w:val="nil"/>
              <w:right w:val="nil"/>
            </w:tcBorders>
            <w:shd w:val="clear" w:color="auto" w:fill="C8C8C8"/>
          </w:tcPr>
          <w:p w:rsidR="005D4C6F" w:rsidRDefault="005D4C6F">
            <w:pPr>
              <w:spacing w:after="160" w:line="259" w:lineRule="auto"/>
              <w:ind w:left="0" w:firstLine="0"/>
            </w:pPr>
          </w:p>
        </w:tc>
      </w:tr>
    </w:tbl>
    <w:p w:rsidR="005D4C6F" w:rsidRDefault="00F86A01">
      <w:pPr>
        <w:spacing w:after="57" w:line="259" w:lineRule="auto"/>
        <w:ind w:left="-5"/>
      </w:pPr>
      <w:r>
        <w:rPr>
          <w:sz w:val="17"/>
        </w:rPr>
        <w:t xml:space="preserve">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t>
      </w:r>
      <w:hyperlink r:id="rId41">
        <w:r>
          <w:rPr>
            <w:color w:val="0000EE"/>
            <w:sz w:val="17"/>
            <w:u w:val="single" w:color="0000EE"/>
          </w:rPr>
          <w:t>www.amundi-cr.cz</w:t>
        </w:r>
      </w:hyperlink>
      <w:r>
        <w:rPr>
          <w:sz w:val="17"/>
        </w:rPr>
        <w:t>.</w:t>
      </w:r>
    </w:p>
    <w:p w:rsidR="005D4C6F" w:rsidRDefault="00F86A01">
      <w:pPr>
        <w:spacing w:after="57"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5D4C6F" w:rsidRDefault="00F86A01">
      <w:pPr>
        <w:spacing w:after="201" w:line="259" w:lineRule="auto"/>
        <w:ind w:left="0" w:firstLine="0"/>
      </w:pPr>
      <w:r>
        <w:rPr>
          <w:sz w:val="17"/>
        </w:rPr>
        <w:t xml:space="preserve"> </w:t>
      </w:r>
    </w:p>
    <w:p w:rsidR="005D4C6F" w:rsidRDefault="00F86A01">
      <w:pPr>
        <w:pStyle w:val="Nadpis2"/>
        <w:spacing w:after="149"/>
        <w:ind w:left="151"/>
      </w:pPr>
      <w:r>
        <w:t>Investiční bankovnictví</w:t>
      </w:r>
    </w:p>
    <w:p w:rsidR="005D4C6F" w:rsidRDefault="00F86A01">
      <w:pPr>
        <w:pStyle w:val="Nadpis3"/>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gridCol w:w="1"/>
      </w:tblGrid>
      <w:tr w:rsidR="005D4C6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Administrativní úkony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30 za každý započatý měsíc trvání smlouvy</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200 + pojistné</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Podání Pokynu na změnu cenového limitu (za každý ISIN) /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Podání Pokynu k převodu Cenných papírů /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Výplata dividend / úroků z Cenných papírů /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0,90 %, min. 100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600 + 0,30 %</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1 900 + 0,17 %</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2 100 + 0,16 %</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2" w:firstLine="0"/>
              <w:jc w:val="center"/>
            </w:pPr>
            <w:r>
              <w:rPr>
                <w:sz w:val="17"/>
              </w:rPr>
              <w:t>3 300 + 0,14 %</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gridAfter w:val="1"/>
          <w:trHeight w:val="300"/>
        </w:trPr>
        <w:tc>
          <w:tcPr>
            <w:tcW w:w="6874"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gridAfter w:val="1"/>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Mimoburzovní obchody s dluhopisy a primární emise - objem v nominální hodnotě (bez AÚV)</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755" w:firstLine="0"/>
              <w:jc w:val="center"/>
            </w:pPr>
            <w:r>
              <w:rPr>
                <w:sz w:val="17"/>
              </w:rPr>
              <w:t>1 700 + 0,10 %, min. 2 700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758" w:firstLine="0"/>
              <w:jc w:val="center"/>
            </w:pPr>
            <w:r>
              <w:rPr>
                <w:sz w:val="17"/>
              </w:rPr>
              <w:t>4 200 + 0,05 %</w:t>
            </w:r>
          </w:p>
        </w:tc>
      </w:tr>
      <w:tr w:rsidR="005D4C6F">
        <w:trPr>
          <w:gridAfter w:val="1"/>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5D4C6F">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Primární úpis akcií</w:t>
            </w:r>
          </w:p>
        </w:tc>
      </w:tr>
      <w:tr w:rsidR="005D4C6F">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Poplatky za primární úpis akcií Banka stanoví vždy na individuální bází a oznámí před úpisem.</w:t>
            </w:r>
          </w:p>
        </w:tc>
      </w:tr>
      <w:tr w:rsidR="005D4C6F">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Vypořádání přechodu Cenného papíru (za každý ISIN)</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300</w:t>
            </w: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Převod účtu Klienta z nezařazené evidence vedené CDCP na Portfoliový účet Klienta</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gridAfter w:val="1"/>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Převod jednotlivého Cenného papíru evidovaného na účtu Klienta v nezařazené evidenci vedené CDCP na Portfoliový účet Klienta</w:t>
            </w:r>
          </w:p>
        </w:tc>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r>
      <w:tr w:rsidR="005D4C6F">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Převod mezi dvěma účty vedenými Bankou v samostatné nebo navazující evidenci (za každý ISIN)</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pPr>
        <w:shd w:val="clear" w:color="auto" w:fill="DCDADA"/>
        <w:spacing w:after="116" w:line="259" w:lineRule="auto"/>
        <w:ind w:left="156" w:firstLine="0"/>
      </w:pPr>
      <w:r>
        <w:rPr>
          <w:b/>
          <w:sz w:val="22"/>
        </w:rPr>
        <w:t>Správa Cenných papírů</w:t>
      </w:r>
    </w:p>
    <w:p w:rsidR="005D4C6F" w:rsidRDefault="00F86A01">
      <w:pPr>
        <w:spacing w:after="0" w:line="259" w:lineRule="auto"/>
        <w:ind w:left="-5"/>
      </w:pPr>
      <w:r>
        <w:rPr>
          <w:sz w:val="17"/>
        </w:rPr>
        <w:t>Minimální měsíční poplatek za poskytování Správy Cenných papírů je 15 Kč.</w:t>
      </w:r>
    </w:p>
    <w:tbl>
      <w:tblPr>
        <w:tblStyle w:val="TableGrid"/>
        <w:tblW w:w="10580" w:type="dxa"/>
        <w:tblInd w:w="0" w:type="dxa"/>
        <w:tblCellMar>
          <w:top w:w="69" w:type="dxa"/>
          <w:left w:w="161" w:type="dxa"/>
          <w:right w:w="72" w:type="dxa"/>
        </w:tblCellMar>
        <w:tblLook w:val="04A0" w:firstRow="1" w:lastRow="0" w:firstColumn="1" w:lastColumn="0" w:noHBand="0" w:noVBand="1"/>
      </w:tblPr>
      <w:tblGrid>
        <w:gridCol w:w="4230"/>
        <w:gridCol w:w="2115"/>
        <w:gridCol w:w="2115"/>
        <w:gridCol w:w="2121"/>
      </w:tblGrid>
      <w:tr w:rsidR="005D4C6F">
        <w:trPr>
          <w:trHeight w:val="334"/>
        </w:trPr>
        <w:tc>
          <w:tcPr>
            <w:tcW w:w="4230"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 xml:space="preserve">Správa cenných papírů </w:t>
            </w:r>
            <w:r>
              <w:rPr>
                <w:b/>
                <w:sz w:val="20"/>
                <w:vertAlign w:val="superscript"/>
              </w:rPr>
              <w:t>1)</w:t>
            </w:r>
          </w:p>
        </w:tc>
        <w:tc>
          <w:tcPr>
            <w:tcW w:w="2115"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115"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121" w:type="dxa"/>
            <w:tcBorders>
              <w:top w:val="single" w:sz="5" w:space="0" w:color="DCDCDC"/>
              <w:left w:val="nil"/>
              <w:bottom w:val="single" w:sz="5" w:space="0" w:color="DCDCDC"/>
              <w:right w:val="single" w:sz="5" w:space="0" w:color="DCDCDC"/>
            </w:tcBorders>
            <w:shd w:val="clear" w:color="auto" w:fill="C8C8C8"/>
            <w:vAlign w:val="center"/>
          </w:tcPr>
          <w:p w:rsidR="005D4C6F" w:rsidRDefault="005D4C6F">
            <w:pPr>
              <w:spacing w:after="160" w:line="259" w:lineRule="auto"/>
              <w:ind w:left="0" w:firstLine="0"/>
            </w:pPr>
          </w:p>
        </w:tc>
      </w:tr>
      <w:tr w:rsidR="005D4C6F">
        <w:trPr>
          <w:trHeight w:val="715"/>
        </w:trPr>
        <w:tc>
          <w:tcPr>
            <w:tcW w:w="423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right="1868" w:firstLine="0"/>
            </w:pPr>
            <w:r>
              <w:rPr>
                <w:sz w:val="20"/>
              </w:rPr>
              <w:t>Měsíčně dle denních stavů. Cena za součet hodnot:</w:t>
            </w:r>
          </w:p>
        </w:tc>
        <w:tc>
          <w:tcPr>
            <w:tcW w:w="211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6" w:firstLine="0"/>
              <w:jc w:val="center"/>
            </w:pPr>
            <w:r>
              <w:rPr>
                <w:sz w:val="20"/>
              </w:rPr>
              <w:t>Dluhopisy</w:t>
            </w:r>
          </w:p>
        </w:tc>
        <w:tc>
          <w:tcPr>
            <w:tcW w:w="211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center"/>
            </w:pPr>
            <w:r>
              <w:rPr>
                <w:sz w:val="20"/>
              </w:rPr>
              <w:t>Obchodovatelné akcie a jiné majetkové Cenné papíry na BCPP</w:t>
            </w:r>
          </w:p>
        </w:tc>
        <w:tc>
          <w:tcPr>
            <w:tcW w:w="212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firstLine="0"/>
              <w:jc w:val="center"/>
            </w:pPr>
            <w:r>
              <w:rPr>
                <w:sz w:val="20"/>
              </w:rPr>
              <w:t>Neobchodovatelné akcie a jiné majetkové Cenné papíry</w:t>
            </w:r>
          </w:p>
        </w:tc>
      </w:tr>
      <w:tr w:rsidR="005D4C6F">
        <w:trPr>
          <w:trHeight w:val="323"/>
        </w:trPr>
        <w:tc>
          <w:tcPr>
            <w:tcW w:w="423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0 - 3 000 000 Kč</w:t>
            </w:r>
          </w:p>
        </w:tc>
        <w:tc>
          <w:tcPr>
            <w:tcW w:w="211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0,06 % p.a.</w:t>
            </w:r>
          </w:p>
        </w:tc>
        <w:tc>
          <w:tcPr>
            <w:tcW w:w="212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0,10 % p.a.</w:t>
            </w:r>
          </w:p>
        </w:tc>
      </w:tr>
      <w:tr w:rsidR="005D4C6F">
        <w:trPr>
          <w:trHeight w:val="323"/>
        </w:trPr>
        <w:tc>
          <w:tcPr>
            <w:tcW w:w="423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3 000 001 - 10 000 000 Kč</w:t>
            </w:r>
          </w:p>
        </w:tc>
        <w:tc>
          <w:tcPr>
            <w:tcW w:w="211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0,05 % p.a.</w:t>
            </w:r>
          </w:p>
        </w:tc>
        <w:tc>
          <w:tcPr>
            <w:tcW w:w="212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0,10 % p.a.</w:t>
            </w:r>
          </w:p>
        </w:tc>
      </w:tr>
      <w:tr w:rsidR="005D4C6F">
        <w:trPr>
          <w:trHeight w:val="323"/>
        </w:trPr>
        <w:tc>
          <w:tcPr>
            <w:tcW w:w="423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nad 10 000 001 Kč</w:t>
            </w:r>
          </w:p>
        </w:tc>
        <w:tc>
          <w:tcPr>
            <w:tcW w:w="211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0,04 % p.a.</w:t>
            </w:r>
          </w:p>
        </w:tc>
        <w:tc>
          <w:tcPr>
            <w:tcW w:w="211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0,04 % p.a.</w:t>
            </w:r>
          </w:p>
        </w:tc>
        <w:tc>
          <w:tcPr>
            <w:tcW w:w="2121"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8" w:firstLine="0"/>
              <w:jc w:val="center"/>
            </w:pPr>
            <w:r>
              <w:rPr>
                <w:sz w:val="17"/>
              </w:rPr>
              <w:t>0,10 % p.a.</w:t>
            </w:r>
          </w:p>
        </w:tc>
      </w:tr>
    </w:tbl>
    <w:p w:rsidR="005D4C6F" w:rsidRDefault="00F86A01">
      <w:pPr>
        <w:ind w:left="53" w:right="10"/>
      </w:pPr>
      <w:r>
        <w:t>1) Cena Dluhopisů, Neobchodovatelných akcií a jiných majetkových Cenných papírů se vypočítává z nominální hodnoty.</w:t>
      </w:r>
    </w:p>
    <w:p w:rsidR="005D4C6F" w:rsidRDefault="00F86A01">
      <w:pPr>
        <w:ind w:left="223" w:right="4343"/>
      </w:pPr>
      <w:r>
        <w:t>Cena Obchodovatelných akcií a jiných majetkových Cenných papírů na BCPP se vypočítává z tržní hodnoty. Uvedené ceny nezahrnují DPH, která bude v případě uplatnění připočtena v příslušné výši.</w:t>
      </w:r>
    </w:p>
    <w:tbl>
      <w:tblPr>
        <w:tblStyle w:val="TableGrid"/>
        <w:tblW w:w="10580" w:type="dxa"/>
        <w:tblInd w:w="0" w:type="dxa"/>
        <w:tblCellMar>
          <w:top w:w="69" w:type="dxa"/>
          <w:left w:w="161" w:type="dxa"/>
          <w:right w:w="431" w:type="dxa"/>
        </w:tblCellMar>
        <w:tblLook w:val="04A0" w:firstRow="1" w:lastRow="0" w:firstColumn="1" w:lastColumn="0" w:noHBand="0" w:noVBand="1"/>
      </w:tblPr>
      <w:tblGrid>
        <w:gridCol w:w="4230"/>
        <w:gridCol w:w="3175"/>
        <w:gridCol w:w="3175"/>
      </w:tblGrid>
      <w:tr w:rsidR="005D4C6F">
        <w:trPr>
          <w:trHeight w:val="519"/>
        </w:trPr>
        <w:tc>
          <w:tcPr>
            <w:tcW w:w="423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both"/>
            </w:pPr>
            <w:r>
              <w:rPr>
                <w:sz w:val="20"/>
              </w:rPr>
              <w:t>Zástavy Cenných papírů / Pozastavení výkonu práva vlastníka nakládat s investičním nástrojem</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366" w:firstLine="0"/>
              <w:jc w:val="center"/>
            </w:pPr>
            <w:r>
              <w:rPr>
                <w:sz w:val="20"/>
              </w:rPr>
              <w:t>Věřitelem / příkazcem je Banka</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366" w:firstLine="0"/>
              <w:jc w:val="center"/>
            </w:pPr>
            <w:r>
              <w:rPr>
                <w:sz w:val="20"/>
              </w:rPr>
              <w:t>Věřitelem / příkazcem není Banka</w:t>
            </w:r>
          </w:p>
        </w:tc>
      </w:tr>
      <w:tr w:rsidR="005D4C6F">
        <w:trPr>
          <w:trHeight w:val="334"/>
        </w:trPr>
        <w:tc>
          <w:tcPr>
            <w:tcW w:w="423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Zápis / změna zápisu zástavního práva / PPN </w:t>
            </w:r>
            <w:r>
              <w:rPr>
                <w:sz w:val="20"/>
                <w:vertAlign w:val="superscript"/>
              </w:rPr>
              <w:t>1)</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368" w:firstLine="0"/>
              <w:jc w:val="center"/>
            </w:pPr>
            <w:r>
              <w:rPr>
                <w:sz w:val="17"/>
              </w:rPr>
              <w:t>zdarma</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364" w:firstLine="0"/>
              <w:jc w:val="center"/>
            </w:pPr>
            <w:r>
              <w:rPr>
                <w:sz w:val="17"/>
              </w:rPr>
              <w:t>500</w:t>
            </w:r>
          </w:p>
        </w:tc>
      </w:tr>
      <w:tr w:rsidR="005D4C6F">
        <w:trPr>
          <w:trHeight w:val="334"/>
        </w:trPr>
        <w:tc>
          <w:tcPr>
            <w:tcW w:w="423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Zápis zániku zástavního práva / PPN </w:t>
            </w:r>
            <w:r>
              <w:rPr>
                <w:sz w:val="20"/>
                <w:vertAlign w:val="superscript"/>
              </w:rPr>
              <w:t>1)</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bl>
    <w:p w:rsidR="005D4C6F" w:rsidRDefault="00F86A01">
      <w:pPr>
        <w:ind w:left="53" w:right="10"/>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50</w:t>
            </w:r>
          </w:p>
        </w:tc>
      </w:tr>
      <w:tr w:rsidR="005D4C6F">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150</w:t>
            </w: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300</w:t>
            </w:r>
          </w:p>
        </w:tc>
      </w:tr>
    </w:tbl>
    <w:p w:rsidR="005D4C6F" w:rsidRDefault="00F86A01">
      <w:pPr>
        <w:ind w:left="53" w:right="10"/>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poplatky CDCP + 5 000 </w:t>
            </w:r>
            <w:r>
              <w:rPr>
                <w:sz w:val="23"/>
                <w:vertAlign w:val="superscript"/>
              </w:rPr>
              <w:t>2)</w:t>
            </w: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poplatky CDCP + 7 000 </w:t>
            </w:r>
            <w:r>
              <w:rPr>
                <w:sz w:val="23"/>
                <w:vertAlign w:val="superscript"/>
              </w:rPr>
              <w:t>2)</w:t>
            </w:r>
          </w:p>
        </w:tc>
      </w:tr>
    </w:tbl>
    <w:p w:rsidR="005D4C6F" w:rsidRDefault="00F86A01">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34"/>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4" w:firstLine="0"/>
              <w:jc w:val="center"/>
            </w:pPr>
            <w:r>
              <w:rPr>
                <w:sz w:val="17"/>
              </w:rPr>
              <w:t>1 500 Kč + poplatky placené třetím stranám</w:t>
            </w:r>
          </w:p>
        </w:tc>
      </w:tr>
    </w:tbl>
    <w:p w:rsidR="005D4C6F" w:rsidRDefault="00F86A01">
      <w:pPr>
        <w:ind w:left="53" w:right="10"/>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10580"/>
      </w:tblGrid>
      <w:tr w:rsidR="005D4C6F">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Produkty finančního trhu</w:t>
            </w:r>
          </w:p>
        </w:tc>
      </w:tr>
      <w:tr w:rsidR="005D4C6F">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Ceny se stanoví individuálně, a to samostatnou smlouvou pro každý obchodní případ</w:t>
            </w:r>
          </w:p>
        </w:tc>
      </w:tr>
    </w:tbl>
    <w:p w:rsidR="005D4C6F" w:rsidRDefault="005D4C6F">
      <w:pPr>
        <w:sectPr w:rsidR="005D4C6F">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900" w:h="16840"/>
          <w:pgMar w:top="1136" w:right="709" w:bottom="1137" w:left="661" w:header="384" w:footer="315" w:gutter="0"/>
          <w:cols w:space="708"/>
        </w:sectPr>
      </w:pPr>
    </w:p>
    <w:p w:rsidR="005D4C6F" w:rsidRDefault="00F86A01">
      <w:pPr>
        <w:spacing w:after="605" w:line="265" w:lineRule="auto"/>
        <w:ind w:left="10" w:right="87"/>
        <w:jc w:val="right"/>
      </w:pPr>
      <w:r>
        <w:rPr>
          <w:rFonts w:ascii="Tahoma" w:eastAsia="Tahoma" w:hAnsi="Tahoma" w:cs="Tahoma"/>
          <w:sz w:val="19"/>
        </w:rPr>
        <w:t xml:space="preserve">OSTATNÍ SLUŽBY  </w:t>
      </w:r>
    </w:p>
    <w:p w:rsidR="005D4C6F" w:rsidRDefault="00F86A01">
      <w:pPr>
        <w:pStyle w:val="Nadpis1"/>
        <w:spacing w:after="154"/>
        <w:ind w:left="-5"/>
      </w:pPr>
      <w:r>
        <w:t>OSTATNÍ SLUŽBY</w:t>
      </w:r>
    </w:p>
    <w:p w:rsidR="005D4C6F" w:rsidRDefault="00F86A01">
      <w:pPr>
        <w:pStyle w:val="Nadpis2"/>
        <w:ind w:left="151"/>
      </w:pPr>
      <w:r>
        <w:t>Šeky</w:t>
      </w:r>
    </w:p>
    <w:tbl>
      <w:tblPr>
        <w:tblStyle w:val="TableGrid"/>
        <w:tblW w:w="10580" w:type="dxa"/>
        <w:tblInd w:w="0" w:type="dxa"/>
        <w:tblCellMar>
          <w:top w:w="69" w:type="dxa"/>
          <w:left w:w="161" w:type="dxa"/>
          <w:right w:w="65" w:type="dxa"/>
        </w:tblCellMar>
        <w:tblLook w:val="04A0" w:firstRow="1" w:lastRow="0" w:firstColumn="1" w:lastColumn="0" w:noHBand="0" w:noVBand="1"/>
      </w:tblPr>
      <w:tblGrid>
        <w:gridCol w:w="3169"/>
        <w:gridCol w:w="1850"/>
        <w:gridCol w:w="1850"/>
        <w:gridCol w:w="1855"/>
        <w:gridCol w:w="1855"/>
        <w:gridCol w:w="1"/>
      </w:tblGrid>
      <w:tr w:rsidR="005D4C6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Šeky</w:t>
            </w:r>
          </w:p>
        </w:tc>
      </w:tr>
      <w:tr w:rsidR="005D4C6F">
        <w:trPr>
          <w:gridAfter w:val="1"/>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16" w:lineRule="auto"/>
              <w:ind w:left="3" w:firstLine="239"/>
              <w:jc w:val="both"/>
            </w:pPr>
            <w:r>
              <w:rPr>
                <w:sz w:val="20"/>
              </w:rPr>
              <w:t>Zahraniční šeky a tuzemské šeky splatné u</w:t>
            </w:r>
          </w:p>
          <w:p w:rsidR="005D4C6F" w:rsidRDefault="00F86A01">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5D4C6F" w:rsidRDefault="00F86A01">
            <w:pPr>
              <w:spacing w:after="0" w:line="259" w:lineRule="auto"/>
              <w:ind w:left="0" w:right="1" w:firstLine="0"/>
              <w:jc w:val="center"/>
            </w:pPr>
            <w:r>
              <w:rPr>
                <w:sz w:val="20"/>
              </w:rPr>
              <w:t>Loro a Nostro šeky</w:t>
            </w:r>
          </w:p>
        </w:tc>
      </w:tr>
      <w:tr w:rsidR="005D4C6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Vystavení a zaslání šeku</w:t>
            </w:r>
          </w:p>
        </w:tc>
      </w:tr>
      <w:tr w:rsidR="005D4C6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r>
      <w:tr w:rsidR="005D4C6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r>
      <w:tr w:rsidR="005D4C6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r>
      <w:tr w:rsidR="005D4C6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Proplacení šeku</w:t>
            </w:r>
          </w:p>
        </w:tc>
      </w:tr>
      <w:tr w:rsidR="005D4C6F">
        <w:trPr>
          <w:gridAfter w:val="1"/>
          <w:trHeight w:val="864"/>
        </w:trPr>
        <w:tc>
          <w:tcPr>
            <w:tcW w:w="3169"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31" w:firstLine="0"/>
              <w:jc w:val="center"/>
            </w:pPr>
            <w:r>
              <w:rPr>
                <w:sz w:val="17"/>
              </w:rPr>
              <w:t xml:space="preserve">200 pro šeky do 20 tis. Kč, </w:t>
            </w:r>
          </w:p>
          <w:p w:rsidR="005D4C6F" w:rsidRDefault="00F86A01">
            <w:pPr>
              <w:spacing w:after="0" w:line="216" w:lineRule="auto"/>
              <w:ind w:left="421" w:hanging="294"/>
              <w:jc w:val="both"/>
            </w:pPr>
            <w:r>
              <w:rPr>
                <w:sz w:val="17"/>
              </w:rPr>
              <w:t>1 %, max 5 tis. pro šeky nad 20 tis. Kč</w:t>
            </w:r>
          </w:p>
          <w:p w:rsidR="005D4C6F" w:rsidRDefault="00F86A01">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r>
      <w:tr w:rsidR="005D4C6F">
        <w:trPr>
          <w:gridAfter w:val="1"/>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31" w:firstLine="0"/>
              <w:jc w:val="center"/>
            </w:pPr>
            <w:r>
              <w:rPr>
                <w:sz w:val="17"/>
              </w:rPr>
              <w:t xml:space="preserve">500 pro šeky do 25 tis. Kč, </w:t>
            </w:r>
          </w:p>
          <w:p w:rsidR="005D4C6F" w:rsidRDefault="00F86A01">
            <w:pPr>
              <w:spacing w:after="0" w:line="259" w:lineRule="auto"/>
              <w:ind w:left="0" w:right="30" w:firstLine="0"/>
              <w:jc w:val="center"/>
            </w:pPr>
            <w:r>
              <w:rPr>
                <w:sz w:val="17"/>
              </w:rPr>
              <w:t xml:space="preserve">2% pro šeky nad 25 tis. Kč </w:t>
            </w:r>
          </w:p>
          <w:p w:rsidR="005D4C6F" w:rsidRDefault="00F86A01">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3" w:firstLine="0"/>
              <w:jc w:val="center"/>
            </w:pPr>
            <w:r>
              <w:rPr>
                <w:sz w:val="17"/>
              </w:rPr>
              <w:t>zdarma</w:t>
            </w:r>
          </w:p>
        </w:tc>
      </w:tr>
      <w:tr w:rsidR="005D4C6F">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r>
      <w:tr w:rsidR="005D4C6F">
        <w:trPr>
          <w:gridAfter w:val="1"/>
          <w:trHeight w:val="334"/>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Proplacení šeku v hotovosti </w:t>
            </w:r>
            <w:r>
              <w:rPr>
                <w:sz w:val="20"/>
                <w:vertAlign w:val="superscript"/>
              </w:rPr>
              <w:footnoteReference w:id="3"/>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400</w:t>
            </w:r>
          </w:p>
        </w:tc>
      </w:tr>
      <w:tr w:rsidR="005D4C6F">
        <w:trPr>
          <w:gridAfter w:val="1"/>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Ostatní operace se šeky</w:t>
            </w:r>
          </w:p>
        </w:tc>
      </w:tr>
      <w:tr w:rsidR="005D4C6F">
        <w:trPr>
          <w:gridAfter w:val="1"/>
          <w:trHeight w:val="715"/>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r>
      <w:tr w:rsidR="005D4C6F">
        <w:trPr>
          <w:gridAfter w:val="1"/>
          <w:trHeight w:val="323"/>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 w:firstLine="0"/>
              <w:jc w:val="center"/>
            </w:pPr>
            <w:r>
              <w:rPr>
                <w:sz w:val="17"/>
              </w:rPr>
              <w:t>-</w:t>
            </w:r>
          </w:p>
        </w:tc>
      </w:tr>
      <w:tr w:rsidR="005D4C6F">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jc w:val="center"/>
            </w:pPr>
            <w:r>
              <w:rPr>
                <w:sz w:val="17"/>
              </w:rPr>
              <w:t xml:space="preserve">200 za každou žádost </w:t>
            </w:r>
            <w:r>
              <w:rPr>
                <w:sz w:val="23"/>
                <w:vertAlign w:val="superscript"/>
              </w:rPr>
              <w:footnoteReference w:id="4"/>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jc w:val="center"/>
            </w:pPr>
            <w:r>
              <w:rPr>
                <w:sz w:val="17"/>
              </w:rPr>
              <w:t xml:space="preserve">200  za každou žádost </w:t>
            </w:r>
            <w:r>
              <w:rPr>
                <w:sz w:val="23"/>
                <w:vertAlign w:val="superscript"/>
              </w:rPr>
              <w:footnoteReference w:id="5"/>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r>
      <w:tr w:rsidR="005D4C6F">
        <w:trPr>
          <w:gridAfter w:val="1"/>
          <w:trHeight w:val="519"/>
        </w:trPr>
        <w:tc>
          <w:tcPr>
            <w:tcW w:w="316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2" w:firstLine="0"/>
              <w:jc w:val="center"/>
            </w:pPr>
            <w:r>
              <w:rPr>
                <w:sz w:val="17"/>
              </w:rPr>
              <w:t>-</w:t>
            </w:r>
          </w:p>
        </w:tc>
      </w:tr>
      <w:tr w:rsidR="005D4C6F">
        <w:trPr>
          <w:gridAfter w:val="1"/>
          <w:trHeight w:val="47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5D4C6F">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Poskytnutí bankovní informace o klientovi KB</w:t>
            </w:r>
          </w:p>
        </w:tc>
      </w:tr>
      <w:tr w:rsidR="005D4C6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Základní informace</w:t>
            </w:r>
          </w:p>
        </w:tc>
        <w:tc>
          <w:tcPr>
            <w:tcW w:w="371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500 + 21 % DPH</w:t>
            </w:r>
          </w:p>
        </w:tc>
      </w:tr>
      <w:tr w:rsidR="005D4C6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Rozšířená informace</w:t>
            </w:r>
          </w:p>
        </w:tc>
        <w:tc>
          <w:tcPr>
            <w:tcW w:w="371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1 000 + 21 % DPH</w:t>
            </w:r>
          </w:p>
        </w:tc>
      </w:tr>
      <w:tr w:rsidR="005D4C6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Vystavení bankovní reference o klientovi KB v ČJ nebo AJ</w:t>
            </w:r>
          </w:p>
        </w:tc>
        <w:tc>
          <w:tcPr>
            <w:tcW w:w="371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500 + 21 % DPH</w:t>
            </w:r>
          </w:p>
        </w:tc>
      </w:tr>
      <w:tr w:rsidR="005D4C6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Obstarání bankovní informace o tuzemském nebo zahraničním subjektu</w:t>
            </w:r>
          </w:p>
        </w:tc>
        <w:tc>
          <w:tcPr>
            <w:tcW w:w="371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8" w:firstLine="0"/>
              <w:jc w:val="center"/>
            </w:pPr>
            <w:r>
              <w:rPr>
                <w:sz w:val="17"/>
              </w:rPr>
              <w:t xml:space="preserve">500 + náklady banky + 21 % DPH </w:t>
            </w:r>
          </w:p>
        </w:tc>
      </w:tr>
      <w:tr w:rsidR="005D4C6F">
        <w:trPr>
          <w:trHeight w:val="323"/>
        </w:trPr>
        <w:tc>
          <w:tcPr>
            <w:tcW w:w="686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Obstarání kreditní informace o tuzemském nebo zahraničním subjektu</w:t>
            </w:r>
          </w:p>
        </w:tc>
        <w:tc>
          <w:tcPr>
            <w:tcW w:w="371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100  + náklady agentury + 21 % DPH</w:t>
            </w:r>
          </w:p>
        </w:tc>
      </w:tr>
      <w:tr w:rsidR="005D4C6F">
        <w:trPr>
          <w:trHeight w:val="519"/>
        </w:trPr>
        <w:tc>
          <w:tcPr>
            <w:tcW w:w="6869"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11"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250 + 21 % DPH</w:t>
            </w:r>
          </w:p>
        </w:tc>
      </w:tr>
      <w:tr w:rsidR="005D4C6F">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17"/>
              </w:rPr>
              <w:t>V případě, že žadatel požaduje informace o více subjektech, bude poplatek účtován za každou informaci, která se vztahuje k danému subjektu.</w:t>
            </w:r>
          </w:p>
        </w:tc>
      </w:tr>
      <w:tr w:rsidR="005D4C6F">
        <w:trPr>
          <w:trHeight w:val="323"/>
        </w:trPr>
        <w:tc>
          <w:tcPr>
            <w:tcW w:w="6869" w:type="dxa"/>
            <w:gridSpan w:val="3"/>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Zpráva pro účely auditu</w:t>
            </w:r>
          </w:p>
        </w:tc>
        <w:tc>
          <w:tcPr>
            <w:tcW w:w="3711" w:type="dxa"/>
            <w:gridSpan w:val="3"/>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496"/>
        </w:trPr>
        <w:tc>
          <w:tcPr>
            <w:tcW w:w="6869"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0" w:firstLine="0"/>
            </w:pPr>
            <w:r>
              <w:rPr>
                <w:sz w:val="20"/>
              </w:rPr>
              <w:t>Bankovní zpráva pro účely auditu</w:t>
            </w:r>
          </w:p>
        </w:tc>
        <w:tc>
          <w:tcPr>
            <w:tcW w:w="3711"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29" w:right="175" w:firstLine="0"/>
              <w:jc w:val="center"/>
            </w:pPr>
            <w:r>
              <w:rPr>
                <w:sz w:val="17"/>
              </w:rPr>
              <w:t>2 000 za žádost podanou elektronicky + 21% DPH, 2 500 za žádost podanou na pobočce + 21% DPH</w:t>
            </w:r>
          </w:p>
        </w:tc>
      </w:tr>
    </w:tbl>
    <w:p w:rsidR="005D4C6F" w:rsidRDefault="00F86A01">
      <w:pPr>
        <w:spacing w:after="605" w:line="265" w:lineRule="auto"/>
        <w:ind w:left="10" w:right="87"/>
        <w:jc w:val="right"/>
      </w:pPr>
      <w:r>
        <w:rPr>
          <w:rFonts w:ascii="Tahoma" w:eastAsia="Tahoma" w:hAnsi="Tahoma" w:cs="Tahoma"/>
          <w:sz w:val="19"/>
        </w:rPr>
        <w:t xml:space="preserve">OSTATNÍ SLUŽBY  </w:t>
      </w:r>
    </w:p>
    <w:p w:rsidR="005D4C6F" w:rsidRDefault="00F86A01">
      <w:pPr>
        <w:pStyle w:val="Nadpis2"/>
        <w:ind w:left="151"/>
      </w:pPr>
      <w:r>
        <w:t>Ostatní služby</w:t>
      </w:r>
    </w:p>
    <w:tbl>
      <w:tblPr>
        <w:tblStyle w:val="TableGrid"/>
        <w:tblW w:w="10580" w:type="dxa"/>
        <w:tblInd w:w="-58" w:type="dxa"/>
        <w:tblCellMar>
          <w:top w:w="69" w:type="dxa"/>
          <w:left w:w="130" w:type="dxa"/>
          <w:right w:w="2" w:type="dxa"/>
        </w:tblCellMar>
        <w:tblLook w:val="04A0" w:firstRow="1" w:lastRow="0" w:firstColumn="1" w:lastColumn="0" w:noHBand="0" w:noVBand="1"/>
      </w:tblPr>
      <w:tblGrid>
        <w:gridCol w:w="2115"/>
        <w:gridCol w:w="2818"/>
        <w:gridCol w:w="1941"/>
        <w:gridCol w:w="883"/>
        <w:gridCol w:w="801"/>
        <w:gridCol w:w="2021"/>
        <w:gridCol w:w="2"/>
      </w:tblGrid>
      <w:tr w:rsidR="005D4C6F">
        <w:trPr>
          <w:gridAfter w:val="1"/>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Uložení, úschovy, pronájmy a používání nočního trezoru a bezpečnostní schránky</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 jednotlivý odvedený vratný obal nebo předem poskytnutý nevratný obal klientům</w:t>
            </w:r>
          </w:p>
        </w:tc>
        <w:tc>
          <w:tcPr>
            <w:tcW w:w="370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4933" w:type="dxa"/>
            <w:gridSpan w:val="2"/>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32" w:firstLine="0"/>
            </w:pPr>
            <w:r>
              <w:rPr>
                <w:b/>
                <w:sz w:val="20"/>
              </w:rPr>
              <w:t>Pronájem bezpečnostních schránek (ročně)</w:t>
            </w:r>
          </w:p>
        </w:tc>
        <w:tc>
          <w:tcPr>
            <w:tcW w:w="3624" w:type="dxa"/>
            <w:gridSpan w:val="3"/>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2023" w:type="dxa"/>
            <w:gridSpan w:val="2"/>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4933"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32" w:firstLine="0"/>
            </w:pPr>
            <w:r>
              <w:rPr>
                <w:sz w:val="20"/>
              </w:rPr>
              <w:t>Pro klienty:</w:t>
            </w:r>
          </w:p>
        </w:tc>
        <w:tc>
          <w:tcPr>
            <w:tcW w:w="2824"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right="29" w:firstLine="0"/>
              <w:jc w:val="center"/>
            </w:pPr>
            <w:r>
              <w:rPr>
                <w:sz w:val="20"/>
              </w:rPr>
              <w:t>vlastnící běžný účet u KB</w:t>
            </w:r>
          </w:p>
        </w:tc>
        <w:tc>
          <w:tcPr>
            <w:tcW w:w="801" w:type="dxa"/>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2023" w:type="dxa"/>
            <w:gridSpan w:val="2"/>
            <w:tcBorders>
              <w:top w:val="single" w:sz="5" w:space="0" w:color="DCDCDC"/>
              <w:left w:val="nil"/>
              <w:bottom w:val="single" w:sz="5" w:space="0" w:color="DCDCDC"/>
              <w:right w:val="single" w:sz="5" w:space="0" w:color="DCDCDC"/>
            </w:tcBorders>
            <w:shd w:val="clear" w:color="auto" w:fill="EDEDED"/>
          </w:tcPr>
          <w:p w:rsidR="005D4C6F" w:rsidRDefault="00F86A01">
            <w:pPr>
              <w:spacing w:after="0" w:line="259" w:lineRule="auto"/>
              <w:ind w:left="300" w:firstLine="0"/>
            </w:pPr>
            <w:r>
              <w:rPr>
                <w:sz w:val="20"/>
              </w:rPr>
              <w:t>ostatní</w:t>
            </w:r>
          </w:p>
        </w:tc>
      </w:tr>
      <w:tr w:rsidR="005D4C6F">
        <w:trPr>
          <w:trHeight w:val="334"/>
        </w:trPr>
        <w:tc>
          <w:tcPr>
            <w:tcW w:w="211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32" w:firstLine="0"/>
            </w:pPr>
            <w:r>
              <w:rPr>
                <w:sz w:val="20"/>
              </w:rPr>
              <w:t>Hodnota uschovaných předmětů do 10 mil. Kč</w:t>
            </w:r>
          </w:p>
        </w:tc>
        <w:tc>
          <w:tcPr>
            <w:tcW w:w="2818"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32" w:firstLine="0"/>
            </w:pPr>
            <w:r>
              <w:rPr>
                <w:sz w:val="20"/>
              </w:rPr>
              <w:t>Objem do 15 000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17"/>
              </w:rPr>
              <w:t>1 500 + 21 % DPH</w:t>
            </w:r>
          </w:p>
        </w:tc>
        <w:tc>
          <w:tcPr>
            <w:tcW w:w="80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2023" w:type="dxa"/>
            <w:gridSpan w:val="2"/>
            <w:tcBorders>
              <w:top w:val="single" w:sz="5" w:space="0" w:color="DCDCDC"/>
              <w:left w:val="nil"/>
              <w:bottom w:val="single" w:sz="5" w:space="0" w:color="DCDCDC"/>
              <w:right w:val="single" w:sz="5" w:space="0" w:color="DCDCDC"/>
            </w:tcBorders>
          </w:tcPr>
          <w:p w:rsidR="005D4C6F" w:rsidRDefault="00F86A01">
            <w:pPr>
              <w:spacing w:after="0" w:line="259" w:lineRule="auto"/>
              <w:ind w:left="0" w:firstLine="0"/>
            </w:pPr>
            <w:r>
              <w:rPr>
                <w:sz w:val="17"/>
              </w:rPr>
              <w:t>3 000 + 21 % DPH</w:t>
            </w:r>
          </w:p>
        </w:tc>
      </w:tr>
      <w:tr w:rsidR="005D4C6F">
        <w:trPr>
          <w:trHeight w:val="334"/>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32" w:firstLine="0"/>
            </w:pPr>
            <w:r>
              <w:rPr>
                <w:sz w:val="20"/>
              </w:rPr>
              <w:t>Objem od 15 000 do 30 000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17"/>
              </w:rPr>
              <w:t>2 500 + 21 % DPH</w:t>
            </w:r>
          </w:p>
        </w:tc>
        <w:tc>
          <w:tcPr>
            <w:tcW w:w="80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2023" w:type="dxa"/>
            <w:gridSpan w:val="2"/>
            <w:tcBorders>
              <w:top w:val="single" w:sz="5" w:space="0" w:color="DCDCDC"/>
              <w:left w:val="nil"/>
              <w:bottom w:val="single" w:sz="5" w:space="0" w:color="DCDCDC"/>
              <w:right w:val="single" w:sz="5" w:space="0" w:color="DCDCDC"/>
            </w:tcBorders>
          </w:tcPr>
          <w:p w:rsidR="005D4C6F" w:rsidRDefault="00F86A01">
            <w:pPr>
              <w:spacing w:after="0" w:line="259" w:lineRule="auto"/>
              <w:ind w:left="0" w:firstLine="0"/>
            </w:pPr>
            <w:r>
              <w:rPr>
                <w:sz w:val="17"/>
              </w:rPr>
              <w:t>5 000 + 21 % DPH</w:t>
            </w:r>
          </w:p>
        </w:tc>
      </w:tr>
      <w:tr w:rsidR="005D4C6F">
        <w:trPr>
          <w:trHeight w:val="334"/>
        </w:trPr>
        <w:tc>
          <w:tcPr>
            <w:tcW w:w="0" w:type="auto"/>
            <w:vMerge/>
            <w:tcBorders>
              <w:top w:val="nil"/>
              <w:left w:val="single" w:sz="5" w:space="0" w:color="DCDCDC"/>
              <w:bottom w:val="nil"/>
              <w:right w:val="single" w:sz="5" w:space="0" w:color="DCDCDC"/>
            </w:tcBorders>
          </w:tcPr>
          <w:p w:rsidR="005D4C6F" w:rsidRDefault="005D4C6F">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32" w:firstLine="0"/>
            </w:pPr>
            <w:r>
              <w:rPr>
                <w:sz w:val="20"/>
              </w:rPr>
              <w:t>Objem od 30 000 do 50 000 cm</w:t>
            </w:r>
            <w:r>
              <w:rPr>
                <w:sz w:val="20"/>
                <w:vertAlign w:val="superscript"/>
              </w:rPr>
              <w:t>3</w:t>
            </w:r>
            <w:r>
              <w:rPr>
                <w:sz w:val="20"/>
              </w:rPr>
              <w:t xml:space="preserve"> vč.</w:t>
            </w:r>
          </w:p>
        </w:tc>
        <w:tc>
          <w:tcPr>
            <w:tcW w:w="2824"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17"/>
              </w:rPr>
              <w:t>3 500 + 21 % DPH</w:t>
            </w:r>
          </w:p>
        </w:tc>
        <w:tc>
          <w:tcPr>
            <w:tcW w:w="80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2023" w:type="dxa"/>
            <w:gridSpan w:val="2"/>
            <w:tcBorders>
              <w:top w:val="single" w:sz="5" w:space="0" w:color="DCDCDC"/>
              <w:left w:val="nil"/>
              <w:bottom w:val="single" w:sz="5" w:space="0" w:color="DCDCDC"/>
              <w:right w:val="single" w:sz="5" w:space="0" w:color="DCDCDC"/>
            </w:tcBorders>
          </w:tcPr>
          <w:p w:rsidR="005D4C6F" w:rsidRDefault="00F86A01">
            <w:pPr>
              <w:spacing w:after="0" w:line="259" w:lineRule="auto"/>
              <w:ind w:left="0" w:firstLine="0"/>
            </w:pPr>
            <w:r>
              <w:rPr>
                <w:sz w:val="17"/>
              </w:rPr>
              <w:t>7 000 + 21 % DPH</w:t>
            </w:r>
          </w:p>
        </w:tc>
      </w:tr>
      <w:tr w:rsidR="005D4C6F">
        <w:trPr>
          <w:trHeight w:val="334"/>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2818"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32" w:firstLine="0"/>
            </w:pPr>
            <w:r>
              <w:rPr>
                <w:sz w:val="20"/>
              </w:rPr>
              <w:t>Objem přesahující 50 000 cm</w:t>
            </w:r>
            <w:r>
              <w:rPr>
                <w:sz w:val="20"/>
                <w:vertAlign w:val="superscript"/>
              </w:rPr>
              <w:t>3</w:t>
            </w:r>
          </w:p>
        </w:tc>
        <w:tc>
          <w:tcPr>
            <w:tcW w:w="2824"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29" w:firstLine="0"/>
              <w:jc w:val="center"/>
            </w:pPr>
            <w:r>
              <w:rPr>
                <w:sz w:val="17"/>
              </w:rPr>
              <w:t>4 500 + 21 % DPH</w:t>
            </w:r>
          </w:p>
        </w:tc>
        <w:tc>
          <w:tcPr>
            <w:tcW w:w="801"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2023" w:type="dxa"/>
            <w:gridSpan w:val="2"/>
            <w:tcBorders>
              <w:top w:val="single" w:sz="5" w:space="0" w:color="DCDCDC"/>
              <w:left w:val="nil"/>
              <w:bottom w:val="single" w:sz="5" w:space="0" w:color="DCDCDC"/>
              <w:right w:val="single" w:sz="5" w:space="0" w:color="DCDCDC"/>
            </w:tcBorders>
          </w:tcPr>
          <w:p w:rsidR="005D4C6F" w:rsidRDefault="00F86A01">
            <w:pPr>
              <w:spacing w:after="0" w:line="259" w:lineRule="auto"/>
              <w:ind w:left="0" w:firstLine="0"/>
            </w:pPr>
            <w:r>
              <w:rPr>
                <w:sz w:val="17"/>
              </w:rPr>
              <w:t>9 000 + 21 % DPH</w:t>
            </w:r>
          </w:p>
        </w:tc>
      </w:tr>
      <w:tr w:rsidR="005D4C6F">
        <w:trPr>
          <w:trHeight w:val="323"/>
        </w:trPr>
        <w:tc>
          <w:tcPr>
            <w:tcW w:w="4933"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32" w:firstLine="0"/>
            </w:pPr>
            <w:r>
              <w:rPr>
                <w:sz w:val="20"/>
              </w:rPr>
              <w:t>Hodnota uschovaných předmětů nad 10 mil. Kč</w:t>
            </w:r>
          </w:p>
        </w:tc>
        <w:tc>
          <w:tcPr>
            <w:tcW w:w="3624" w:type="dxa"/>
            <w:gridSpan w:val="3"/>
            <w:tcBorders>
              <w:top w:val="single" w:sz="5" w:space="0" w:color="DCDCDC"/>
              <w:left w:val="single" w:sz="5" w:space="0" w:color="DCDCDC"/>
              <w:bottom w:val="single" w:sz="5" w:space="0" w:color="DCDCDC"/>
              <w:right w:val="nil"/>
            </w:tcBorders>
          </w:tcPr>
          <w:p w:rsidR="005D4C6F" w:rsidRDefault="00F86A01">
            <w:pPr>
              <w:spacing w:after="0" w:line="259" w:lineRule="auto"/>
              <w:ind w:left="0" w:firstLine="0"/>
              <w:jc w:val="right"/>
            </w:pPr>
            <w:r>
              <w:rPr>
                <w:sz w:val="17"/>
              </w:rPr>
              <w:t>smluvní ceny + 21 % DPH</w:t>
            </w:r>
          </w:p>
        </w:tc>
        <w:tc>
          <w:tcPr>
            <w:tcW w:w="2023" w:type="dxa"/>
            <w:gridSpan w:val="2"/>
            <w:tcBorders>
              <w:top w:val="single" w:sz="5" w:space="0" w:color="DCDCDC"/>
              <w:left w:val="nil"/>
              <w:bottom w:val="single" w:sz="5" w:space="0" w:color="DCDCDC"/>
              <w:right w:val="single" w:sz="5" w:space="0" w:color="DCDCDC"/>
            </w:tcBorders>
          </w:tcPr>
          <w:p w:rsidR="005D4C6F" w:rsidRDefault="005D4C6F">
            <w:pPr>
              <w:spacing w:after="160" w:line="259" w:lineRule="auto"/>
              <w:ind w:left="0" w:firstLine="0"/>
            </w:pPr>
          </w:p>
        </w:tc>
      </w:tr>
      <w:tr w:rsidR="005D4C6F">
        <w:trPr>
          <w:gridAfter w:val="1"/>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Telekomunikační služby v souvislosti s bankovními informacemi</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Zpráva podaná SWIFT</w:t>
            </w:r>
          </w:p>
        </w:tc>
        <w:tc>
          <w:tcPr>
            <w:tcW w:w="370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150 + 21 % DPH</w:t>
            </w:r>
          </w:p>
        </w:tc>
      </w:tr>
      <w:tr w:rsidR="005D4C6F">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Zpráva podaná telefonem - za 1 min.</w:t>
            </w:r>
          </w:p>
        </w:tc>
        <w:tc>
          <w:tcPr>
            <w:tcW w:w="370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30 + 21 % DPH</w:t>
            </w:r>
          </w:p>
        </w:tc>
      </w:tr>
      <w:tr w:rsidR="005D4C6F">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Faxová zpráva - za 1 stránku</w:t>
            </w:r>
          </w:p>
        </w:tc>
        <w:tc>
          <w:tcPr>
            <w:tcW w:w="370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30 + 21 % DPH</w:t>
            </w:r>
          </w:p>
        </w:tc>
      </w:tr>
      <w:tr w:rsidR="005D4C6F">
        <w:trPr>
          <w:gridAfter w:val="1"/>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Za zprávu podanou e-mailem</w:t>
            </w:r>
          </w:p>
        </w:tc>
        <w:tc>
          <w:tcPr>
            <w:tcW w:w="3705" w:type="dxa"/>
            <w:gridSpan w:val="3"/>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bl>
    <w:p w:rsidR="005D4C6F" w:rsidRDefault="00F86A01">
      <w:pPr>
        <w:pStyle w:val="Nadpis3"/>
        <w:ind w:left="151"/>
      </w:pPr>
      <w:r>
        <w:t>Ostatní služby</w:t>
      </w:r>
    </w:p>
    <w:tbl>
      <w:tblPr>
        <w:tblStyle w:val="TableGrid"/>
        <w:tblW w:w="10580" w:type="dxa"/>
        <w:tblInd w:w="-58" w:type="dxa"/>
        <w:tblCellMar>
          <w:top w:w="69" w:type="dxa"/>
          <w:left w:w="37" w:type="dxa"/>
          <w:right w:w="115" w:type="dxa"/>
        </w:tblCellMar>
        <w:tblLook w:val="04A0" w:firstRow="1" w:lastRow="0" w:firstColumn="1" w:lastColumn="0" w:noHBand="0" w:noVBand="1"/>
      </w:tblPr>
      <w:tblGrid>
        <w:gridCol w:w="6874"/>
        <w:gridCol w:w="1426"/>
        <w:gridCol w:w="2279"/>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40" w:firstLine="0"/>
              <w:jc w:val="center"/>
            </w:pPr>
            <w:r>
              <w:rPr>
                <w:sz w:val="17"/>
              </w:rPr>
              <w:t>150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40" w:firstLine="0"/>
              <w:jc w:val="center"/>
            </w:pPr>
            <w:r>
              <w:rPr>
                <w:sz w:val="17"/>
              </w:rPr>
              <w:t>200</w:t>
            </w:r>
          </w:p>
        </w:tc>
      </w:tr>
      <w:tr w:rsidR="005D4C6F">
        <w:trPr>
          <w:trHeight w:val="715"/>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40" w:firstLine="0"/>
              <w:jc w:val="center"/>
            </w:pPr>
            <w:r>
              <w:rPr>
                <w:sz w:val="17"/>
              </w:rPr>
              <w:t>150</w:t>
            </w:r>
          </w:p>
        </w:tc>
      </w:tr>
      <w:tr w:rsidR="005D4C6F">
        <w:trPr>
          <w:trHeight w:val="715"/>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140" w:firstLine="0"/>
              <w:jc w:val="center"/>
            </w:pPr>
            <w:r>
              <w:rPr>
                <w:sz w:val="17"/>
              </w:rPr>
              <w:t>200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44" w:firstLine="0"/>
              <w:jc w:val="center"/>
            </w:pPr>
            <w:r>
              <w:rPr>
                <w:sz w:val="17"/>
              </w:rPr>
              <w:t>500 + 21 % DPH</w:t>
            </w:r>
          </w:p>
        </w:tc>
      </w:tr>
      <w:tr w:rsidR="005D4C6F">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5D4C6F" w:rsidRDefault="00F86A01">
            <w:pPr>
              <w:spacing w:after="0" w:line="259" w:lineRule="auto"/>
              <w:ind w:left="363" w:firstLine="0"/>
            </w:pPr>
            <w:r>
              <w:rPr>
                <w:sz w:val="17"/>
              </w:rPr>
              <w:t>75</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5D4C6F" w:rsidRDefault="00F86A01">
            <w:pPr>
              <w:spacing w:after="0" w:line="259" w:lineRule="auto"/>
              <w:ind w:left="0" w:firstLine="0"/>
            </w:pPr>
            <w:r>
              <w:rPr>
                <w:sz w:val="17"/>
              </w:rPr>
              <w:t>75 + 21 % DPH</w:t>
            </w:r>
          </w:p>
        </w:tc>
      </w:tr>
    </w:tbl>
    <w:p w:rsidR="005D4C6F" w:rsidRDefault="00F86A01">
      <w:pPr>
        <w:ind w:left="53" w:right="10"/>
      </w:pPr>
      <w:r>
        <w:t>1) Jedná-li se o zdanitelné plnění podléhající DPH dle platného znění zákona č. 235/2004 Sb., o dani z přidané hodnoty, uplatní se u položky sazba daně ve výši 21 %.</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4"/>
        <w:gridCol w:w="3705"/>
      </w:tblGrid>
      <w:tr w:rsidR="005D4C6F">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0,2 % ze spravované částky, min. 6 000, max. 20 000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individuálně</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1 500</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0,2 % ze spravované částky, min. 6 000</w:t>
            </w:r>
          </w:p>
        </w:tc>
      </w:tr>
      <w:tr w:rsidR="005D4C6F">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519"/>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Úschovu věcí movitých zastavených ve prospěch KB (kromě nadměrně objemových věcí, např.</w:t>
            </w:r>
          </w:p>
          <w:p w:rsidR="005D4C6F" w:rsidRDefault="00F86A01">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300 ročně + 21 % DPH</w:t>
            </w:r>
          </w:p>
        </w:tc>
      </w:tr>
      <w:tr w:rsidR="005D4C6F">
        <w:trPr>
          <w:trHeight w:val="323"/>
        </w:trPr>
        <w:tc>
          <w:tcPr>
            <w:tcW w:w="6874"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300 ročně + 21 % DPH</w:t>
            </w:r>
          </w:p>
        </w:tc>
      </w:tr>
      <w:tr w:rsidR="005D4C6F">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bl>
    <w:p w:rsidR="005D4C6F" w:rsidRDefault="00F86A01">
      <w:pPr>
        <w:ind w:left="53" w:right="10"/>
      </w:pPr>
      <w:r>
        <w:t>1) Stanoví se pevnou částkou bez ohledu na výši obchodu a hodnotu zástavy za každý i započatý rok.</w:t>
      </w:r>
    </w:p>
    <w:p w:rsidR="005D4C6F" w:rsidRDefault="00F86A01">
      <w:pPr>
        <w:spacing w:after="605" w:line="265" w:lineRule="auto"/>
        <w:ind w:left="10" w:right="87"/>
        <w:jc w:val="right"/>
      </w:pPr>
      <w:r>
        <w:rPr>
          <w:rFonts w:ascii="Tahoma" w:eastAsia="Tahoma" w:hAnsi="Tahoma" w:cs="Tahoma"/>
          <w:sz w:val="19"/>
        </w:rPr>
        <w:t xml:space="preserve">JIŽ NENABÍZENÉ SLUŽBY  </w:t>
      </w:r>
    </w:p>
    <w:p w:rsidR="005D4C6F" w:rsidRDefault="00F86A01">
      <w:pPr>
        <w:pStyle w:val="Nadpis1"/>
        <w:spacing w:after="154"/>
        <w:ind w:left="-5"/>
      </w:pPr>
      <w:r>
        <w:t>JIŽ NENABÍZENÉ SLUŽBY</w:t>
      </w:r>
    </w:p>
    <w:p w:rsidR="005D4C6F" w:rsidRDefault="00F86A01">
      <w:pPr>
        <w:pStyle w:val="Nadpis2"/>
        <w:ind w:left="151"/>
      </w:pPr>
      <w:r>
        <w:t>Každodenní bankovnictví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5D4C6F" w:rsidRDefault="00F86A01">
            <w:pPr>
              <w:spacing w:after="0" w:line="259" w:lineRule="auto"/>
              <w:ind w:left="0" w:firstLine="0"/>
            </w:pPr>
            <w:r>
              <w:rPr>
                <w:b/>
                <w:sz w:val="20"/>
              </w:rPr>
              <w:t>Debetní karty</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1" w:firstLine="0"/>
              <w:jc w:val="center"/>
            </w:pPr>
            <w:r>
              <w:rPr>
                <w:sz w:val="20"/>
              </w:rPr>
              <w:t>Karta Dynamic</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elektronická</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Roční cena karty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270</w:t>
            </w:r>
          </w:p>
        </w:tc>
      </w:tr>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Výběr hotovosti</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z cizího bankomatu v ČR </w:t>
            </w:r>
            <w:r>
              <w:rPr>
                <w:sz w:val="20"/>
                <w:vertAlign w:val="superscript"/>
              </w:rPr>
              <w:footnoteReference w:id="6"/>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39</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99</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149</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Vklad hotovosti</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Dotaz na zůstatek</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25</w:t>
            </w:r>
          </w:p>
        </w:tc>
      </w:tr>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Výpisy</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jednoho výpisu z platební karty elektronicky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5</w:t>
            </w:r>
          </w:p>
        </w:tc>
      </w:tr>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PIN</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100</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50 </w:t>
            </w:r>
            <w:r>
              <w:rPr>
                <w:sz w:val="23"/>
                <w:vertAlign w:val="superscript"/>
              </w:rPr>
              <w:footnoteReference w:id="7"/>
            </w:r>
            <w:r>
              <w:rPr>
                <w:sz w:val="23"/>
                <w:vertAlign w:val="superscript"/>
              </w:rPr>
              <w:t>)</w:t>
            </w:r>
          </w:p>
        </w:tc>
      </w:tr>
      <w:tr w:rsidR="005D4C6F">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zdarma</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29</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79</w:t>
            </w:r>
          </w:p>
        </w:tc>
      </w:tr>
      <w:tr w:rsidR="005D4C6F">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Ostatní</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29</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200 </w:t>
            </w:r>
            <w:r>
              <w:rPr>
                <w:sz w:val="23"/>
                <w:vertAlign w:val="superscript"/>
              </w:rPr>
              <w:t>2)</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0" w:firstLine="0"/>
              <w:jc w:val="center"/>
            </w:pPr>
            <w:r>
              <w:rPr>
                <w:sz w:val="17"/>
              </w:rPr>
              <w:t xml:space="preserve">3 500 </w:t>
            </w:r>
            <w:r>
              <w:rPr>
                <w:sz w:val="23"/>
                <w:vertAlign w:val="superscript"/>
              </w:rPr>
              <w:t>2)</w:t>
            </w:r>
          </w:p>
        </w:tc>
      </w:tr>
      <w:tr w:rsidR="005D4C6F">
        <w:trPr>
          <w:trHeight w:val="519"/>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4 000</w:t>
            </w:r>
          </w:p>
        </w:tc>
      </w:tr>
      <w:tr w:rsidR="005D4C6F">
        <w:trPr>
          <w:trHeight w:val="530"/>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62" w:firstLine="0"/>
              <w:jc w:val="center"/>
            </w:pPr>
            <w:r>
              <w:rPr>
                <w:sz w:val="20"/>
              </w:rPr>
              <w:t>Příchozí úhrada - Platba na kartu ve prospěch běžného účtu vedeného u KB, k němuž je karta poskytnuta</w:t>
            </w:r>
          </w:p>
          <w:p w:rsidR="005D4C6F" w:rsidRDefault="00F86A01">
            <w:pPr>
              <w:spacing w:after="0" w:line="259" w:lineRule="auto"/>
              <w:ind w:left="133" w:firstLine="0"/>
            </w:pPr>
            <w: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zdarma</w:t>
            </w:r>
          </w:p>
        </w:tc>
      </w:tr>
      <w:tr w:rsidR="005D4C6F">
        <w:trPr>
          <w:trHeight w:val="530"/>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33" w:firstLine="0"/>
            </w:pPr>
            <w:r>
              <w:rPr>
                <w:sz w:val="20"/>
              </w:rPr>
              <w:t xml:space="preserve">Příchozí úhrada - Expresní platba na kartu ve prospěch běžného účtu vedeného u KB, k němuž je karta poskytnuta </w:t>
            </w:r>
            <w:r>
              <w:rPr>
                <w:sz w:val="20"/>
                <w:vertAlign w:val="superscript"/>
              </w:rPr>
              <w:footnoteReference w:id="8"/>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49" w:firstLine="0"/>
              <w:jc w:val="center"/>
            </w:pPr>
            <w:r>
              <w:rPr>
                <w:sz w:val="17"/>
              </w:rPr>
              <w:t>1 %, min. 29</w:t>
            </w:r>
          </w:p>
        </w:tc>
      </w:tr>
    </w:tbl>
    <w:p w:rsidR="005D4C6F" w:rsidRDefault="00F86A01">
      <w:pPr>
        <w:spacing w:after="303" w:line="265" w:lineRule="auto"/>
        <w:ind w:left="10" w:right="87"/>
        <w:jc w:val="right"/>
      </w:pPr>
      <w:r>
        <w:rPr>
          <w:rFonts w:ascii="Tahoma" w:eastAsia="Tahoma" w:hAnsi="Tahoma" w:cs="Tahoma"/>
          <w:sz w:val="19"/>
        </w:rPr>
        <w:t xml:space="preserve">JIŽ NENABÍZENÉ SLUŽBY  </w:t>
      </w:r>
    </w:p>
    <w:tbl>
      <w:tblPr>
        <w:tblStyle w:val="TableGrid"/>
        <w:tblW w:w="10580" w:type="dxa"/>
        <w:tblInd w:w="-58" w:type="dxa"/>
        <w:tblCellMar>
          <w:top w:w="69" w:type="dxa"/>
          <w:left w:w="6" w:type="dxa"/>
          <w:right w:w="115" w:type="dxa"/>
        </w:tblCellMar>
        <w:tblLook w:val="04A0" w:firstRow="1" w:lastRow="0" w:firstColumn="1" w:lastColumn="0" w:noHBand="0" w:noVBand="1"/>
      </w:tblPr>
      <w:tblGrid>
        <w:gridCol w:w="3699"/>
        <w:gridCol w:w="3440"/>
        <w:gridCol w:w="1530"/>
        <w:gridCol w:w="1910"/>
      </w:tblGrid>
      <w:tr w:rsidR="005D4C6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156" w:firstLine="0"/>
            </w:pPr>
            <w:r>
              <w:rPr>
                <w:b/>
                <w:sz w:val="20"/>
              </w:rPr>
              <w:t>Zasílání výpisů z účtu</w:t>
            </w:r>
          </w:p>
        </w:tc>
        <w:tc>
          <w:tcPr>
            <w:tcW w:w="4970" w:type="dxa"/>
            <w:gridSpan w:val="2"/>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4970" w:type="dxa"/>
            <w:gridSpan w:val="2"/>
            <w:tcBorders>
              <w:top w:val="single" w:sz="5" w:space="0" w:color="DCDCDC"/>
              <w:left w:val="single" w:sz="5" w:space="0" w:color="DCDCDC"/>
              <w:bottom w:val="single" w:sz="5" w:space="0" w:color="DCDCDC"/>
              <w:right w:val="nil"/>
            </w:tcBorders>
            <w:shd w:val="clear" w:color="auto" w:fill="EDEDED"/>
          </w:tcPr>
          <w:p w:rsidR="005D4C6F" w:rsidRDefault="00F86A01">
            <w:pPr>
              <w:spacing w:after="0" w:line="259" w:lineRule="auto"/>
              <w:ind w:left="2116" w:firstLine="0"/>
              <w:jc w:val="center"/>
            </w:pPr>
            <w:r>
              <w:rPr>
                <w:sz w:val="20"/>
              </w:rPr>
              <w:t>Měsíční cena</w:t>
            </w:r>
          </w:p>
        </w:tc>
        <w:tc>
          <w:tcPr>
            <w:tcW w:w="1910"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r w:rsidR="005D4C6F">
        <w:trPr>
          <w:trHeight w:val="323"/>
        </w:trPr>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207" w:firstLine="0"/>
              <w:jc w:val="center"/>
            </w:pPr>
            <w:r>
              <w:rPr>
                <w:sz w:val="20"/>
              </w:rPr>
              <w:t>Osobní odběr na pobočce</w:t>
            </w:r>
          </w:p>
        </w:tc>
        <w:tc>
          <w:tcPr>
            <w:tcW w:w="1530" w:type="dxa"/>
            <w:tcBorders>
              <w:top w:val="single" w:sz="5" w:space="0" w:color="DCDCDC"/>
              <w:left w:val="single" w:sz="5" w:space="0" w:color="DCDCDC"/>
              <w:bottom w:val="single" w:sz="5" w:space="0" w:color="DCDCDC"/>
              <w:right w:val="nil"/>
            </w:tcBorders>
            <w:shd w:val="clear" w:color="auto" w:fill="EDEDED"/>
          </w:tcPr>
          <w:p w:rsidR="005D4C6F" w:rsidRDefault="005D4C6F">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shd w:val="clear" w:color="auto" w:fill="EDEDED"/>
          </w:tcPr>
          <w:p w:rsidR="005D4C6F" w:rsidRDefault="00F86A01">
            <w:pPr>
              <w:spacing w:after="0" w:line="259" w:lineRule="auto"/>
              <w:ind w:left="0" w:firstLine="0"/>
            </w:pPr>
            <w:r>
              <w:rPr>
                <w:sz w:val="20"/>
              </w:rPr>
              <w:t>Poštou</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156"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205" w:firstLine="0"/>
              <w:jc w:val="center"/>
            </w:pPr>
            <w:r>
              <w:rPr>
                <w:sz w:val="17"/>
              </w:rPr>
              <w:t>360</w:t>
            </w:r>
          </w:p>
        </w:tc>
        <w:tc>
          <w:tcPr>
            <w:tcW w:w="1530" w:type="dxa"/>
            <w:tcBorders>
              <w:top w:val="single" w:sz="5" w:space="0" w:color="DCDCDC"/>
              <w:left w:val="single" w:sz="5" w:space="0" w:color="DCDCDC"/>
              <w:bottom w:val="single" w:sz="5" w:space="0" w:color="DCDCDC"/>
              <w:right w:val="nil"/>
            </w:tcBorders>
          </w:tcPr>
          <w:p w:rsidR="005D4C6F" w:rsidRDefault="005D4C6F">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tcPr>
          <w:p w:rsidR="005D4C6F" w:rsidRDefault="00F86A01">
            <w:pPr>
              <w:spacing w:after="0" w:line="259" w:lineRule="auto"/>
              <w:ind w:left="121" w:firstLine="0"/>
            </w:pPr>
            <w:r>
              <w:rPr>
                <w:sz w:val="17"/>
              </w:rPr>
              <w:t>160</w:t>
            </w:r>
          </w:p>
        </w:tc>
      </w:tr>
    </w:tbl>
    <w:p w:rsidR="005D4C6F" w:rsidRDefault="00F86A01">
      <w:pPr>
        <w:pStyle w:val="Nadpis2"/>
        <w:ind w:left="151"/>
      </w:pPr>
      <w:r>
        <w:t>Financování</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300 měsíčně</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600 měsíčně</w:t>
            </w:r>
          </w:p>
        </w:tc>
      </w:tr>
    </w:tbl>
    <w:p w:rsidR="005D4C6F" w:rsidRDefault="00F86A01">
      <w:pPr>
        <w:ind w:left="53" w:right="10"/>
      </w:pPr>
      <w:r>
        <w:t>1) V případě, že je EU Profi úvěr poskytován zároveň s Profi úvěrem nebo s druhým EU Profi úvěrem, je spravování úvěru s kratší splatností zdarma.</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200 měsíčně</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300 měsíčně</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600 měsíčně</w:t>
            </w:r>
          </w:p>
        </w:tc>
      </w:tr>
    </w:tbl>
    <w:p w:rsidR="005D4C6F" w:rsidRDefault="00F86A01">
      <w:pPr>
        <w:ind w:left="53" w:right="10"/>
      </w:pPr>
      <w:r>
        <w:t>1) Cena je inkasována od data uzavření smlouvy o úvěru za každý i započatý měsíc po celou dobu trvání úvěrového obchodu.</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53" w:firstLine="0"/>
              <w:jc w:val="center"/>
            </w:pPr>
            <w:r>
              <w:rPr>
                <w:sz w:val="17"/>
              </w:rPr>
              <w:t>600 měsíčně</w:t>
            </w:r>
          </w:p>
        </w:tc>
      </w:tr>
      <w:tr w:rsidR="005D4C6F">
        <w:trPr>
          <w:trHeight w:val="530"/>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0" w:line="259" w:lineRule="auto"/>
              <w:ind w:left="53" w:firstLine="0"/>
              <w:jc w:val="center"/>
            </w:pPr>
            <w:r>
              <w:rPr>
                <w:sz w:val="17"/>
              </w:rPr>
              <w:t>900 měsíčně</w:t>
            </w:r>
          </w:p>
        </w:tc>
      </w:tr>
    </w:tbl>
    <w:p w:rsidR="005D4C6F" w:rsidRDefault="00F86A01" w:rsidP="00F86A01">
      <w:pPr>
        <w:ind w:left="199" w:right="966" w:hanging="156"/>
      </w:pPr>
      <w:r>
        <w:rPr>
          <w:szCs w:val="15"/>
          <w:u w:color="000000"/>
        </w:rPr>
        <w:t>1)</w:t>
      </w:r>
      <w:r>
        <w:rPr>
          <w:szCs w:val="15"/>
          <w:u w:color="000000"/>
        </w:rPr>
        <w:tab/>
      </w:r>
      <w:r>
        <w:t>Cena je inkasována od data účinnosti smlouvy o úvěru za každý i započatý měsíc po celou dobu trvání úvěrového obchodu.</w:t>
      </w:r>
    </w:p>
    <w:p w:rsidR="005D4C6F" w:rsidRDefault="00F86A01" w:rsidP="00F86A01">
      <w:pPr>
        <w:spacing w:after="316"/>
        <w:ind w:left="199" w:right="966" w:hanging="156"/>
      </w:pPr>
      <w:r>
        <w:rPr>
          <w:szCs w:val="15"/>
          <w:u w:color="000000"/>
        </w:rPr>
        <w:t>2)</w:t>
      </w:r>
      <w:r>
        <w:rPr>
          <w:szCs w:val="15"/>
          <w:u w:color="000000"/>
        </w:rPr>
        <w:tab/>
      </w: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5D4C6F" w:rsidRDefault="00F86A01">
      <w:pPr>
        <w:pStyle w:val="Nadpis2"/>
        <w:ind w:left="151"/>
      </w:pPr>
      <w:r>
        <w:t>Spoření a pojištění</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3699"/>
        <w:gridCol w:w="3440"/>
        <w:gridCol w:w="3440"/>
      </w:tblGrid>
      <w:tr w:rsidR="005D4C6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Profi Merlin - individuální - varianta 2</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ročně 588</w:t>
            </w:r>
          </w:p>
        </w:tc>
      </w:tr>
      <w:tr w:rsidR="005D4C6F">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5D4C6F" w:rsidRDefault="005D4C6F">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5D4C6F">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5D4C6F" w:rsidRDefault="00F86A01">
            <w:pPr>
              <w:spacing w:after="0" w:line="259" w:lineRule="auto"/>
              <w:ind w:left="53" w:firstLine="0"/>
              <w:jc w:val="center"/>
            </w:pPr>
            <w:r>
              <w:rPr>
                <w:sz w:val="20"/>
              </w:rPr>
              <w:t>Profi Patron (kolektivní) - varianta 2</w:t>
            </w:r>
          </w:p>
        </w:tc>
      </w:tr>
      <w:tr w:rsidR="005D4C6F">
        <w:trPr>
          <w:trHeight w:val="323"/>
        </w:trPr>
        <w:tc>
          <w:tcPr>
            <w:tcW w:w="3699"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ročně 1 940</w:t>
            </w:r>
          </w:p>
        </w:tc>
      </w:tr>
    </w:tbl>
    <w:p w:rsidR="005D4C6F" w:rsidRDefault="00F86A01">
      <w:pPr>
        <w:pStyle w:val="Nadpis2"/>
        <w:ind w:left="151"/>
      </w:pPr>
      <w:r>
        <w:t>Ostatní služby</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10 000</w:t>
            </w: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5D4C6F" w:rsidRDefault="00F86A01">
            <w:pPr>
              <w:spacing w:after="0" w:line="259" w:lineRule="auto"/>
              <w:ind w:left="49" w:firstLine="0"/>
              <w:jc w:val="center"/>
            </w:pPr>
            <w:r>
              <w:rPr>
                <w:sz w:val="17"/>
              </w:rPr>
              <w:t>400</w:t>
            </w:r>
          </w:p>
        </w:tc>
      </w:tr>
    </w:tbl>
    <w:p w:rsidR="005D4C6F" w:rsidRDefault="00F86A01">
      <w:pPr>
        <w:spacing w:after="605" w:line="265" w:lineRule="auto"/>
        <w:ind w:left="10" w:right="87"/>
        <w:jc w:val="right"/>
      </w:pPr>
      <w:r>
        <w:rPr>
          <w:rFonts w:ascii="Tahoma" w:eastAsia="Tahoma" w:hAnsi="Tahoma" w:cs="Tahoma"/>
          <w:sz w:val="19"/>
        </w:rPr>
        <w:t xml:space="preserve">ZKRATKY A VŠEOBECNÁ USTANOVENÍ  </w:t>
      </w:r>
    </w:p>
    <w:p w:rsidR="005D4C6F" w:rsidRDefault="00F86A01">
      <w:pPr>
        <w:pStyle w:val="Nadpis1"/>
        <w:ind w:left="-5"/>
      </w:pPr>
      <w:r>
        <w:t>ZKRATKY A VŠEOBECNÁ USTANOVENÍ</w:t>
      </w:r>
    </w:p>
    <w:p w:rsidR="005D4C6F" w:rsidRDefault="00F86A01">
      <w:pPr>
        <w:spacing w:after="236" w:line="259" w:lineRule="auto"/>
        <w:ind w:left="0" w:firstLine="0"/>
      </w:pPr>
      <w:r>
        <w:rPr>
          <w:rFonts w:ascii="Calibri" w:eastAsia="Calibri" w:hAnsi="Calibri" w:cs="Calibri"/>
          <w:noProof/>
          <w:sz w:val="22"/>
        </w:rPr>
        <mc:AlternateContent>
          <mc:Choice Requires="wpg">
            <w:drawing>
              <wp:inline distT="0" distB="0" distL="0" distR="0">
                <wp:extent cx="6718051" cy="7317"/>
                <wp:effectExtent l="0" t="0" r="0" b="0"/>
                <wp:docPr id="80908" name="Group 80908"/>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86888" name="Shape 86888"/>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1C156ADA" id="Group 8090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">
                <v:shape id="Shape 86888"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ZE8YA&#10;AADeAAAADwAAAGRycy9kb3ducmV2LnhtbERP3WrCMBS+F/YO4Qx2IzN1zlo6o4wNx0Bwte4Bzpqz&#10;pticlCbTbk9vLgZefnz/y/VgW3Gi3jeOFUwnCQjiyumGawWfh819BsIHZI2tY1LwSx7Wq5vREnPt&#10;zrynUxlqEUPY56jAhNDlUvrKkEU/cR1x5L5dbzFE2NdS93iO4baVD0mSSosNxwaDHb0Yqo7lj1Ww&#10;KN+KGf19mW06nn/sHl+Lw3ZcKHV3Ozw/gQg0hKv43/2uFWRplsW98U68An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cZE8YAAADe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39"/>
      </w:tblGrid>
      <w:tr w:rsidR="005D4C6F">
        <w:trPr>
          <w:trHeight w:val="386"/>
        </w:trPr>
        <w:tc>
          <w:tcPr>
            <w:tcW w:w="10580" w:type="dxa"/>
            <w:gridSpan w:val="2"/>
            <w:tcBorders>
              <w:top w:val="nil"/>
              <w:left w:val="nil"/>
              <w:bottom w:val="nil"/>
              <w:right w:val="nil"/>
            </w:tcBorders>
            <w:shd w:val="clear" w:color="auto" w:fill="EE6B61"/>
          </w:tcPr>
          <w:p w:rsidR="005D4C6F" w:rsidRDefault="00F86A01">
            <w:pPr>
              <w:spacing w:after="0" w:line="259" w:lineRule="auto"/>
              <w:ind w:left="156" w:firstLine="0"/>
            </w:pPr>
            <w:r>
              <w:rPr>
                <w:b/>
                <w:color w:val="F5F5F5"/>
                <w:sz w:val="26"/>
              </w:rPr>
              <w:t>Vysvětlení použitých zkratek a pojmů</w:t>
            </w:r>
          </w:p>
        </w:tc>
      </w:tr>
      <w:tr w:rsidR="005D4C6F">
        <w:trPr>
          <w:trHeight w:val="473"/>
        </w:trPr>
        <w:tc>
          <w:tcPr>
            <w:tcW w:w="1740" w:type="dxa"/>
            <w:tcBorders>
              <w:top w:val="nil"/>
              <w:left w:val="nil"/>
              <w:bottom w:val="single" w:sz="5" w:space="0" w:color="DCDCDC"/>
              <w:right w:val="nil"/>
            </w:tcBorders>
            <w:vAlign w:val="bottom"/>
          </w:tcPr>
          <w:p w:rsidR="005D4C6F" w:rsidRDefault="00F86A01">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5D4C6F" w:rsidRDefault="00F86A01">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Automatic teller machine (peněžní automat), bankomat.</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Alikvotní úrokový výnos ke dni vypořádání obchodu.</w:t>
            </w:r>
          </w:p>
        </w:tc>
      </w:tr>
      <w:tr w:rsidR="005D4C6F">
        <w:trPr>
          <w:trHeight w:val="47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Burza cenných papírů Praha, a.s.</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Bytové družstvo.</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Bankovní Elektronický Systém - formát přenosu dat mezi klientem a KB v rámci přímého bankovnictví.</w:t>
            </w:r>
          </w:p>
        </w:tc>
      </w:tr>
      <w:tr w:rsidR="005D4C6F">
        <w:trPr>
          <w:trHeight w:val="47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5D4C6F">
        <w:trPr>
          <w:trHeight w:val="519"/>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BIC- Bank Identifier Code - swiftová adresa banky.</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Centrální depozitář cenných papírů, a.s.</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Listinný cenný papír, zaknihovaný cenný papír nebo imobilizovaný cenný papír.</w:t>
            </w:r>
          </w:p>
        </w:tc>
      </w:tr>
      <w:tr w:rsidR="005D4C6F">
        <w:trPr>
          <w:trHeight w:val="47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Centrála Komerční banky, a.s.</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Česká národní banka.</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Electronic Data Interchange Bankovní Elektronický Systém - formát přenosu dat mezi klientem a bankou v rámci přímého bankovnictví.</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Evropská investiční banka.</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Expresní linka KB.</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Fond národního majetku.</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Fyzická osoba.</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Fyzická osoba podnikatel.</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Slouží k jednoznačné identifikaci účtu klienta, země a banky, ve které je účet klienta veden (z anglického International Bank Account Number).</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International Security Identification Number - mezinárodní identifikace investičního cenného papíru.</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JB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Jiná banka.</w:t>
            </w:r>
          </w:p>
        </w:tc>
      </w:tr>
      <w:tr w:rsidR="005D4C6F">
        <w:trPr>
          <w:trHeight w:val="47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KB Penzijní společnost, a.s.</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Komerční banka, a.s., pobočka zahraničnej banky.</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Kompatibilní Média - formát předávání dat.</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Komerční pojišťovna, a.s.</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Ministerstvo financí České republiky.</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Modrá pyramida stavební spořitelna, a.s.</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Message Type - typ zprávy.</w:t>
            </w:r>
          </w:p>
        </w:tc>
      </w:tr>
      <w:tr w:rsidR="005D4C6F">
        <w:trPr>
          <w:trHeight w:val="1164"/>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5D4C6F">
        <w:trPr>
          <w:trHeight w:val="645"/>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5D4C6F">
        <w:trPr>
          <w:trHeight w:val="323"/>
        </w:trPr>
        <w:tc>
          <w:tcPr>
            <w:tcW w:w="174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Obchodní Divize.</w:t>
            </w:r>
          </w:p>
        </w:tc>
      </w:tr>
    </w:tbl>
    <w:p w:rsidR="005D4C6F" w:rsidRDefault="00F86A01">
      <w:pPr>
        <w:spacing w:after="301" w:line="265" w:lineRule="auto"/>
        <w:ind w:left="-5"/>
      </w:pPr>
      <w:r>
        <w:rPr>
          <w:rFonts w:ascii="Tahoma" w:eastAsia="Tahoma" w:hAnsi="Tahoma" w:cs="Tahoma"/>
          <w:sz w:val="19"/>
        </w:rPr>
        <w:t xml:space="preserve">ZKRATKY A VŠEOBECNÁ USTANOVENÍ  </w:t>
      </w:r>
    </w:p>
    <w:tbl>
      <w:tblPr>
        <w:tblStyle w:val="TableGrid"/>
        <w:tblW w:w="10580" w:type="dxa"/>
        <w:tblInd w:w="-7900" w:type="dxa"/>
        <w:tblCellMar>
          <w:top w:w="66" w:type="dxa"/>
          <w:right w:w="32" w:type="dxa"/>
        </w:tblCellMar>
        <w:tblLook w:val="04A0" w:firstRow="1" w:lastRow="0" w:firstColumn="1" w:lastColumn="0" w:noHBand="0" w:noVBand="1"/>
      </w:tblPr>
      <w:tblGrid>
        <w:gridCol w:w="680"/>
        <w:gridCol w:w="1060"/>
        <w:gridCol w:w="8839"/>
        <w:gridCol w:w="1"/>
      </w:tblGrid>
      <w:tr w:rsidR="005D4C6F">
        <w:trPr>
          <w:gridAfter w:val="1"/>
          <w:trHeight w:val="360"/>
        </w:trPr>
        <w:tc>
          <w:tcPr>
            <w:tcW w:w="1740" w:type="dxa"/>
            <w:gridSpan w:val="2"/>
            <w:tcBorders>
              <w:top w:val="single" w:sz="2" w:space="0" w:color="DCDCDC"/>
              <w:left w:val="nil"/>
              <w:bottom w:val="single" w:sz="5" w:space="0" w:color="DCDCDC"/>
              <w:right w:val="nil"/>
            </w:tcBorders>
          </w:tcPr>
          <w:p w:rsidR="005D4C6F" w:rsidRDefault="00F86A01">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5D4C6F" w:rsidRDefault="00F86A01">
            <w:pPr>
              <w:spacing w:after="0" w:line="259" w:lineRule="auto"/>
              <w:ind w:left="0" w:firstLine="0"/>
            </w:pPr>
            <w:r>
              <w:rPr>
                <w:sz w:val="17"/>
              </w:rPr>
              <w:t>Elektronické osvědčení, které propojuje identifikační údaje klienta s jeho veřejným elektronickým klíčem.</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Ročně.</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Osobní identifikační číslo (Personal Identification Number).</w:t>
            </w:r>
          </w:p>
        </w:tc>
      </w:tr>
      <w:tr w:rsidR="005D4C6F">
        <w:trPr>
          <w:gridAfter w:val="1"/>
          <w:trHeight w:val="47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Poplatky za výlohy jiných tuzemských i zahraničních bank platí plátce. Tento typ poplatku nelze označit u plateb v rámci EHP.</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Právnická osoba.</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Pobočka KB.</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Request for Transfer - žádost o provedení platby ve formátu SWIFT MT 101.</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Pozastavení výkonu práva vlastníka nakládat s investičním nástrojem.</w:t>
            </w:r>
          </w:p>
        </w:tc>
      </w:tr>
      <w:tr w:rsidR="005D4C6F">
        <w:trPr>
          <w:gridAfter w:val="1"/>
          <w:trHeight w:val="519"/>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5D4C6F">
        <w:trPr>
          <w:gridAfter w:val="1"/>
          <w:trHeight w:val="47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5D4C6F">
        <w:trPr>
          <w:gridAfter w:val="1"/>
          <w:trHeight w:val="668"/>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5D4C6F" w:rsidRDefault="00F86A01">
            <w:pPr>
              <w:spacing w:after="0"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5D4C6F" w:rsidRDefault="00F86A01">
            <w:pPr>
              <w:spacing w:after="0" w:line="259" w:lineRule="auto"/>
              <w:ind w:left="0" w:firstLine="0"/>
            </w:pPr>
            <w:r>
              <w:rPr>
                <w:sz w:val="17"/>
              </w:rPr>
              <w:t>Internetové bankovnictví Mobilní banka zahrnuje aplikace Mobilní banka a Mobilní banka Business.</w:t>
            </w:r>
          </w:p>
        </w:tc>
      </w:tr>
      <w:tr w:rsidR="005D4C6F">
        <w:trPr>
          <w:gridAfter w:val="1"/>
          <w:trHeight w:val="47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5D4C6F">
        <w:trPr>
          <w:gridAfter w:val="1"/>
          <w:trHeight w:val="645"/>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Soustředěné inkaso plateb obyvatelstva.</w:t>
            </w:r>
          </w:p>
        </w:tc>
      </w:tr>
      <w:tr w:rsidR="005D4C6F">
        <w:trPr>
          <w:gridAfter w:val="1"/>
          <w:trHeight w:val="47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Společenství vlastníků jednotek.</w:t>
            </w:r>
          </w:p>
        </w:tc>
      </w:tr>
      <w:tr w:rsidR="005D4C6F">
        <w:trPr>
          <w:gridAfter w:val="1"/>
          <w:trHeight w:val="323"/>
        </w:trPr>
        <w:tc>
          <w:tcPr>
            <w:tcW w:w="1740" w:type="dxa"/>
            <w:gridSpan w:val="2"/>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The Society for Worldwide Interbank Financial Telecommunication S.C.</w:t>
            </w:r>
          </w:p>
        </w:tc>
      </w:tr>
      <w:tr w:rsidR="005D4C6F">
        <w:trPr>
          <w:trHeight w:val="386"/>
        </w:trPr>
        <w:tc>
          <w:tcPr>
            <w:tcW w:w="10580" w:type="dxa"/>
            <w:gridSpan w:val="4"/>
            <w:tcBorders>
              <w:top w:val="nil"/>
              <w:left w:val="nil"/>
              <w:bottom w:val="nil"/>
              <w:right w:val="nil"/>
            </w:tcBorders>
            <w:shd w:val="clear" w:color="auto" w:fill="EE6B61"/>
          </w:tcPr>
          <w:p w:rsidR="005D4C6F" w:rsidRDefault="00F86A01">
            <w:pPr>
              <w:spacing w:after="0" w:line="259" w:lineRule="auto"/>
              <w:ind w:left="156" w:firstLine="0"/>
            </w:pPr>
            <w:r>
              <w:rPr>
                <w:b/>
                <w:color w:val="F5F5F5"/>
                <w:sz w:val="26"/>
              </w:rPr>
              <w:t>Všeobecná ustanovení</w:t>
            </w:r>
          </w:p>
        </w:tc>
      </w:tr>
      <w:tr w:rsidR="005D4C6F">
        <w:trPr>
          <w:trHeight w:val="968"/>
        </w:trPr>
        <w:tc>
          <w:tcPr>
            <w:tcW w:w="680" w:type="dxa"/>
            <w:tcBorders>
              <w:top w:val="nil"/>
              <w:left w:val="nil"/>
              <w:bottom w:val="single" w:sz="5" w:space="0" w:color="DCDCDC"/>
              <w:right w:val="nil"/>
            </w:tcBorders>
          </w:tcPr>
          <w:p w:rsidR="005D4C6F" w:rsidRDefault="005D4C6F">
            <w:pPr>
              <w:spacing w:after="160" w:line="259" w:lineRule="auto"/>
              <w:ind w:left="0" w:firstLine="0"/>
            </w:pPr>
          </w:p>
        </w:tc>
        <w:tc>
          <w:tcPr>
            <w:tcW w:w="9900" w:type="dxa"/>
            <w:gridSpan w:val="3"/>
            <w:tcBorders>
              <w:top w:val="nil"/>
              <w:left w:val="nil"/>
              <w:bottom w:val="single" w:sz="5" w:space="0" w:color="DCDCDC"/>
              <w:right w:val="nil"/>
            </w:tcBorders>
            <w:vAlign w:val="bottom"/>
          </w:tcPr>
          <w:p w:rsidR="005D4C6F" w:rsidRDefault="00F86A01">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5D4C6F" w:rsidRDefault="00F86A01">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r w:rsidR="005D4C6F">
        <w:trPr>
          <w:trHeight w:val="645"/>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1.</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5D4C6F">
        <w:trPr>
          <w:trHeight w:val="818"/>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2a.</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uhradu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5D4C6F">
        <w:trPr>
          <w:trHeight w:val="32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2b.</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5D4C6F">
        <w:trPr>
          <w:trHeight w:val="47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2c.</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5D4C6F">
        <w:trPr>
          <w:trHeight w:val="32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2d.</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Odchozí úhrady SEPA platba předané na papírovém nosiči jsou zpracovávány expresním způsobem bez příplatku za rychlost.</w:t>
            </w:r>
          </w:p>
        </w:tc>
      </w:tr>
      <w:tr w:rsidR="005D4C6F">
        <w:trPr>
          <w:trHeight w:val="32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2e.</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Cena za příchozí úhradu ze zahraničí a odchozí úhradu do zahraničí je počítána z převáděné částky kurzem "střed KB".</w:t>
            </w:r>
          </w:p>
        </w:tc>
      </w:tr>
      <w:tr w:rsidR="005D4C6F">
        <w:trPr>
          <w:trHeight w:val="991"/>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3.</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5D4C6F">
        <w:trPr>
          <w:trHeight w:val="47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4.</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5D4C6F">
        <w:trPr>
          <w:trHeight w:val="32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5.</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5D4C6F">
        <w:trPr>
          <w:trHeight w:val="32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6.</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Banka přijímá mince pouze v měně Kč a EUR.</w:t>
            </w:r>
          </w:p>
        </w:tc>
      </w:tr>
      <w:tr w:rsidR="005D4C6F">
        <w:trPr>
          <w:trHeight w:val="323"/>
        </w:trPr>
        <w:tc>
          <w:tcPr>
            <w:tcW w:w="680" w:type="dxa"/>
            <w:tcBorders>
              <w:top w:val="single" w:sz="5" w:space="0" w:color="DCDCDC"/>
              <w:left w:val="nil"/>
              <w:bottom w:val="single" w:sz="5" w:space="0" w:color="DCDCDC"/>
              <w:right w:val="nil"/>
            </w:tcBorders>
          </w:tcPr>
          <w:p w:rsidR="005D4C6F" w:rsidRDefault="00F86A01">
            <w:pPr>
              <w:spacing w:after="0" w:line="259" w:lineRule="auto"/>
              <w:ind w:left="156" w:firstLine="0"/>
            </w:pPr>
            <w:r>
              <w:rPr>
                <w:b/>
                <w:sz w:val="20"/>
              </w:rPr>
              <w:t>7.</w:t>
            </w:r>
          </w:p>
        </w:tc>
        <w:tc>
          <w:tcPr>
            <w:tcW w:w="9900" w:type="dxa"/>
            <w:gridSpan w:val="3"/>
            <w:tcBorders>
              <w:top w:val="single" w:sz="5" w:space="0" w:color="DCDCDC"/>
              <w:left w:val="nil"/>
              <w:bottom w:val="single" w:sz="5" w:space="0" w:color="DCDCDC"/>
              <w:right w:val="nil"/>
            </w:tcBorders>
          </w:tcPr>
          <w:p w:rsidR="005D4C6F" w:rsidRDefault="00F86A01">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bl>
    <w:p w:rsidR="00905D36" w:rsidRDefault="00905D36"/>
    <w:sectPr w:rsidR="00905D36">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900" w:h="16840"/>
      <w:pgMar w:top="384" w:right="666" w:bottom="1214" w:left="661" w:header="708"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39" w:rsidRDefault="004E5F39">
      <w:pPr>
        <w:spacing w:after="0" w:line="240" w:lineRule="auto"/>
      </w:pPr>
      <w:r>
        <w:separator/>
      </w:r>
    </w:p>
  </w:endnote>
  <w:endnote w:type="continuationSeparator" w:id="0">
    <w:p w:rsidR="004E5F39" w:rsidRDefault="004E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altName w:val="Tahoma"/>
    <w:charset w:val="EE"/>
    <w:family w:val="swiss"/>
    <w:pitch w:val="variable"/>
    <w:sig w:usb0="00000001"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37"/>
      </w:tabs>
      <w:spacing w:after="0" w:line="259" w:lineRule="auto"/>
      <w:ind w:left="-58" w:right="-99"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37"/>
      </w:tabs>
      <w:spacing w:after="0" w:line="259" w:lineRule="auto"/>
      <w:ind w:left="-58" w:right="-99"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37"/>
      </w:tabs>
      <w:spacing w:after="0" w:line="259" w:lineRule="auto"/>
      <w:ind w:left="-58" w:right="-99"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70"/>
      </w:tabs>
      <w:spacing w:after="0" w:line="259" w:lineRule="auto"/>
      <w:ind w:left="-58" w:right="-6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70"/>
      </w:tabs>
      <w:spacing w:after="0" w:line="259" w:lineRule="auto"/>
      <w:ind w:left="-58" w:right="-6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70"/>
      </w:tabs>
      <w:spacing w:after="0" w:line="259" w:lineRule="auto"/>
      <w:ind w:left="-58" w:right="-6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671"/>
      </w:tabs>
      <w:spacing w:after="0" w:line="259" w:lineRule="auto"/>
      <w:ind w:left="-58" w:firstLine="0"/>
    </w:pPr>
    <w:r>
      <w:rPr>
        <w:b/>
        <w:sz w:val="20"/>
      </w:rPr>
      <w:fldChar w:fldCharType="begin"/>
    </w:r>
    <w:r>
      <w:rPr>
        <w:b/>
        <w:sz w:val="20"/>
      </w:rPr>
      <w:instrText xml:space="preserve"> PAGE   \* MERGEFORMAT </w:instrText>
    </w:r>
    <w:r>
      <w:rPr>
        <w:b/>
        <w:sz w:val="20"/>
      </w:rPr>
      <w:fldChar w:fldCharType="separate"/>
    </w:r>
    <w:r w:rsidR="008978A9">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8978A9">
      <w:rPr>
        <w:b/>
        <w:noProof/>
        <w:sz w:val="20"/>
      </w:rPr>
      <w:t>12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8978A9">
      <w:rPr>
        <w:b/>
        <w:noProof/>
        <w:sz w:val="20"/>
      </w:rPr>
      <w:t>13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2976"/>
        <w:tab w:val="right" w:pos="10579"/>
      </w:tabs>
      <w:spacing w:after="0" w:line="259" w:lineRule="auto"/>
      <w:ind w:left="-115" w:right="-209" w:firstLine="0"/>
    </w:pPr>
    <w:r>
      <w:rPr>
        <w:b/>
        <w:sz w:val="20"/>
      </w:rPr>
      <w:fldChar w:fldCharType="begin"/>
    </w:r>
    <w:r>
      <w:rPr>
        <w:b/>
        <w:sz w:val="20"/>
      </w:rPr>
      <w:instrText xml:space="preserve"> PAGE   \* MERGEFORMAT </w:instrText>
    </w:r>
    <w:r>
      <w:rPr>
        <w:b/>
        <w:sz w:val="20"/>
      </w:rPr>
      <w:fldChar w:fldCharType="separate"/>
    </w:r>
    <w:r w:rsidR="008978A9">
      <w:rPr>
        <w:b/>
        <w:noProof/>
        <w:sz w:val="20"/>
      </w:rPr>
      <w:t>16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2976"/>
        <w:tab w:val="right" w:pos="10579"/>
      </w:tabs>
      <w:spacing w:after="0" w:line="259" w:lineRule="auto"/>
      <w:ind w:left="-115" w:right="-209" w:firstLine="0"/>
    </w:pPr>
    <w:r>
      <w:rPr>
        <w:b/>
        <w:sz w:val="20"/>
      </w:rPr>
      <w:fldChar w:fldCharType="begin"/>
    </w:r>
    <w:r>
      <w:rPr>
        <w:b/>
        <w:sz w:val="20"/>
      </w:rPr>
      <w:instrText xml:space="preserve"> PAGE   \* MERGEFORMAT </w:instrText>
    </w:r>
    <w:r>
      <w:rPr>
        <w:b/>
        <w:sz w:val="20"/>
      </w:rPr>
      <w:fldChar w:fldCharType="separate"/>
    </w:r>
    <w:r w:rsidR="008978A9">
      <w:rPr>
        <w:b/>
        <w:noProof/>
        <w:sz w:val="20"/>
      </w:rPr>
      <w:t>15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tabs>
        <w:tab w:val="center" w:pos="2976"/>
        <w:tab w:val="right" w:pos="10579"/>
      </w:tabs>
      <w:spacing w:after="0" w:line="259" w:lineRule="auto"/>
      <w:ind w:left="-115" w:right="-209"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 4.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39" w:rsidRDefault="004E5F39">
      <w:pPr>
        <w:spacing w:after="18" w:line="259" w:lineRule="auto"/>
        <w:ind w:left="58" w:firstLine="0"/>
      </w:pPr>
      <w:r>
        <w:separator/>
      </w:r>
    </w:p>
  </w:footnote>
  <w:footnote w:type="continuationSeparator" w:id="0">
    <w:p w:rsidR="004E5F39" w:rsidRDefault="004E5F39">
      <w:pPr>
        <w:spacing w:after="18" w:line="259" w:lineRule="auto"/>
        <w:ind w:left="58" w:firstLine="0"/>
      </w:pPr>
      <w:r>
        <w:continuationSeparator/>
      </w:r>
    </w:p>
  </w:footnote>
  <w:footnote w:id="1">
    <w:p w:rsidR="005D4C6F" w:rsidRDefault="00F86A01">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2">
    <w:p w:rsidR="005D4C6F" w:rsidRDefault="00F86A01">
      <w:pPr>
        <w:pStyle w:val="footnotedescription"/>
        <w:spacing w:after="0"/>
      </w:pPr>
      <w:r>
        <w:rPr>
          <w:rStyle w:val="footnotemark"/>
        </w:rPr>
        <w:footnoteRef/>
      </w:r>
      <w:r>
        <w:t xml:space="preserve"> ) Cena se účtuje v případě, že ve smlouvě není sjednána cena individuální.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5D4C6F">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5D4C6F" w:rsidRDefault="00F86A01">
            <w:pPr>
              <w:spacing w:after="160" w:line="259" w:lineRule="auto"/>
              <w:ind w:left="0" w:firstLine="0"/>
            </w:pPr>
            <w:r>
              <w:rPr>
                <w:b/>
                <w:sz w:val="20"/>
              </w:rPr>
              <w:t>Rámcová smlouva o poskytování finančních služeb (RAS)</w:t>
            </w:r>
          </w:p>
        </w:tc>
        <w:tc>
          <w:tcPr>
            <w:tcW w:w="3175" w:type="dxa"/>
            <w:tcBorders>
              <w:top w:val="single" w:sz="5" w:space="0" w:color="DCDCDC"/>
              <w:left w:val="nil"/>
              <w:bottom w:val="single" w:sz="5" w:space="0" w:color="DCDCDC"/>
              <w:right w:val="single" w:sz="5" w:space="0" w:color="DCDCDC"/>
            </w:tcBorders>
            <w:shd w:val="clear" w:color="auto" w:fill="C8C8C8"/>
          </w:tcPr>
          <w:p w:rsidR="005D4C6F" w:rsidRDefault="005D4C6F">
            <w:pPr>
              <w:spacing w:after="160" w:line="259" w:lineRule="auto"/>
              <w:ind w:left="0" w:firstLine="0"/>
            </w:pPr>
          </w:p>
        </w:tc>
      </w:tr>
      <w:tr w:rsidR="005D4C6F">
        <w:trPr>
          <w:trHeight w:val="323"/>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160" w:line="259" w:lineRule="auto"/>
              <w:ind w:left="0" w:firstLine="0"/>
            </w:pPr>
            <w:r>
              <w:rPr>
                <w:sz w:val="20"/>
              </w:rPr>
              <w:t>Sjednání možnosti čerpání pod RAS</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5D4C6F" w:rsidRDefault="00F86A01">
            <w:pPr>
              <w:spacing w:after="160" w:line="259" w:lineRule="auto"/>
              <w:ind w:left="0" w:firstLine="0"/>
              <w:jc w:val="center"/>
            </w:pPr>
            <w:r>
              <w:rPr>
                <w:sz w:val="17"/>
              </w:rPr>
              <w:t>individuálně</w:t>
            </w:r>
          </w:p>
        </w:tc>
      </w:tr>
      <w:tr w:rsidR="005D4C6F">
        <w:trPr>
          <w:trHeight w:val="334"/>
        </w:trPr>
        <w:tc>
          <w:tcPr>
            <w:tcW w:w="7405" w:type="dxa"/>
            <w:tcBorders>
              <w:top w:val="single" w:sz="5" w:space="0" w:color="DCDCDC"/>
              <w:left w:val="single" w:sz="5" w:space="0" w:color="DCDCDC"/>
              <w:bottom w:val="single" w:sz="5" w:space="0" w:color="DCDCDC"/>
              <w:right w:val="single" w:sz="5" w:space="0" w:color="DCDCDC"/>
            </w:tcBorders>
          </w:tcPr>
          <w:p w:rsidR="005D4C6F" w:rsidRDefault="00F86A01">
            <w:pPr>
              <w:spacing w:after="160" w:line="259" w:lineRule="auto"/>
              <w:ind w:left="0" w:firstLine="0"/>
            </w:pPr>
            <w:r>
              <w:rPr>
                <w:sz w:val="20"/>
              </w:rPr>
              <w:t xml:space="preserve">Změna v RAS vymezených podmínek </w:t>
            </w:r>
            <w:r>
              <w:rPr>
                <w:sz w:val="20"/>
                <w:vertAlign w:val="superscript"/>
              </w:rPr>
              <w:t>)</w:t>
            </w:r>
          </w:p>
        </w:tc>
        <w:tc>
          <w:tcPr>
            <w:tcW w:w="0" w:type="auto"/>
            <w:vMerge/>
            <w:tcBorders>
              <w:top w:val="nil"/>
              <w:left w:val="single" w:sz="5" w:space="0" w:color="DCDCDC"/>
              <w:bottom w:val="single" w:sz="5" w:space="0" w:color="DCDCDC"/>
              <w:right w:val="single" w:sz="5" w:space="0" w:color="DCDCDC"/>
            </w:tcBorders>
          </w:tcPr>
          <w:p w:rsidR="005D4C6F" w:rsidRDefault="005D4C6F">
            <w:pPr>
              <w:spacing w:after="160" w:line="259" w:lineRule="auto"/>
              <w:ind w:left="0" w:firstLine="0"/>
            </w:pPr>
          </w:p>
        </w:tc>
      </w:tr>
      <w:tr w:rsidR="005D4C6F">
        <w:trPr>
          <w:trHeight w:val="300"/>
        </w:trPr>
        <w:tc>
          <w:tcPr>
            <w:tcW w:w="7405" w:type="dxa"/>
            <w:tcBorders>
              <w:top w:val="single" w:sz="5" w:space="0" w:color="DCDCDC"/>
              <w:left w:val="single" w:sz="5" w:space="0" w:color="DCDCDC"/>
              <w:bottom w:val="single" w:sz="5" w:space="0" w:color="DCDCDC"/>
              <w:right w:val="nil"/>
            </w:tcBorders>
            <w:shd w:val="clear" w:color="auto" w:fill="EDEDED"/>
          </w:tcPr>
          <w:p w:rsidR="005D4C6F" w:rsidRDefault="00F86A01">
            <w:pPr>
              <w:spacing w:after="160" w:line="259" w:lineRule="auto"/>
              <w:ind w:left="0" w:firstLine="0"/>
            </w:pPr>
            <w:r>
              <w:rPr>
                <w:sz w:val="17"/>
              </w:rPr>
              <w:t>Cena je účtována z celkové výše limitu GUL a nahrazuje jednotlivé ceny za zpracování a vyhodnocení žádosti o úvěr.</w:t>
            </w:r>
          </w:p>
        </w:tc>
        <w:tc>
          <w:tcPr>
            <w:tcW w:w="3175" w:type="dxa"/>
            <w:tcBorders>
              <w:top w:val="single" w:sz="5" w:space="0" w:color="DCDCDC"/>
              <w:left w:val="nil"/>
              <w:bottom w:val="single" w:sz="5" w:space="0" w:color="DCDCDC"/>
              <w:right w:val="single" w:sz="5" w:space="0" w:color="DCDCDC"/>
            </w:tcBorders>
            <w:shd w:val="clear" w:color="auto" w:fill="EDEDED"/>
          </w:tcPr>
          <w:p w:rsidR="005D4C6F" w:rsidRDefault="005D4C6F">
            <w:pPr>
              <w:spacing w:after="160" w:line="259" w:lineRule="auto"/>
              <w:ind w:left="0" w:firstLine="0"/>
            </w:pPr>
          </w:p>
        </w:tc>
      </w:tr>
    </w:tbl>
    <w:p w:rsidR="00905D36" w:rsidRDefault="00905D36"/>
  </w:footnote>
  <w:footnote w:id="3">
    <w:p w:rsidR="005D4C6F" w:rsidRDefault="00F86A01">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4">
    <w:p w:rsidR="005D4C6F" w:rsidRDefault="00F86A01">
      <w:pPr>
        <w:pStyle w:val="footnotedescription"/>
      </w:pPr>
      <w:r>
        <w:rPr>
          <w:rStyle w:val="footnotemark"/>
        </w:rPr>
        <w:footnoteRef/>
      </w:r>
      <w:r>
        <w:t xml:space="preserve"> ) V případě vrácení soukromého šeku se poplatek neúčtuje.</w:t>
      </w:r>
    </w:p>
  </w:footnote>
  <w:footnote w:id="5">
    <w:p w:rsidR="005D4C6F" w:rsidRDefault="00F86A01">
      <w:pPr>
        <w:pStyle w:val="footnotedescription"/>
        <w:spacing w:after="316"/>
      </w:pPr>
      <w:r>
        <w:rPr>
          <w:rStyle w:val="footnotemark"/>
        </w:rPr>
        <w:footnoteRef/>
      </w:r>
      <w:r>
        <w:t xml:space="preserve"> ) Služba zrušení bankovního šeku se neposkytuje.</w:t>
      </w:r>
    </w:p>
    <w:p w:rsidR="005D4C6F" w:rsidRDefault="00F86A01">
      <w:pPr>
        <w:pStyle w:val="footnotedescription"/>
        <w:shd w:val="clear" w:color="auto" w:fill="EE6B61"/>
        <w:spacing w:after="0"/>
        <w:ind w:left="156"/>
      </w:pPr>
      <w:r>
        <w:rPr>
          <w:b/>
          <w:color w:val="F5F5F5"/>
          <w:sz w:val="26"/>
        </w:rPr>
        <w:t>Bankovní informace</w:t>
      </w:r>
    </w:p>
  </w:footnote>
  <w:footnote w:id="6">
    <w:p w:rsidR="005D4C6F" w:rsidRDefault="00F86A01">
      <w:pPr>
        <w:pStyle w:val="footnotedescription"/>
      </w:pPr>
      <w:r>
        <w:rPr>
          <w:rStyle w:val="footnotemark"/>
        </w:rPr>
        <w:footnoteRef/>
      </w:r>
      <w:r>
        <w:t xml:space="preserve"> ) Poplatky za výběry hotovosti z bankomatu zde uvedené nezahrnují poplatky, jejichž zaplacení mohou v souvislosti s výběrem hotovosti požadovat provozovatelé bankomatu.</w:t>
      </w:r>
    </w:p>
  </w:footnote>
  <w:footnote w:id="7">
    <w:p w:rsidR="005D4C6F" w:rsidRDefault="00F86A01">
      <w:pPr>
        <w:pStyle w:val="footnotedescription"/>
      </w:pPr>
      <w:r>
        <w:rPr>
          <w:rStyle w:val="footnotemark"/>
        </w:rPr>
        <w:footnoteRef/>
      </w:r>
      <w:r>
        <w:t xml:space="preserve"> ) V případě existence pojištění Profi Merlin bude poplatek vrácen.</w:t>
      </w:r>
    </w:p>
  </w:footnote>
  <w:footnote w:id="8">
    <w:p w:rsidR="005D4C6F" w:rsidRDefault="00F86A01">
      <w:pPr>
        <w:pStyle w:val="footnotedescription"/>
        <w:spacing w:after="0" w:line="216" w:lineRule="auto"/>
        <w:ind w:left="214" w:hanging="156"/>
      </w:pPr>
      <w:r>
        <w:rPr>
          <w:rStyle w:val="footnotemark"/>
        </w:rPr>
        <w:footnoteRef/>
      </w:r>
      <w:r>
        <w:t xml:space="preserve"> ) 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3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1300" name="Group 81300"/>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6893" name="Shape 86893"/>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15756032" id="Group 81300"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b3&#10;YvqCAgAAZQYAAA4AAAAAAAAAAAAAAAAALgIAAGRycy9lMm9Eb2MueG1sUEsBAi0AFAAGAAgAAAAh&#10;ALVJ7lvgAAAACwEAAA8AAAAAAAAAAAAAAAAA3AQAAGRycy9kb3ducmV2LnhtbFBLBQYAAAAABAAE&#10;APMAAADpBQAAAAA=&#10;">
              <v:shape id="Shape 86893"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71cMYA&#10;AADeAAAADwAAAGRycy9kb3ducmV2LnhtbESPQWvCQBCF7wX/wzJCb3VjCxqjq4itKL1VBa9jdtyE&#10;ZGfT7BrTf98VCj0+3rzvzVuseluLjlpfOlYwHiUgiHOnSzYKTsftSwrCB2SNtWNS8EMeVsvB0wIz&#10;7e78Rd0hGBEh7DNUUITQZFL6vCCLfuQa4uhdXWsxRNkaqVu8R7it5WuSTKTFkmNDgQ1tCsqrw83G&#10;N3a6M9dq8305u1v58V5NzWc/Vep52K/nIAL14f/4L73XCtJJOnuDx5zI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71cM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36"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1278" name="Group 81278"/>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6892" name="Shape 86892"/>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1F805AAA" id="Group 81278"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Vr&#10;gHWCAgAAZQYAAA4AAAAAAAAAAAAAAAAALgIAAGRycy9lMm9Eb2MueG1sUEsBAi0AFAAGAAgAAAAh&#10;ALVJ7lvgAAAACwEAAA8AAAAAAAAAAAAAAAAA3AQAAGRycy9kb3ducmV2LnhtbFBLBQYAAAAABAAE&#10;APMAAADpBQAAAAA=&#10;">
              <v:shape id="Shape 86892"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Q68YA&#10;AADeAAAADwAAAGRycy9kb3ducmV2LnhtbESPwW7CMBBE70j8g7WVegOnHCAEDEJARdVbAanXbbw4&#10;UeJ1iE0If19XqsRxNDtvdpbr3taio9aXjhW8jRMQxLnTJRsF59P7KAXhA7LG2jEpeJCH9Wo4WGKm&#10;3Z2/qDsGIyKEfYYKihCaTEqfF2TRj11DHL2Lay2GKFsjdYv3CLe1nCTJVFosOTYU2NC2oLw63mx8&#10;46A7c6m2159vdyv3u2pmPvuZUq8v/WYBIlAfnsf/6Q+tIJ2m8wn8zYkM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JQ68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36"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1256" name="Group 81256"/>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6891" name="Shape 86891"/>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607E714C" id="Group 81256"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B3&#10;w82qgwIAAGUGAAAOAAAAAAAAAAAAAAAAAC4CAABkcnMvZTJvRG9jLnhtbFBLAQItABQABgAIAAAA&#10;IQC1Se5b4AAAAAsBAAAPAAAAAAAAAAAAAAAAAN0EAABkcnMvZG93bnJldi54bWxQSwUGAAAAAAQA&#10;BADzAAAA6gUAAAAA&#10;">
              <v:shape id="Shape 86891"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OnMYA&#10;AADeAAAADwAAAGRycy9kb3ducmV2LnhtbESPwW7CMBBE75X6D9ZW4lYceoA04CAERUW9QSv1uo03&#10;TpR4HWIT0r/HlZB6HM3Om53VerStGKj3tWMFs2kCgrhwumaj4Otz/5yC8AFZY+uYFPySh3X++LDC&#10;TLsrH2k4BSMihH2GCqoQukxKX1Rk0U9dRxy90vUWQ5S9kbrHa4TbVr4kyVxarDk2VNjRtqKiOV1s&#10;fONdD6Zstuefb3ep33bNwnyMC6UmT+NmCSLQGP6P7+mDVpDO09cZ/M2JDJ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DOnM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3"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3"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3"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5D4C6F">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146"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146"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1213" name="Group 81213"/>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6890" name="Shape 86890"/>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42A41C9" id="Group 81213"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Bw&#10;+o71gwIAAGUGAAAOAAAAAAAAAAAAAAAAAC4CAABkcnMvZTJvRG9jLnhtbFBLAQItABQABgAIAAAA&#10;IQC1Se5b4AAAAAsBAAAPAAAAAAAAAAAAAAAAAN0EAABkcnMvZG93bnJldi54bWxQSwUGAAAAAAQA&#10;BADzAAAA6gUAAAAA&#10;">
              <v:shape id="Shape 86890"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rB8YA&#10;AADeAAAADwAAAGRycy9kb3ducmV2LnhtbESPwW7CMAyG70h7h8iTuEG6HaDrCGhiQ5u4wSbt6jUm&#10;rdo4XRNK9/bzAYmj9fv/7G+1GX2rBupjHdjAwzwDRVwGW7Mz8PW5m+WgYkK22AYmA38UYbO+m6yw&#10;sOHCBxqOySmBcCzQQJVSV2gdy4o8xnnoiCU7hd5jkrF32vZ4Ebhv9WOWLbTHmuVChR1tKyqb49nL&#10;G+92cKdm+/vzHc7122uzdPtxacz0fnx5BpVoTLfla/vDGsgX+ZMIiI4w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rB8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F" w:rsidRDefault="00F86A01">
    <w:pPr>
      <w:spacing w:after="0" w:line="259" w:lineRule="auto"/>
      <w:ind w:left="0" w:right="-146"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1191" name="Group 81191"/>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6889" name="Shape 86889"/>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39326E1" id="Group 81191"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HSo&#10;rVuCAgAAZQYAAA4AAAAAAAAAAAAAAAAALgIAAGRycy9lMm9Eb2MueG1sUEsBAi0AFAAGAAgAAAAh&#10;ALVJ7lvgAAAACwEAAA8AAAAAAAAAAAAAAAAA3AQAAGRycy9kb3ducmV2LnhtbFBLBQYAAAAABAAE&#10;APMAAADpBQAAAAA=&#10;">
              <v:shape id="Shape 86889"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UR8YA&#10;AADeAAAADwAAAGRycy9kb3ducmV2LnhtbESPwW7CMBBE70j8g7VIvYFDD5AGDELQqhW3UiSuS7w4&#10;UeJ1iE1I/75GqsRxNDtvdpbr3taio9aXjhVMJwkI4tzpko2C48/HOAXhA7LG2jEp+CUP69VwsMRM&#10;uzt/U3cIRkQI+wwVFCE0mZQ+L8iin7iGOHoX11oMUbZG6hbvEW5r+ZokM2mx5NhQYEPbgvLqcLPx&#10;jU/dmUu1vZ5P7la+76q52fdzpV5G/WYBIlAfnsf/6S+tIJ2l6Rs85kQG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9UR8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202BC"/>
    <w:multiLevelType w:val="hybridMultilevel"/>
    <w:tmpl w:val="356CEFA4"/>
    <w:lvl w:ilvl="0" w:tplc="EF3C76A2">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9E98CF36">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F530E500">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D4660566">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7730D5B2">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196A176">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D0FA8188">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9CEEED6C">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CBC00624">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7217A19"/>
    <w:multiLevelType w:val="hybridMultilevel"/>
    <w:tmpl w:val="E2C67670"/>
    <w:lvl w:ilvl="0" w:tplc="37F88E64">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0B287032">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9FAC1E62">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1956429E">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128861B8">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34E81612">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18AE252E">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C9A40C3E">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FF38A64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8F154C4"/>
    <w:multiLevelType w:val="hybridMultilevel"/>
    <w:tmpl w:val="3D3CB87C"/>
    <w:lvl w:ilvl="0" w:tplc="10F4CA7E">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CD12A4A2">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6F709AD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5BFE8796">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2E26BF94">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1A2ECC02">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0C50B198">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83143F6A">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1BBE91EA">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3C42731C"/>
    <w:multiLevelType w:val="hybridMultilevel"/>
    <w:tmpl w:val="923EE45E"/>
    <w:lvl w:ilvl="0" w:tplc="A008E75E">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BC720E0C">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44CA6DF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BBA42A12">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8210267A">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C0ADD18">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6BC86E44">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99D89E24">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474EE7D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54E6549F"/>
    <w:multiLevelType w:val="hybridMultilevel"/>
    <w:tmpl w:val="59EAD35A"/>
    <w:lvl w:ilvl="0" w:tplc="DAA80E0C">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57D4E93A">
      <w:start w:val="1"/>
      <w:numFmt w:val="lowerLetter"/>
      <w:lvlText w:val="%2"/>
      <w:lvlJc w:val="left"/>
      <w:pPr>
        <w:ind w:left="11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E7DC6894">
      <w:start w:val="1"/>
      <w:numFmt w:val="lowerRoman"/>
      <w:lvlText w:val="%3"/>
      <w:lvlJc w:val="left"/>
      <w:pPr>
        <w:ind w:left="18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8F0401A6">
      <w:start w:val="1"/>
      <w:numFmt w:val="decimal"/>
      <w:lvlText w:val="%4"/>
      <w:lvlJc w:val="left"/>
      <w:pPr>
        <w:ind w:left="25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8D4067A4">
      <w:start w:val="1"/>
      <w:numFmt w:val="lowerLetter"/>
      <w:lvlText w:val="%5"/>
      <w:lvlJc w:val="left"/>
      <w:pPr>
        <w:ind w:left="32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9AD8B990">
      <w:start w:val="1"/>
      <w:numFmt w:val="lowerRoman"/>
      <w:lvlText w:val="%6"/>
      <w:lvlJc w:val="left"/>
      <w:pPr>
        <w:ind w:left="401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8F21E84">
      <w:start w:val="1"/>
      <w:numFmt w:val="decimal"/>
      <w:lvlText w:val="%7"/>
      <w:lvlJc w:val="left"/>
      <w:pPr>
        <w:ind w:left="473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0D48F1F6">
      <w:start w:val="1"/>
      <w:numFmt w:val="lowerLetter"/>
      <w:lvlText w:val="%8"/>
      <w:lvlJc w:val="left"/>
      <w:pPr>
        <w:ind w:left="545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3112F5C4">
      <w:start w:val="1"/>
      <w:numFmt w:val="lowerRoman"/>
      <w:lvlText w:val="%9"/>
      <w:lvlJc w:val="left"/>
      <w:pPr>
        <w:ind w:left="617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57CB3EEF"/>
    <w:multiLevelType w:val="hybridMultilevel"/>
    <w:tmpl w:val="51B60AFC"/>
    <w:lvl w:ilvl="0" w:tplc="C93A3F76">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20C47114">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A0C29A62">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427E3780">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73A8783E">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6D1091E8">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D486DACA">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FD0EBF42">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EB5CC9DC">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5BC85D14"/>
    <w:multiLevelType w:val="hybridMultilevel"/>
    <w:tmpl w:val="32520186"/>
    <w:lvl w:ilvl="0" w:tplc="D96A4E06">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C46AB084">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4C28EAEE">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4E8CDBFC">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0E60EFFE">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72A0DD20">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949A47D2">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9A263166">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6021768">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6AAC13B2"/>
    <w:multiLevelType w:val="hybridMultilevel"/>
    <w:tmpl w:val="8B5E241A"/>
    <w:lvl w:ilvl="0" w:tplc="439E640C">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9760CED6">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7F902432">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E57EC78A">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941C71DC">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876CC31A">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EB4085E">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472262B2">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1EECC7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75447CA4"/>
    <w:multiLevelType w:val="hybridMultilevel"/>
    <w:tmpl w:val="F22C4434"/>
    <w:lvl w:ilvl="0" w:tplc="03669F9E">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E4B6A90E">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F5AA183A">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D6760A94">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4BEC2084">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E070B8C6">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316E9524">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1A84B928">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A8EA9626">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7DCB2BB6"/>
    <w:multiLevelType w:val="hybridMultilevel"/>
    <w:tmpl w:val="46F2386C"/>
    <w:lvl w:ilvl="0" w:tplc="F782DE46">
      <w:start w:val="1"/>
      <w:numFmt w:val="decimal"/>
      <w:lvlText w:val="%1)"/>
      <w:lvlJc w:val="left"/>
      <w:pPr>
        <w:ind w:left="198"/>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1" w:tplc="CF8CBF58">
      <w:start w:val="1"/>
      <w:numFmt w:val="lowerLetter"/>
      <w:lvlText w:val="%2"/>
      <w:lvlJc w:val="left"/>
      <w:pPr>
        <w:ind w:left="10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2" w:tplc="49584BBC">
      <w:start w:val="1"/>
      <w:numFmt w:val="lowerRoman"/>
      <w:lvlText w:val="%3"/>
      <w:lvlJc w:val="left"/>
      <w:pPr>
        <w:ind w:left="18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3" w:tplc="C3A06F02">
      <w:start w:val="1"/>
      <w:numFmt w:val="decimal"/>
      <w:lvlText w:val="%4"/>
      <w:lvlJc w:val="left"/>
      <w:pPr>
        <w:ind w:left="25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4" w:tplc="016269EC">
      <w:start w:val="1"/>
      <w:numFmt w:val="lowerLetter"/>
      <w:lvlText w:val="%5"/>
      <w:lvlJc w:val="left"/>
      <w:pPr>
        <w:ind w:left="324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5" w:tplc="005046FE">
      <w:start w:val="1"/>
      <w:numFmt w:val="lowerRoman"/>
      <w:lvlText w:val="%6"/>
      <w:lvlJc w:val="left"/>
      <w:pPr>
        <w:ind w:left="396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6" w:tplc="D752EC70">
      <w:start w:val="1"/>
      <w:numFmt w:val="decimal"/>
      <w:lvlText w:val="%7"/>
      <w:lvlJc w:val="left"/>
      <w:pPr>
        <w:ind w:left="468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7" w:tplc="38FC9686">
      <w:start w:val="1"/>
      <w:numFmt w:val="lowerLetter"/>
      <w:lvlText w:val="%8"/>
      <w:lvlJc w:val="left"/>
      <w:pPr>
        <w:ind w:left="540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lvl w:ilvl="8" w:tplc="0708FABC">
      <w:start w:val="1"/>
      <w:numFmt w:val="lowerRoman"/>
      <w:lvlText w:val="%9"/>
      <w:lvlJc w:val="left"/>
      <w:pPr>
        <w:ind w:left="6120"/>
      </w:pPr>
      <w:rPr>
        <w:rFonts w:ascii="Open Sans" w:eastAsia="Open Sans" w:hAnsi="Open Sans" w:cs="Open Sans"/>
        <w:b w:val="0"/>
        <w:i w:val="0"/>
        <w:strike w:val="0"/>
        <w:dstrike w:val="0"/>
        <w:color w:val="000000"/>
        <w:sz w:val="15"/>
        <w:szCs w:val="15"/>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9"/>
  </w:num>
  <w:num w:numId="5">
    <w:abstractNumId w:val="5"/>
  </w:num>
  <w:num w:numId="6">
    <w:abstractNumId w:val="4"/>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6F"/>
    <w:rsid w:val="004E5F39"/>
    <w:rsid w:val="005D4C6F"/>
    <w:rsid w:val="008978A9"/>
    <w:rsid w:val="00905D36"/>
    <w:rsid w:val="00F86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77BB2-55FD-4366-86F1-82174674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70" w:lineRule="auto"/>
      <w:ind w:left="68" w:hanging="10"/>
    </w:pPr>
    <w:rPr>
      <w:rFonts w:ascii="Open Sans" w:eastAsia="Open Sans" w:hAnsi="Open Sans" w:cs="Open Sans"/>
      <w:color w:val="000000"/>
      <w:sz w:val="15"/>
    </w:rPr>
  </w:style>
  <w:style w:type="paragraph" w:styleId="Nadpis1">
    <w:name w:val="heading 1"/>
    <w:next w:val="Normln"/>
    <w:link w:val="Nadpis1Char"/>
    <w:uiPriority w:val="9"/>
    <w:unhideWhenUsed/>
    <w:qFormat/>
    <w:pPr>
      <w:keepNext/>
      <w:keepLines/>
      <w:spacing w:after="0"/>
      <w:ind w:left="10" w:hanging="10"/>
      <w:outlineLvl w:val="0"/>
    </w:pPr>
    <w:rPr>
      <w:rFonts w:ascii="Open Sans" w:eastAsia="Open Sans" w:hAnsi="Open Sans" w:cs="Open Sans"/>
      <w:b/>
      <w:color w:val="000000"/>
      <w:sz w:val="35"/>
    </w:rPr>
  </w:style>
  <w:style w:type="paragraph" w:styleId="Nadpis2">
    <w:name w:val="heading 2"/>
    <w:next w:val="Normln"/>
    <w:link w:val="Nadpis2Char"/>
    <w:uiPriority w:val="9"/>
    <w:unhideWhenUsed/>
    <w:qFormat/>
    <w:pPr>
      <w:keepNext/>
      <w:keepLines/>
      <w:shd w:val="clear" w:color="auto" w:fill="EE6B61"/>
      <w:spacing w:after="0"/>
      <w:ind w:left="166" w:hanging="10"/>
      <w:outlineLvl w:val="1"/>
    </w:pPr>
    <w:rPr>
      <w:rFonts w:ascii="Open Sans" w:eastAsia="Open Sans" w:hAnsi="Open Sans" w:cs="Open Sans"/>
      <w:b/>
      <w:color w:val="F5F5F5"/>
      <w:sz w:val="26"/>
    </w:rPr>
  </w:style>
  <w:style w:type="paragraph" w:styleId="Nadpis3">
    <w:name w:val="heading 3"/>
    <w:next w:val="Normln"/>
    <w:link w:val="Nadpis3Char"/>
    <w:uiPriority w:val="9"/>
    <w:unhideWhenUsed/>
    <w:qFormat/>
    <w:pPr>
      <w:keepNext/>
      <w:keepLines/>
      <w:shd w:val="clear" w:color="auto" w:fill="C8C8C8"/>
      <w:spacing w:after="0"/>
      <w:ind w:left="108" w:hanging="10"/>
      <w:outlineLvl w:val="2"/>
    </w:pPr>
    <w:rPr>
      <w:rFonts w:ascii="Open Sans" w:eastAsia="Open Sans" w:hAnsi="Open Sans" w:cs="Open Sans"/>
      <w:b/>
      <w:color w:val="000000"/>
      <w:sz w:val="24"/>
    </w:rPr>
  </w:style>
  <w:style w:type="paragraph" w:styleId="Nadpis4">
    <w:name w:val="heading 4"/>
    <w:next w:val="Normln"/>
    <w:link w:val="Nadpis4Char"/>
    <w:uiPriority w:val="9"/>
    <w:unhideWhenUsed/>
    <w:qFormat/>
    <w:pPr>
      <w:keepNext/>
      <w:keepLines/>
      <w:spacing w:after="0"/>
      <w:ind w:left="156"/>
      <w:outlineLvl w:val="3"/>
    </w:pPr>
    <w:rPr>
      <w:rFonts w:ascii="Open Sans" w:eastAsia="Open Sans" w:hAnsi="Open Sans" w:cs="Open Sans"/>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Open Sans" w:eastAsia="Open Sans" w:hAnsi="Open Sans" w:cs="Open Sans"/>
      <w:b/>
      <w:color w:val="000000"/>
      <w:sz w:val="22"/>
    </w:rPr>
  </w:style>
  <w:style w:type="character" w:customStyle="1" w:styleId="Nadpis3Char">
    <w:name w:val="Nadpis 3 Char"/>
    <w:link w:val="Nadpis3"/>
    <w:rPr>
      <w:rFonts w:ascii="Open Sans" w:eastAsia="Open Sans" w:hAnsi="Open Sans" w:cs="Open Sans"/>
      <w:b/>
      <w:color w:val="000000"/>
      <w:sz w:val="24"/>
    </w:rPr>
  </w:style>
  <w:style w:type="character" w:customStyle="1" w:styleId="Nadpis2Char">
    <w:name w:val="Nadpis 2 Char"/>
    <w:link w:val="Nadpis2"/>
    <w:rPr>
      <w:rFonts w:ascii="Open Sans" w:eastAsia="Open Sans" w:hAnsi="Open Sans" w:cs="Open Sans"/>
      <w:b/>
      <w:color w:val="F5F5F5"/>
      <w:sz w:val="26"/>
    </w:rPr>
  </w:style>
  <w:style w:type="character" w:customStyle="1" w:styleId="Nadpis1Char">
    <w:name w:val="Nadpis 1 Char"/>
    <w:link w:val="Nadpis1"/>
    <w:rPr>
      <w:rFonts w:ascii="Open Sans" w:eastAsia="Open Sans" w:hAnsi="Open Sans" w:cs="Open Sans"/>
      <w:b/>
      <w:color w:val="000000"/>
      <w:sz w:val="35"/>
    </w:rPr>
  </w:style>
  <w:style w:type="paragraph" w:customStyle="1" w:styleId="footnotedescription">
    <w:name w:val="footnote description"/>
    <w:next w:val="Normln"/>
    <w:link w:val="footnotedescriptionChar"/>
    <w:hidden/>
    <w:pPr>
      <w:spacing w:after="18"/>
      <w:ind w:left="58"/>
    </w:pPr>
    <w:rPr>
      <w:rFonts w:ascii="Open Sans" w:eastAsia="Open Sans" w:hAnsi="Open Sans" w:cs="Open Sans"/>
      <w:color w:val="000000"/>
      <w:sz w:val="15"/>
    </w:rPr>
  </w:style>
  <w:style w:type="character" w:customStyle="1" w:styleId="footnotedescriptionChar">
    <w:name w:val="footnote description Char"/>
    <w:link w:val="footnotedescription"/>
    <w:rPr>
      <w:rFonts w:ascii="Open Sans" w:eastAsia="Open Sans" w:hAnsi="Open Sans" w:cs="Open Sans"/>
      <w:color w:val="000000"/>
      <w:sz w:val="15"/>
    </w:rPr>
  </w:style>
  <w:style w:type="character" w:customStyle="1" w:styleId="footnotemark">
    <w:name w:val="footnote mark"/>
    <w:hidden/>
    <w:rPr>
      <w:rFonts w:ascii="Open Sans" w:eastAsia="Open Sans" w:hAnsi="Open Sans" w:cs="Open Sans"/>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yperlink" Target="http://www.amundi-cr.cz"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footnotes" Target="footnotes.xml"/><Relationship Id="rId15" Type="http://schemas.openxmlformats.org/officeDocument/2006/relationships/hyperlink" Target="http://www.prioritypass.com" TargetMode="External"/><Relationship Id="rId23" Type="http://schemas.openxmlformats.org/officeDocument/2006/relationships/header" Target="header8.xml"/><Relationship Id="rId28" Type="http://schemas.openxmlformats.org/officeDocument/2006/relationships/hyperlink" Target="https://www.kb.cz/getmedia/96963661-24db-4d7d-8f62-a96a3a43576a/kb-lhuty-platebniho-styku.aspx" TargetMode="External"/><Relationship Id="rId36" Type="http://schemas.openxmlformats.org/officeDocument/2006/relationships/header" Target="header14.xml"/><Relationship Id="rId49"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19.xml"/><Relationship Id="rId8" Type="http://schemas.openxmlformats.org/officeDocument/2006/relationships/hyperlink" Target="https://www.kb.cz/cs/o-bance/vse-o-kb/vyhody-a-hodnoty" TargetMode="External"/><Relationship Id="rId51" Type="http://schemas.openxmlformats.org/officeDocument/2006/relationships/footer" Target="footer20.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9523</Words>
  <Characters>56186</Characters>
  <Application>Microsoft Office Word</Application>
  <DocSecurity>0</DocSecurity>
  <Lines>468</Lines>
  <Paragraphs>131</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65578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Vasickova Jitka</dc:creator>
  <cp:keywords/>
  <cp:lastModifiedBy>Tribula Karel</cp:lastModifiedBy>
  <cp:revision>3</cp:revision>
  <dcterms:created xsi:type="dcterms:W3CDTF">2020-10-26T09:54:00Z</dcterms:created>
  <dcterms:modified xsi:type="dcterms:W3CDTF">2020-10-26T09:54:00Z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2020-10-02T10:08:35Z</vt:lpwstr>
  </property>
  <property fmtid="{D5CDD505-2E9C-101B-9397-08002B2CF9AE}" pid="4" name="MSIP_Label_076d9757-80ae-4c87-b4d7-9ffa7a0710d0_Method">
    <vt:lpwstr>Standard</vt:lpwstr>
  </property>
  <property fmtid="{D5CDD505-2E9C-101B-9397-08002B2CF9AE}" pid="5" name="MSIP_Label_076d9757-80ae-4c87-b4d7-9ffa7a0710d0_Name">
    <vt:lpwstr>C1 - Internal</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718f071d-8862-4576-8f50-42aa1fad714f</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