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880" w:rsidRDefault="00F25880" w:rsidP="004F4159">
      <w:pPr>
        <w:spacing w:after="0" w:line="240" w:lineRule="auto"/>
        <w:jc w:val="right"/>
        <w:rPr>
          <w:rFonts w:ascii="Arial" w:eastAsia="Times New Roman" w:hAnsi="Arial" w:cs="Arial"/>
          <w:szCs w:val="24"/>
          <w:lang w:eastAsia="cs-CZ"/>
        </w:rPr>
      </w:pPr>
      <w:r w:rsidRPr="003F413B">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06D">
        <w:rPr>
          <w:rFonts w:ascii="Arial" w:eastAsia="Times New Roman" w:hAnsi="Arial" w:cs="Arial"/>
          <w:szCs w:val="24"/>
          <w:lang w:eastAsia="cs-CZ"/>
        </w:rPr>
        <w:t>Č. J. 06518/UL/20</w:t>
      </w:r>
    </w:p>
    <w:p w:rsidR="003F413B" w:rsidRPr="003F413B" w:rsidRDefault="003F413B" w:rsidP="004F4159">
      <w:pPr>
        <w:spacing w:after="0" w:line="240" w:lineRule="auto"/>
        <w:jc w:val="right"/>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Číslo smlouvy: PPK-153a/53/20 </w:t>
      </w:r>
    </w:p>
    <w:p w:rsidR="003F413B" w:rsidRPr="003F413B" w:rsidRDefault="003F413B" w:rsidP="004F4159">
      <w:pPr>
        <w:spacing w:after="100" w:afterAutospacing="1" w:line="240" w:lineRule="auto"/>
        <w:jc w:val="right"/>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Dotační titul:</w:t>
      </w:r>
      <w:r w:rsidR="004F4159">
        <w:rPr>
          <w:rFonts w:ascii="Arial" w:eastAsia="Times New Roman" w:hAnsi="Arial" w:cs="Arial"/>
          <w:szCs w:val="24"/>
          <w:lang w:eastAsia="cs-CZ"/>
        </w:rPr>
        <w:t xml:space="preserve"> A1</w:t>
      </w:r>
      <w:r w:rsidRPr="003F413B">
        <w:rPr>
          <w:rFonts w:ascii="Arial" w:eastAsia="Times New Roman" w:hAnsi="Arial" w:cs="Arial"/>
          <w:szCs w:val="24"/>
          <w:lang w:eastAsia="cs-CZ"/>
        </w:rPr>
        <w:t xml:space="preserve"> </w:t>
      </w:r>
    </w:p>
    <w:p w:rsidR="004F4159" w:rsidRDefault="003F413B" w:rsidP="003F41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p w:rsidR="003F413B" w:rsidRPr="003F413B" w:rsidRDefault="003F413B" w:rsidP="004F4159">
      <w:pPr>
        <w:spacing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SMLOUVA O DÍLO</w:t>
      </w:r>
    </w:p>
    <w:p w:rsidR="003F413B" w:rsidRPr="003F413B" w:rsidRDefault="003F413B" w:rsidP="003F41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UZAVŘENÁ DLE USTANOVENÍ § 2586 A NÁSL. ZÁK. Č. 89/2012 SB., OBČANSKÉHO ZÁKONÍKU, VE ZNĚNÍ POZDĚJŠÍCH PŘEDPISŮ</w:t>
      </w:r>
    </w:p>
    <w:p w:rsidR="003F413B" w:rsidRPr="003F413B" w:rsidRDefault="003F413B" w:rsidP="003F41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I. Smluvní strany</w:t>
      </w:r>
    </w:p>
    <w:p w:rsidR="003F413B" w:rsidRPr="003F413B" w:rsidRDefault="003F413B" w:rsidP="003F413B">
      <w:pPr>
        <w:spacing w:before="100" w:beforeAutospacing="1" w:after="100" w:afterAutospacing="1"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1.1</w:t>
      </w:r>
      <w:r w:rsidRPr="003F413B">
        <w:rPr>
          <w:rFonts w:ascii="Arial" w:eastAsia="Times New Roman" w:hAnsi="Arial" w:cs="Arial"/>
          <w:b/>
          <w:bCs/>
          <w:szCs w:val="24"/>
          <w:lang w:eastAsia="cs-CZ"/>
        </w:rPr>
        <w:t xml:space="preserve"> Objednatel</w:t>
      </w:r>
    </w:p>
    <w:p w:rsidR="003F413B" w:rsidRPr="003F413B" w:rsidRDefault="003F413B" w:rsidP="003F413B">
      <w:pPr>
        <w:spacing w:before="100" w:beforeAutospacing="1" w:after="100" w:afterAutospacing="1" w:line="240" w:lineRule="auto"/>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Česká republika - Agentura ochrany přírody a krajiny ČR</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Sídlo: Kaplanova 1931/1, 148 00 Praha 11 - Chodov </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Zastoupený: Ing. Vladislav Kopecký </w:t>
      </w:r>
      <w:r w:rsidRPr="003F413B">
        <w:rPr>
          <w:rFonts w:ascii="Arial" w:eastAsia="Times New Roman" w:hAnsi="Arial" w:cs="Arial"/>
          <w:szCs w:val="24"/>
          <w:lang w:eastAsia="cs-CZ"/>
        </w:rPr>
        <w:br/>
        <w:t xml:space="preserve">vedoucí oddělení péče o přírodu a krajinu - RP SCHKO České středohoří </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Bankovní spojení: ČNB Praha, Číslo účtu: 18228011/0710</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IČO: 629 335 91</w:t>
      </w:r>
      <w:r w:rsidR="004F4159">
        <w:rPr>
          <w:rFonts w:ascii="Arial" w:eastAsia="Times New Roman" w:hAnsi="Arial" w:cs="Arial"/>
          <w:szCs w:val="24"/>
          <w:lang w:eastAsia="cs-CZ"/>
        </w:rPr>
        <w:t xml:space="preserve">, </w:t>
      </w:r>
      <w:r w:rsidRPr="003F413B">
        <w:rPr>
          <w:rFonts w:ascii="Arial" w:eastAsia="Times New Roman" w:hAnsi="Arial" w:cs="Arial"/>
          <w:szCs w:val="24"/>
          <w:lang w:eastAsia="cs-CZ"/>
        </w:rPr>
        <w:t>DIČ: neplátce DPH</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V rozsahu této smlouvy osoba zmocněná k jednání se zhotovitelem, k věcným úkonům a k převzetí díla: </w:t>
      </w:r>
      <w:r w:rsidR="009B10E1">
        <w:rPr>
          <w:rFonts w:ascii="Arial" w:eastAsia="Times New Roman" w:hAnsi="Arial" w:cs="Arial"/>
          <w:szCs w:val="24"/>
          <w:lang w:eastAsia="cs-CZ"/>
        </w:rPr>
        <w:t>Ing. Roman Hamerský</w:t>
      </w:r>
    </w:p>
    <w:p w:rsidR="003F413B" w:rsidRPr="003F413B" w:rsidRDefault="003F413B" w:rsidP="003F413B">
      <w:pPr>
        <w:spacing w:before="100" w:beforeAutospacing="1" w:after="100" w:afterAutospacing="1"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(dále jen </w:t>
      </w:r>
      <w:r w:rsidRPr="003F413B">
        <w:rPr>
          <w:rFonts w:ascii="Arial" w:eastAsia="Times New Roman" w:hAnsi="Arial" w:cs="Arial"/>
        </w:rPr>
        <w:t>„</w:t>
      </w:r>
      <w:r w:rsidRPr="003F413B">
        <w:rPr>
          <w:rFonts w:ascii="Arial" w:eastAsia="Times New Roman" w:hAnsi="Arial" w:cs="Arial"/>
          <w:szCs w:val="24"/>
          <w:lang w:eastAsia="cs-CZ"/>
        </w:rPr>
        <w:t>objednatel”)</w:t>
      </w:r>
    </w:p>
    <w:p w:rsidR="003F413B" w:rsidRPr="003F413B" w:rsidRDefault="003F413B" w:rsidP="003F413B">
      <w:pPr>
        <w:spacing w:before="100" w:beforeAutospacing="1" w:after="100" w:afterAutospacing="1"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a</w:t>
      </w:r>
    </w:p>
    <w:p w:rsidR="003F413B" w:rsidRPr="00AA044B" w:rsidRDefault="003F413B" w:rsidP="003F413B">
      <w:pPr>
        <w:spacing w:before="100" w:beforeAutospacing="1" w:after="100" w:afterAutospacing="1" w:line="240" w:lineRule="auto"/>
        <w:rPr>
          <w:rFonts w:ascii="Times New Roman" w:eastAsia="Times New Roman" w:hAnsi="Times New Roman" w:cs="Times New Roman"/>
          <w:sz w:val="24"/>
          <w:szCs w:val="24"/>
          <w:lang w:eastAsia="cs-CZ"/>
        </w:rPr>
      </w:pPr>
      <w:r w:rsidRPr="00AA044B">
        <w:rPr>
          <w:rFonts w:ascii="Arial" w:eastAsia="Times New Roman" w:hAnsi="Arial" w:cs="Arial"/>
          <w:szCs w:val="24"/>
          <w:lang w:eastAsia="cs-CZ"/>
        </w:rPr>
        <w:t>1.2</w:t>
      </w:r>
      <w:r w:rsidRPr="00AA044B">
        <w:rPr>
          <w:rFonts w:ascii="Arial" w:eastAsia="Times New Roman" w:hAnsi="Arial" w:cs="Arial"/>
          <w:b/>
          <w:bCs/>
          <w:szCs w:val="24"/>
          <w:lang w:eastAsia="cs-CZ"/>
        </w:rPr>
        <w:t xml:space="preserve"> Zhotovitel</w:t>
      </w:r>
    </w:p>
    <w:p w:rsidR="00AA044B" w:rsidRPr="00AA044B" w:rsidRDefault="00AA044B" w:rsidP="00AA044B">
      <w:pPr>
        <w:pStyle w:val="Bezmezer"/>
        <w:rPr>
          <w:rFonts w:ascii="Arial" w:hAnsi="Arial" w:cs="Arial"/>
          <w:lang w:eastAsia="cs-CZ"/>
        </w:rPr>
      </w:pPr>
      <w:r w:rsidRPr="00AA044B">
        <w:rPr>
          <w:rFonts w:ascii="Arial" w:hAnsi="Arial" w:cs="Arial"/>
          <w:lang w:eastAsia="cs-CZ"/>
        </w:rPr>
        <w:t xml:space="preserve">Jméno: ČSOP Hasina Louny </w:t>
      </w:r>
    </w:p>
    <w:p w:rsidR="00AA044B" w:rsidRPr="00AA044B" w:rsidRDefault="00AA044B" w:rsidP="00AA044B">
      <w:pPr>
        <w:pStyle w:val="Bezmezer"/>
        <w:rPr>
          <w:rFonts w:ascii="Arial" w:eastAsia="Times New Roman" w:hAnsi="Arial" w:cs="Arial"/>
          <w:lang w:eastAsia="cs-CZ"/>
        </w:rPr>
      </w:pPr>
      <w:r w:rsidRPr="00AA044B">
        <w:rPr>
          <w:rFonts w:ascii="Arial" w:eastAsia="Times New Roman" w:hAnsi="Arial" w:cs="Arial"/>
          <w:lang w:eastAsia="cs-CZ"/>
        </w:rPr>
        <w:t>Sídlo: Vladislavova 391, 440 01 Louny</w:t>
      </w:r>
      <w:r w:rsidRPr="00AA044B">
        <w:rPr>
          <w:rFonts w:ascii="Arial" w:eastAsia="Times New Roman" w:hAnsi="Arial" w:cs="Arial"/>
          <w:lang w:eastAsia="cs-CZ"/>
        </w:rPr>
        <w:br/>
        <w:t xml:space="preserve">Zastoupený: Ing. Jiří Vojar, Ph.D. </w:t>
      </w:r>
      <w:r w:rsidRPr="00AA044B">
        <w:rPr>
          <w:rFonts w:ascii="Arial" w:eastAsia="Times New Roman" w:hAnsi="Arial" w:cs="Arial"/>
          <w:lang w:eastAsia="cs-CZ"/>
        </w:rPr>
        <w:br/>
        <w:t xml:space="preserve">Bankovní spojení: Fio Banka, </w:t>
      </w:r>
      <w:r>
        <w:rPr>
          <w:rFonts w:ascii="Arial" w:eastAsia="Times New Roman" w:hAnsi="Arial" w:cs="Arial"/>
          <w:lang w:eastAsia="cs-CZ"/>
        </w:rPr>
        <w:t>č</w:t>
      </w:r>
      <w:r w:rsidRPr="00AA044B">
        <w:rPr>
          <w:rFonts w:ascii="Arial" w:eastAsia="Times New Roman" w:hAnsi="Arial" w:cs="Arial"/>
          <w:lang w:eastAsia="cs-CZ"/>
        </w:rPr>
        <w:t xml:space="preserve">íslo účtu: </w:t>
      </w:r>
      <w:r w:rsidRPr="00AA044B">
        <w:rPr>
          <w:rFonts w:ascii="Arial" w:hAnsi="Arial" w:cs="Arial"/>
        </w:rPr>
        <w:t>2600384561/2010</w:t>
      </w:r>
      <w:r w:rsidRPr="00AA044B">
        <w:rPr>
          <w:rFonts w:ascii="Arial" w:eastAsia="Times New Roman" w:hAnsi="Arial" w:cs="Arial"/>
          <w:lang w:eastAsia="cs-CZ"/>
        </w:rPr>
        <w:br/>
        <w:t>IČO: 00133744</w:t>
      </w:r>
    </w:p>
    <w:p w:rsidR="00AA044B" w:rsidRDefault="00AA044B" w:rsidP="00AA044B">
      <w:pPr>
        <w:spacing w:after="0" w:line="240" w:lineRule="auto"/>
        <w:rPr>
          <w:rFonts w:ascii="Arial" w:eastAsia="Times New Roman" w:hAnsi="Arial" w:cs="Arial"/>
          <w:szCs w:val="24"/>
          <w:lang w:eastAsia="cs-CZ"/>
        </w:rPr>
      </w:pPr>
    </w:p>
    <w:p w:rsidR="004F4159" w:rsidRPr="00AA044B" w:rsidRDefault="00AA044B" w:rsidP="00AA044B">
      <w:pPr>
        <w:spacing w:after="0" w:line="240" w:lineRule="auto"/>
        <w:rPr>
          <w:rFonts w:ascii="Arial" w:eastAsia="Times New Roman" w:hAnsi="Arial" w:cs="Arial"/>
          <w:szCs w:val="24"/>
          <w:lang w:eastAsia="cs-CZ"/>
        </w:rPr>
      </w:pPr>
      <w:r w:rsidRPr="00AA044B">
        <w:rPr>
          <w:rFonts w:ascii="Arial" w:eastAsia="Times New Roman" w:hAnsi="Arial" w:cs="Arial"/>
          <w:szCs w:val="24"/>
          <w:lang w:eastAsia="cs-CZ"/>
        </w:rPr>
        <w:t xml:space="preserve"> </w:t>
      </w:r>
      <w:r w:rsidR="003F413B" w:rsidRPr="00AA044B">
        <w:rPr>
          <w:rFonts w:ascii="Arial" w:eastAsia="Times New Roman" w:hAnsi="Arial" w:cs="Arial"/>
          <w:szCs w:val="24"/>
          <w:lang w:eastAsia="cs-CZ"/>
        </w:rPr>
        <w:t xml:space="preserve">(dále jen </w:t>
      </w:r>
      <w:r w:rsidR="003F413B" w:rsidRPr="00AA044B">
        <w:rPr>
          <w:rFonts w:ascii="Arial" w:eastAsia="Times New Roman" w:hAnsi="Arial" w:cs="Arial"/>
        </w:rPr>
        <w:t>„</w:t>
      </w:r>
      <w:r w:rsidR="003F413B" w:rsidRPr="00AA044B">
        <w:rPr>
          <w:rFonts w:ascii="Arial" w:eastAsia="Times New Roman" w:hAnsi="Arial" w:cs="Arial"/>
          <w:szCs w:val="24"/>
          <w:lang w:eastAsia="cs-CZ"/>
        </w:rPr>
        <w:t xml:space="preserve">zhotovitel”) </w:t>
      </w:r>
    </w:p>
    <w:p w:rsidR="003F413B" w:rsidRPr="003F413B" w:rsidRDefault="003F413B" w:rsidP="00BC33D6">
      <w:pPr>
        <w:spacing w:before="240" w:after="24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II. Předmět smlouvy</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2.1 </w:t>
      </w:r>
      <w:r w:rsidRPr="003F413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F4159" w:rsidRDefault="003F413B" w:rsidP="003F413B">
      <w:pPr>
        <w:keepLines/>
        <w:spacing w:before="120" w:after="120" w:line="240" w:lineRule="auto"/>
        <w:ind w:left="340" w:hanging="340"/>
        <w:jc w:val="both"/>
        <w:rPr>
          <w:rFonts w:ascii="Arial" w:eastAsia="Times New Roman" w:hAnsi="Arial" w:cs="Arial"/>
          <w:szCs w:val="24"/>
          <w:lang w:eastAsia="cs-CZ"/>
        </w:rPr>
      </w:pPr>
      <w:r w:rsidRPr="003F413B">
        <w:rPr>
          <w:rFonts w:ascii="Arial" w:eastAsia="Times New Roman" w:hAnsi="Arial" w:cs="Arial"/>
          <w:szCs w:val="24"/>
          <w:lang w:eastAsia="cs-CZ"/>
        </w:rPr>
        <w:t xml:space="preserve">2.2 Dílem se rozumí: </w:t>
      </w:r>
    </w:p>
    <w:p w:rsidR="004F4159" w:rsidRDefault="003F413B" w:rsidP="004F4159">
      <w:pPr>
        <w:keepLines/>
        <w:spacing w:before="120" w:after="120" w:line="240" w:lineRule="auto"/>
        <w:ind w:left="340"/>
        <w:jc w:val="both"/>
        <w:rPr>
          <w:rFonts w:ascii="Arial" w:eastAsia="Times New Roman" w:hAnsi="Arial" w:cs="Arial"/>
          <w:szCs w:val="24"/>
          <w:lang w:eastAsia="cs-CZ"/>
        </w:rPr>
      </w:pPr>
      <w:r w:rsidRPr="003F413B">
        <w:rPr>
          <w:rFonts w:ascii="Arial" w:eastAsia="Times New Roman" w:hAnsi="Arial" w:cs="Arial"/>
          <w:szCs w:val="24"/>
          <w:lang w:eastAsia="cs-CZ"/>
        </w:rPr>
        <w:t>Obnova původních biotopů na části Dobroměřické pískovny, p. p. č. 413/16, 413/18, 413/19, 413/20, 413/21, 413/24, 413/25, 413/31, 428 k. ú. Dobroměřice. Bude provedeno:</w:t>
      </w:r>
    </w:p>
    <w:p w:rsidR="004F4159" w:rsidRDefault="003F413B" w:rsidP="004F4159">
      <w:pPr>
        <w:pStyle w:val="Odstavecseseznamem"/>
        <w:keepLines/>
        <w:numPr>
          <w:ilvl w:val="0"/>
          <w:numId w:val="2"/>
        </w:numPr>
        <w:spacing w:before="120" w:after="120" w:line="240" w:lineRule="auto"/>
        <w:ind w:left="284" w:hanging="284"/>
        <w:jc w:val="both"/>
        <w:rPr>
          <w:rFonts w:ascii="Arial" w:eastAsia="Times New Roman" w:hAnsi="Arial" w:cs="Arial"/>
          <w:szCs w:val="24"/>
          <w:lang w:eastAsia="cs-CZ"/>
        </w:rPr>
      </w:pPr>
      <w:r w:rsidRPr="004F4159">
        <w:rPr>
          <w:rFonts w:ascii="Arial" w:eastAsia="Times New Roman" w:hAnsi="Arial" w:cs="Arial"/>
          <w:szCs w:val="24"/>
          <w:lang w:eastAsia="cs-CZ"/>
        </w:rPr>
        <w:t>Kosení travních porostů, především vysokých ostřic, na vymezené ploše 1,91 ha. Z důvodu výskytu dřevin (130 ks topolů osik o průměru 11-20 cm na pařízku) je kosená výměra snížena na 1,90 ha. Veškerá pokosená hmota bude shrabána, odklizena z pozemků a využita v souladu s platnými právními předpisy. Jsou zde ztížené podmínky - jedná se o dlouhodobě neobhospodařované a podmáčené pozemky.</w:t>
      </w:r>
    </w:p>
    <w:p w:rsidR="004F4159" w:rsidRPr="00F25880" w:rsidRDefault="004F4159" w:rsidP="004F4159">
      <w:pPr>
        <w:pStyle w:val="Odstavecseseznamem"/>
        <w:keepLines/>
        <w:spacing w:before="120" w:after="120" w:line="240" w:lineRule="auto"/>
        <w:ind w:left="284" w:hanging="284"/>
        <w:jc w:val="both"/>
        <w:rPr>
          <w:rFonts w:ascii="Arial" w:eastAsia="Times New Roman" w:hAnsi="Arial" w:cs="Arial"/>
          <w:sz w:val="12"/>
          <w:szCs w:val="12"/>
          <w:lang w:eastAsia="cs-CZ"/>
        </w:rPr>
      </w:pPr>
    </w:p>
    <w:p w:rsidR="004F4159" w:rsidRDefault="003F413B" w:rsidP="004F4159">
      <w:pPr>
        <w:pStyle w:val="Odstavecseseznamem"/>
        <w:keepLines/>
        <w:numPr>
          <w:ilvl w:val="0"/>
          <w:numId w:val="2"/>
        </w:numPr>
        <w:spacing w:before="120" w:after="120" w:line="240" w:lineRule="auto"/>
        <w:ind w:left="284" w:hanging="284"/>
        <w:jc w:val="both"/>
        <w:rPr>
          <w:rFonts w:ascii="Arial" w:eastAsia="Times New Roman" w:hAnsi="Arial" w:cs="Arial"/>
          <w:szCs w:val="24"/>
          <w:lang w:eastAsia="cs-CZ"/>
        </w:rPr>
      </w:pPr>
      <w:r w:rsidRPr="004F4159">
        <w:rPr>
          <w:rFonts w:ascii="Arial" w:eastAsia="Times New Roman" w:hAnsi="Arial" w:cs="Arial"/>
          <w:szCs w:val="24"/>
          <w:lang w:eastAsia="cs-CZ"/>
        </w:rPr>
        <w:lastRenderedPageBreak/>
        <w:t xml:space="preserve">Vyřezání nežádoucích dřevin do 3 m výšky a 10 cm na pařízku (především šípků, hlohů, svídy) na vymezené ploše 1,80 ha. Z důvodu mozaikovitého výřezu je vyřezávaná výměra snížena na 50 %, tj. na 0,9 ha. Veškerá vyřezaná hmota bude odklizena z pozemků a využita v souladu s platnými právními předpisy. Dřeviny budou vyřezány co nejníže u země, aby bylo možné pozemky v budoucích letech bez problémů obhospodařovat. Jsou zde ztížené podmínky - jedná se o podmáčené pozemky, vyřezávány jsou </w:t>
      </w:r>
      <w:r w:rsidR="004F4159">
        <w:rPr>
          <w:rFonts w:ascii="Arial" w:eastAsia="Times New Roman" w:hAnsi="Arial" w:cs="Arial"/>
          <w:szCs w:val="24"/>
          <w:lang w:eastAsia="cs-CZ"/>
        </w:rPr>
        <w:t xml:space="preserve">částečně </w:t>
      </w:r>
      <w:r w:rsidRPr="004F4159">
        <w:rPr>
          <w:rFonts w:ascii="Arial" w:eastAsia="Times New Roman" w:hAnsi="Arial" w:cs="Arial"/>
          <w:szCs w:val="24"/>
          <w:lang w:eastAsia="cs-CZ"/>
        </w:rPr>
        <w:t>trnité dřeviny.</w:t>
      </w:r>
    </w:p>
    <w:p w:rsidR="004F4159" w:rsidRPr="00F25880" w:rsidRDefault="004F4159" w:rsidP="004F4159">
      <w:pPr>
        <w:pStyle w:val="Odstavecseseznamem"/>
        <w:ind w:left="284" w:hanging="284"/>
        <w:rPr>
          <w:rFonts w:ascii="Arial" w:eastAsia="Times New Roman" w:hAnsi="Arial" w:cs="Arial"/>
          <w:sz w:val="12"/>
          <w:szCs w:val="12"/>
          <w:lang w:eastAsia="cs-CZ"/>
        </w:rPr>
      </w:pPr>
    </w:p>
    <w:p w:rsidR="004F4159" w:rsidRPr="00F25880" w:rsidRDefault="004F4159" w:rsidP="004F4159">
      <w:pPr>
        <w:pStyle w:val="Odstavecseseznamem"/>
        <w:ind w:left="284" w:hanging="284"/>
        <w:rPr>
          <w:rFonts w:ascii="Arial" w:eastAsia="Times New Roman" w:hAnsi="Arial" w:cs="Arial"/>
          <w:sz w:val="12"/>
          <w:szCs w:val="12"/>
          <w:lang w:eastAsia="cs-CZ"/>
        </w:rPr>
      </w:pPr>
    </w:p>
    <w:p w:rsidR="003F413B" w:rsidRPr="002F39C3" w:rsidRDefault="003F413B" w:rsidP="004F4159">
      <w:pPr>
        <w:pStyle w:val="Odstavecseseznamem"/>
        <w:keepLines/>
        <w:numPr>
          <w:ilvl w:val="0"/>
          <w:numId w:val="2"/>
        </w:numPr>
        <w:spacing w:before="120" w:after="120" w:line="240" w:lineRule="auto"/>
        <w:ind w:left="284" w:hanging="284"/>
        <w:jc w:val="both"/>
        <w:rPr>
          <w:rFonts w:ascii="Times New Roman" w:eastAsia="Times New Roman" w:hAnsi="Times New Roman" w:cs="Times New Roman"/>
          <w:sz w:val="24"/>
          <w:szCs w:val="24"/>
          <w:lang w:eastAsia="cs-CZ"/>
        </w:rPr>
      </w:pPr>
      <w:r w:rsidRPr="004F4159">
        <w:rPr>
          <w:rFonts w:ascii="Arial" w:eastAsia="Times New Roman" w:hAnsi="Arial" w:cs="Arial"/>
          <w:szCs w:val="24"/>
          <w:lang w:eastAsia="cs-CZ"/>
        </w:rPr>
        <w:t>Pokácení 130 ks výmladných stromů topolu osiky o průměru kmene na pařízku 11-20 cm. Stromy budou pokáceny co nejníže u země, aby bylo možné plochu v budoucnosti obhospodařovat. Slabší dřevní hmota (do cca 7 cm) bude odklizena s vyřezávané plochy a využita v souladu s platnými právními předpisy. Silnější dřevní hmota bude složena na hromady dle pokynů pracovníka AOPK ČR, RP Správa CHKO České středohoří.</w:t>
      </w:r>
    </w:p>
    <w:p w:rsidR="002F39C3" w:rsidRPr="00F25880" w:rsidRDefault="002F39C3" w:rsidP="002F39C3">
      <w:pPr>
        <w:pStyle w:val="Odstavecseseznamem"/>
        <w:rPr>
          <w:rFonts w:ascii="Arial" w:eastAsia="Times New Roman" w:hAnsi="Arial" w:cs="Arial"/>
          <w:sz w:val="12"/>
          <w:szCs w:val="12"/>
          <w:lang w:eastAsia="cs-CZ"/>
        </w:rPr>
      </w:pPr>
    </w:p>
    <w:p w:rsidR="002F39C3" w:rsidRPr="004F4159" w:rsidRDefault="002F39C3" w:rsidP="00F25880">
      <w:pPr>
        <w:pStyle w:val="Odstavecseseznamem"/>
        <w:keepLines/>
        <w:spacing w:before="120" w:after="0" w:line="240" w:lineRule="auto"/>
        <w:ind w:left="284"/>
        <w:jc w:val="both"/>
        <w:rPr>
          <w:rFonts w:ascii="Times New Roman" w:eastAsia="Times New Roman" w:hAnsi="Times New Roman" w:cs="Times New Roman"/>
          <w:sz w:val="24"/>
          <w:szCs w:val="24"/>
          <w:lang w:eastAsia="cs-CZ"/>
        </w:rPr>
      </w:pPr>
      <w:r w:rsidRPr="002F39C3">
        <w:rPr>
          <w:rFonts w:ascii="Arial" w:eastAsia="Times New Roman" w:hAnsi="Arial" w:cs="Arial"/>
          <w:lang w:eastAsia="cs-CZ"/>
        </w:rPr>
        <w:t xml:space="preserve">Práce budou provedeny </w:t>
      </w:r>
      <w:r w:rsidRPr="002F39C3">
        <w:rPr>
          <w:rFonts w:ascii="Arial" w:hAnsi="Arial" w:cs="Arial"/>
        </w:rPr>
        <w:t>v souladu se standard</w:t>
      </w:r>
      <w:r w:rsidR="00F25880">
        <w:rPr>
          <w:rFonts w:ascii="Arial" w:hAnsi="Arial" w:cs="Arial"/>
        </w:rPr>
        <w:t>y</w:t>
      </w:r>
      <w:r w:rsidRPr="002F39C3">
        <w:rPr>
          <w:rFonts w:ascii="Arial" w:hAnsi="Arial" w:cs="Arial"/>
        </w:rPr>
        <w:t xml:space="preserve"> AOPK</w:t>
      </w:r>
      <w:r w:rsidR="00F25880">
        <w:rPr>
          <w:rFonts w:ascii="Arial" w:hAnsi="Arial" w:cs="Arial"/>
        </w:rPr>
        <w:t xml:space="preserve"> ČR</w:t>
      </w:r>
      <w:r w:rsidRPr="002F39C3">
        <w:rPr>
          <w:rFonts w:ascii="Arial" w:hAnsi="Arial" w:cs="Arial"/>
        </w:rPr>
        <w:t>: 02 005</w:t>
      </w:r>
      <w:r>
        <w:rPr>
          <w:rFonts w:ascii="Arial" w:hAnsi="Arial" w:cs="Arial"/>
        </w:rPr>
        <w:t xml:space="preserve"> Kácení stromů </w:t>
      </w:r>
      <w:r w:rsidR="0040406D">
        <w:rPr>
          <w:rFonts w:ascii="Arial" w:hAnsi="Arial" w:cs="Arial"/>
        </w:rPr>
        <w:t>a</w:t>
      </w:r>
      <w:r>
        <w:rPr>
          <w:rFonts w:ascii="Arial" w:hAnsi="Arial" w:cs="Arial"/>
        </w:rPr>
        <w:t xml:space="preserve"> 02 004 Sečení.</w:t>
      </w:r>
    </w:p>
    <w:p w:rsidR="003F413B" w:rsidRPr="003F413B" w:rsidRDefault="003F413B" w:rsidP="00F25880">
      <w:pPr>
        <w:spacing w:before="120" w:after="100" w:afterAutospacing="1" w:line="240" w:lineRule="auto"/>
        <w:ind w:firstLine="284"/>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(dále jen „dílo“)</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2.3 Při provádění díla je zhotovitel vázán pokyny objednatele.</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F413B" w:rsidRPr="003F413B" w:rsidRDefault="003F413B" w:rsidP="00BC33D6">
      <w:pPr>
        <w:spacing w:before="240" w:after="24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III. Cena díla a platební podmínky</w:t>
      </w:r>
    </w:p>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3.1 Cena díla je stanovena v souladu s právními předpisy:</w:t>
      </w:r>
    </w:p>
    <w:p w:rsidR="0040406D" w:rsidRDefault="003F413B" w:rsidP="003F413B">
      <w:pPr>
        <w:spacing w:before="120" w:after="120" w:line="240" w:lineRule="auto"/>
        <w:ind w:left="340"/>
        <w:jc w:val="both"/>
        <w:rPr>
          <w:rFonts w:ascii="Arial" w:eastAsia="Times New Roman" w:hAnsi="Arial" w:cs="Arial"/>
          <w:szCs w:val="24"/>
          <w:lang w:eastAsia="cs-CZ"/>
        </w:rPr>
      </w:pPr>
      <w:r w:rsidRPr="003F413B">
        <w:rPr>
          <w:rFonts w:ascii="Arial" w:eastAsia="Times New Roman" w:hAnsi="Arial" w:cs="Arial"/>
          <w:szCs w:val="24"/>
          <w:lang w:eastAsia="cs-CZ"/>
        </w:rPr>
        <w:t xml:space="preserve">Cena bez DPH: </w:t>
      </w:r>
      <w:r w:rsidR="000F0935">
        <w:rPr>
          <w:rFonts w:ascii="Arial" w:eastAsia="Times New Roman" w:hAnsi="Arial" w:cs="Arial"/>
          <w:szCs w:val="24"/>
          <w:lang w:eastAsia="cs-CZ"/>
        </w:rPr>
        <w:t>207.450</w:t>
      </w:r>
      <w:r w:rsidRPr="003F413B">
        <w:rPr>
          <w:rFonts w:ascii="Arial" w:eastAsia="Times New Roman" w:hAnsi="Arial" w:cs="Arial"/>
          <w:szCs w:val="24"/>
          <w:lang w:eastAsia="cs-CZ"/>
        </w:rPr>
        <w:t>,-</w:t>
      </w:r>
      <w:r w:rsidR="00F25880">
        <w:rPr>
          <w:rFonts w:ascii="Arial" w:eastAsia="Times New Roman" w:hAnsi="Arial" w:cs="Arial"/>
          <w:szCs w:val="24"/>
          <w:lang w:eastAsia="cs-CZ"/>
        </w:rPr>
        <w:t xml:space="preserve"> </w:t>
      </w:r>
      <w:r w:rsidRPr="003F413B">
        <w:rPr>
          <w:rFonts w:ascii="Arial" w:eastAsia="Times New Roman" w:hAnsi="Arial" w:cs="Arial"/>
          <w:szCs w:val="24"/>
          <w:lang w:eastAsia="cs-CZ"/>
        </w:rPr>
        <w:t>Kč</w:t>
      </w:r>
      <w:r w:rsidR="00F25880">
        <w:rPr>
          <w:rFonts w:ascii="Arial" w:eastAsia="Times New Roman" w:hAnsi="Arial" w:cs="Arial"/>
          <w:szCs w:val="24"/>
          <w:lang w:eastAsia="cs-CZ"/>
        </w:rPr>
        <w:t xml:space="preserve">, </w:t>
      </w:r>
    </w:p>
    <w:p w:rsidR="0040406D" w:rsidRDefault="003F413B" w:rsidP="003F413B">
      <w:pPr>
        <w:spacing w:before="120" w:after="120" w:line="240" w:lineRule="auto"/>
        <w:ind w:left="340"/>
        <w:jc w:val="both"/>
        <w:rPr>
          <w:rFonts w:ascii="Arial" w:eastAsia="Times New Roman" w:hAnsi="Arial" w:cs="Arial"/>
          <w:szCs w:val="24"/>
          <w:lang w:eastAsia="cs-CZ"/>
        </w:rPr>
      </w:pPr>
      <w:r w:rsidRPr="003F413B">
        <w:rPr>
          <w:rFonts w:ascii="Arial" w:eastAsia="Times New Roman" w:hAnsi="Arial" w:cs="Arial"/>
          <w:szCs w:val="24"/>
          <w:lang w:eastAsia="cs-CZ"/>
        </w:rPr>
        <w:t>DPH 21%: 0,-</w:t>
      </w:r>
      <w:r w:rsidR="00F25880">
        <w:rPr>
          <w:rFonts w:ascii="Arial" w:eastAsia="Times New Roman" w:hAnsi="Arial" w:cs="Arial"/>
          <w:szCs w:val="24"/>
          <w:lang w:eastAsia="cs-CZ"/>
        </w:rPr>
        <w:t xml:space="preserve"> </w:t>
      </w:r>
      <w:r w:rsidRPr="003F413B">
        <w:rPr>
          <w:rFonts w:ascii="Arial" w:eastAsia="Times New Roman" w:hAnsi="Arial" w:cs="Arial"/>
          <w:szCs w:val="24"/>
          <w:lang w:eastAsia="cs-CZ"/>
        </w:rPr>
        <w:t>Kč</w:t>
      </w:r>
      <w:r w:rsidR="00F25880">
        <w:rPr>
          <w:rFonts w:ascii="Arial" w:eastAsia="Times New Roman" w:hAnsi="Arial" w:cs="Arial"/>
          <w:szCs w:val="24"/>
          <w:lang w:eastAsia="cs-CZ"/>
        </w:rPr>
        <w:t xml:space="preserve">, </w:t>
      </w:r>
    </w:p>
    <w:p w:rsidR="0040406D" w:rsidRDefault="003F413B" w:rsidP="003F413B">
      <w:pPr>
        <w:spacing w:before="120" w:after="120" w:line="240" w:lineRule="auto"/>
        <w:ind w:left="340"/>
        <w:jc w:val="both"/>
        <w:rPr>
          <w:rFonts w:ascii="Arial" w:eastAsia="Times New Roman" w:hAnsi="Arial" w:cs="Arial"/>
          <w:szCs w:val="24"/>
          <w:lang w:eastAsia="cs-CZ"/>
        </w:rPr>
      </w:pPr>
      <w:r w:rsidRPr="003F413B">
        <w:rPr>
          <w:rFonts w:ascii="Arial" w:eastAsia="Times New Roman" w:hAnsi="Arial" w:cs="Arial"/>
          <w:szCs w:val="24"/>
          <w:lang w:eastAsia="cs-CZ"/>
        </w:rPr>
        <w:t>Cena včetně DPH:</w:t>
      </w:r>
      <w:r w:rsidR="00F25880">
        <w:rPr>
          <w:rFonts w:ascii="Arial" w:eastAsia="Times New Roman" w:hAnsi="Arial" w:cs="Arial"/>
          <w:szCs w:val="24"/>
          <w:lang w:eastAsia="cs-CZ"/>
        </w:rPr>
        <w:t xml:space="preserve"> </w:t>
      </w:r>
      <w:r w:rsidR="000F0935">
        <w:rPr>
          <w:rFonts w:ascii="Arial" w:eastAsia="Times New Roman" w:hAnsi="Arial" w:cs="Arial"/>
          <w:szCs w:val="24"/>
          <w:lang w:eastAsia="cs-CZ"/>
        </w:rPr>
        <w:t>207.450</w:t>
      </w:r>
      <w:r w:rsidRPr="003F413B">
        <w:rPr>
          <w:rFonts w:ascii="Arial" w:eastAsia="Times New Roman" w:hAnsi="Arial" w:cs="Arial"/>
          <w:szCs w:val="24"/>
          <w:lang w:eastAsia="cs-CZ"/>
        </w:rPr>
        <w:t xml:space="preserve">,- Kč </w:t>
      </w:r>
    </w:p>
    <w:p w:rsidR="003F413B" w:rsidRPr="003F413B" w:rsidRDefault="003F413B" w:rsidP="003F413B">
      <w:pPr>
        <w:spacing w:before="120" w:after="120" w:line="240" w:lineRule="auto"/>
        <w:ind w:left="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(slovy </w:t>
      </w:r>
      <w:r w:rsidR="000F0935">
        <w:rPr>
          <w:rFonts w:ascii="Arial" w:eastAsia="Times New Roman" w:hAnsi="Arial" w:cs="Arial"/>
          <w:szCs w:val="24"/>
          <w:lang w:eastAsia="cs-CZ"/>
        </w:rPr>
        <w:t>dvěstěsedmčtyřistapadesátkorunčeských</w:t>
      </w:r>
      <w:r w:rsidRPr="003F413B">
        <w:rPr>
          <w:rFonts w:ascii="Arial" w:eastAsia="Times New Roman" w:hAnsi="Arial" w:cs="Arial"/>
          <w:szCs w:val="24"/>
          <w:lang w:eastAsia="cs-CZ"/>
        </w:rPr>
        <w:t>).</w:t>
      </w:r>
    </w:p>
    <w:p w:rsidR="003F413B" w:rsidRPr="003F413B" w:rsidRDefault="003F413B" w:rsidP="003F413B">
      <w:pPr>
        <w:spacing w:before="120" w:after="120" w:line="240" w:lineRule="auto"/>
        <w:ind w:left="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Zhotovitel </w:t>
      </w:r>
      <w:r w:rsidR="00F25880">
        <w:rPr>
          <w:rFonts w:ascii="Arial" w:eastAsia="Times New Roman" w:hAnsi="Arial" w:cs="Arial"/>
          <w:szCs w:val="24"/>
          <w:lang w:eastAsia="cs-CZ"/>
        </w:rPr>
        <w:t>není</w:t>
      </w:r>
      <w:r w:rsidRPr="003F413B">
        <w:rPr>
          <w:rFonts w:ascii="Arial" w:eastAsia="Times New Roman" w:hAnsi="Arial" w:cs="Arial"/>
          <w:szCs w:val="24"/>
          <w:lang w:eastAsia="cs-CZ"/>
        </w:rPr>
        <w:t xml:space="preserve"> plátce DPH.</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3.2 Dohodnutá cena je stanovena jako nejvýše přípustná. Ke změně může dojít pouze při změně zákonných sazeb DPH.</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3.3 Veškeré náklady vzniklé zhotoviteli v souvislosti s prováděním díla jsou zahrnuty v ceně díla.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sidR="00F25880">
        <w:rPr>
          <w:rFonts w:ascii="Arial" w:eastAsia="Times New Roman" w:hAnsi="Arial" w:cs="Arial"/>
          <w:szCs w:val="24"/>
          <w:lang w:eastAsia="cs-CZ"/>
        </w:rPr>
        <w:t>22</w:t>
      </w:r>
      <w:r w:rsidRPr="003F413B">
        <w:rPr>
          <w:rFonts w:ascii="Arial" w:eastAsia="Times New Roman" w:hAnsi="Arial" w:cs="Arial"/>
          <w:szCs w:val="24"/>
          <w:lang w:eastAsia="cs-CZ"/>
        </w:rPr>
        <w:t>.</w:t>
      </w:r>
      <w:r w:rsidR="00F25880">
        <w:rPr>
          <w:rFonts w:ascii="Arial" w:eastAsia="Times New Roman" w:hAnsi="Arial" w:cs="Arial"/>
          <w:szCs w:val="24"/>
          <w:lang w:eastAsia="cs-CZ"/>
        </w:rPr>
        <w:t xml:space="preserve"> </w:t>
      </w:r>
      <w:r w:rsidRPr="003F413B">
        <w:rPr>
          <w:rFonts w:ascii="Arial" w:eastAsia="Times New Roman" w:hAnsi="Arial" w:cs="Arial"/>
          <w:szCs w:val="24"/>
          <w:lang w:eastAsia="cs-CZ"/>
        </w:rPr>
        <w:t>11. kalendářního roku) na základě předávacího protokolu na adresu: Regionální pracoviště SCHKO České středohoří, Michalská 260, 41201 Litoměřice.</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3F413B" w:rsidRDefault="003F413B" w:rsidP="003F413B">
      <w:pPr>
        <w:keepLines/>
        <w:spacing w:before="120" w:after="120" w:line="240" w:lineRule="auto"/>
        <w:ind w:left="340" w:hanging="340"/>
        <w:jc w:val="both"/>
        <w:rPr>
          <w:rFonts w:ascii="Arial" w:eastAsia="Times New Roman" w:hAnsi="Arial" w:cs="Arial"/>
          <w:szCs w:val="24"/>
          <w:lang w:eastAsia="cs-CZ"/>
        </w:rPr>
      </w:pPr>
      <w:r w:rsidRPr="003F413B">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40406D" w:rsidRPr="003F413B" w:rsidRDefault="0040406D"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lastRenderedPageBreak/>
        <w:t xml:space="preserve">3.7 Smluvní strany se dohodly, že objednatel nebude poskytovat zálohové platby. </w:t>
      </w:r>
    </w:p>
    <w:p w:rsidR="003F413B" w:rsidRPr="003F413B" w:rsidRDefault="003F413B" w:rsidP="00BC33D6">
      <w:pPr>
        <w:spacing w:before="240" w:after="24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IV.</w:t>
      </w:r>
      <w:r w:rsidRPr="003F413B">
        <w:rPr>
          <w:rFonts w:ascii="Arial" w:eastAsia="Times New Roman" w:hAnsi="Arial" w:cs="Arial"/>
          <w:szCs w:val="24"/>
          <w:lang w:eastAsia="cs-CZ"/>
        </w:rPr>
        <w:t xml:space="preserve"> </w:t>
      </w:r>
      <w:r w:rsidRPr="003F413B">
        <w:rPr>
          <w:rFonts w:ascii="Arial" w:eastAsia="Times New Roman" w:hAnsi="Arial" w:cs="Arial"/>
          <w:b/>
          <w:bCs/>
          <w:szCs w:val="24"/>
          <w:lang w:eastAsia="cs-CZ"/>
        </w:rPr>
        <w:t>Doba a místo plnění</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4.1 Zhotovitel se zavazuje provést dílo a předat jej objednateli nejpozději </w:t>
      </w:r>
      <w:proofErr w:type="gramStart"/>
      <w:r w:rsidRPr="003F413B">
        <w:rPr>
          <w:rFonts w:ascii="Arial" w:eastAsia="Times New Roman" w:hAnsi="Arial" w:cs="Arial"/>
          <w:szCs w:val="24"/>
          <w:lang w:eastAsia="cs-CZ"/>
        </w:rPr>
        <w:t>do</w:t>
      </w:r>
      <w:proofErr w:type="gramEnd"/>
      <w:r w:rsidRPr="003F413B">
        <w:rPr>
          <w:rFonts w:ascii="Arial" w:eastAsia="Times New Roman" w:hAnsi="Arial" w:cs="Arial"/>
          <w:szCs w:val="24"/>
          <w:lang w:eastAsia="cs-CZ"/>
        </w:rPr>
        <w:t>: 20.</w:t>
      </w:r>
      <w:r w:rsidR="00BC33D6">
        <w:rPr>
          <w:rFonts w:ascii="Arial" w:eastAsia="Times New Roman" w:hAnsi="Arial" w:cs="Arial"/>
          <w:szCs w:val="24"/>
          <w:lang w:eastAsia="cs-CZ"/>
        </w:rPr>
        <w:t xml:space="preserve"> </w:t>
      </w:r>
      <w:r w:rsidRPr="003F413B">
        <w:rPr>
          <w:rFonts w:ascii="Arial" w:eastAsia="Times New Roman" w:hAnsi="Arial" w:cs="Arial"/>
          <w:szCs w:val="24"/>
          <w:lang w:eastAsia="cs-CZ"/>
        </w:rPr>
        <w:t>11.</w:t>
      </w:r>
      <w:r w:rsidR="00BC33D6">
        <w:rPr>
          <w:rFonts w:ascii="Arial" w:eastAsia="Times New Roman" w:hAnsi="Arial" w:cs="Arial"/>
          <w:szCs w:val="24"/>
          <w:lang w:eastAsia="cs-CZ"/>
        </w:rPr>
        <w:t xml:space="preserve"> </w:t>
      </w:r>
      <w:r w:rsidRPr="003F413B">
        <w:rPr>
          <w:rFonts w:ascii="Arial" w:eastAsia="Times New Roman" w:hAnsi="Arial" w:cs="Arial"/>
          <w:szCs w:val="24"/>
          <w:lang w:eastAsia="cs-CZ"/>
        </w:rPr>
        <w:t>2020.</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4.3 Místem plnění je p. č. </w:t>
      </w:r>
      <w:bookmarkStart w:id="0" w:name="_GoBack"/>
      <w:bookmarkEnd w:id="0"/>
      <w:r w:rsidRPr="003F413B">
        <w:rPr>
          <w:rFonts w:ascii="Arial" w:eastAsia="Times New Roman" w:hAnsi="Arial" w:cs="Arial"/>
          <w:szCs w:val="24"/>
          <w:lang w:eastAsia="cs-CZ"/>
        </w:rPr>
        <w:t>413/16, 413/18, 413/19, 413/20, 413/21, 413/24, 413/25, 413/31, 428 k. ú. Dobroměřice.</w:t>
      </w:r>
    </w:p>
    <w:p w:rsidR="003F413B" w:rsidRPr="003F413B" w:rsidRDefault="003F413B" w:rsidP="00BC33D6">
      <w:pPr>
        <w:spacing w:before="240" w:after="24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V. Další ujednání</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6" w:history="1">
        <w:r w:rsidRPr="003F413B">
          <w:rPr>
            <w:rFonts w:ascii="Arial" w:eastAsia="Times New Roman" w:hAnsi="Arial" w:cs="Arial"/>
            <w:color w:val="0000FF"/>
            <w:szCs w:val="24"/>
            <w:u w:val="single"/>
            <w:lang w:eastAsia="cs-CZ"/>
          </w:rPr>
          <w:t>https://portal.nature.cz/publik_syst/files/oop_mngmonvyj.pdf</w:t>
        </w:r>
      </w:hyperlink>
      <w:r w:rsidRPr="003F413B">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3F413B" w:rsidRPr="003F413B" w:rsidRDefault="003F413B" w:rsidP="00BC33D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VI. Předání a převzetí díla</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F413B" w:rsidRPr="003F413B" w:rsidRDefault="003F413B" w:rsidP="00BC33D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VII. Odpovědnost za vady</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7.1 Zhotovitel odpovídá za vady, jež má dílo v době jeho předání objednateli, byť se vady projeví až později.</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lastRenderedPageBreak/>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7.4 Zhotovitel poskytuje na dílo záruku v délce 0 měsíců. V případě, že délka záruky činí 0 měsíců, ustanovení článků 7.5 až 7.7 pozbývají platnosti.</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F413B" w:rsidRPr="003F413B" w:rsidRDefault="003F413B" w:rsidP="00BC33D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VIII. Sankce</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8.3 Ustanoveními o smluvní pokutě není dotčen nárok oprávněné smluvní strany požadovat náhradu škody v plném rozsahu.</w:t>
      </w:r>
    </w:p>
    <w:p w:rsidR="003F413B" w:rsidRPr="003F413B" w:rsidRDefault="003F413B" w:rsidP="00BC33D6">
      <w:pPr>
        <w:keepLines/>
        <w:spacing w:before="240" w:after="240" w:line="240" w:lineRule="auto"/>
        <w:ind w:left="340" w:hanging="340"/>
        <w:jc w:val="center"/>
        <w:rPr>
          <w:rFonts w:ascii="Times New Roman" w:eastAsia="Times New Roman" w:hAnsi="Times New Roman" w:cs="Times New Roman"/>
          <w:sz w:val="24"/>
          <w:szCs w:val="24"/>
          <w:lang w:eastAsia="cs-CZ"/>
        </w:rPr>
      </w:pPr>
      <w:r w:rsidRPr="003F413B">
        <w:rPr>
          <w:rFonts w:ascii="Arial" w:eastAsia="Times New Roman" w:hAnsi="Arial" w:cs="Arial"/>
          <w:b/>
          <w:bCs/>
          <w:szCs w:val="24"/>
          <w:lang w:eastAsia="cs-CZ"/>
        </w:rPr>
        <w:t>IX. Závěrečná ustanovení</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3F413B" w:rsidRDefault="003F413B" w:rsidP="003F413B">
      <w:pPr>
        <w:keepLines/>
        <w:spacing w:before="120" w:after="120" w:line="240" w:lineRule="auto"/>
        <w:ind w:left="340" w:hanging="340"/>
        <w:jc w:val="both"/>
        <w:rPr>
          <w:rFonts w:ascii="Arial" w:eastAsia="Times New Roman" w:hAnsi="Arial" w:cs="Arial"/>
          <w:szCs w:val="24"/>
          <w:lang w:eastAsia="cs-CZ"/>
        </w:rPr>
      </w:pPr>
      <w:r w:rsidRPr="003F413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C33D6" w:rsidRPr="003F413B" w:rsidRDefault="00BC33D6"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p>
    <w:p w:rsidR="003F413B" w:rsidRPr="003F413B" w:rsidRDefault="003F413B" w:rsidP="003F413B">
      <w:pPr>
        <w:keepLines/>
        <w:spacing w:before="120" w:after="120" w:line="240" w:lineRule="auto"/>
        <w:ind w:left="340" w:hanging="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9.7 Nedílnou součástí smlouvy jsou tyto přílohy:</w:t>
      </w:r>
    </w:p>
    <w:p w:rsidR="003F413B" w:rsidRPr="003F413B" w:rsidRDefault="003F413B" w:rsidP="00E63918">
      <w:pPr>
        <w:keepLines/>
        <w:spacing w:before="120" w:after="0" w:line="240" w:lineRule="auto"/>
        <w:ind w:left="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Příloha č. 1 – položkový rozpočet</w:t>
      </w:r>
    </w:p>
    <w:p w:rsidR="003F413B" w:rsidRPr="003F413B" w:rsidRDefault="003F413B" w:rsidP="00E63918">
      <w:pPr>
        <w:keepLines/>
        <w:spacing w:after="240" w:line="240" w:lineRule="auto"/>
        <w:ind w:left="340"/>
        <w:jc w:val="both"/>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Příloha č. 2 – mapový zákres</w:t>
      </w:r>
    </w:p>
    <w:p w:rsidR="003F413B" w:rsidRPr="003F413B" w:rsidRDefault="003F413B" w:rsidP="00E63918">
      <w:pPr>
        <w:spacing w:after="0" w:line="240" w:lineRule="auto"/>
        <w:jc w:val="both"/>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91"/>
        <w:gridCol w:w="890"/>
        <w:gridCol w:w="429"/>
        <w:gridCol w:w="60"/>
        <w:gridCol w:w="1652"/>
        <w:gridCol w:w="266"/>
        <w:gridCol w:w="1002"/>
        <w:gridCol w:w="1753"/>
        <w:gridCol w:w="428"/>
        <w:gridCol w:w="60"/>
        <w:gridCol w:w="398"/>
        <w:gridCol w:w="1423"/>
        <w:gridCol w:w="212"/>
        <w:gridCol w:w="60"/>
      </w:tblGrid>
      <w:tr w:rsidR="00C30CA0" w:rsidRPr="003F413B" w:rsidTr="003F413B">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3F413B" w:rsidRPr="003F413B" w:rsidRDefault="003F413B" w:rsidP="00C30CA0">
            <w:pPr>
              <w:spacing w:after="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V </w:t>
            </w:r>
            <w:r w:rsidR="00C30CA0">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3F413B" w:rsidRPr="003F413B" w:rsidRDefault="003F413B" w:rsidP="00C30CA0">
            <w:pPr>
              <w:spacing w:after="0" w:line="240" w:lineRule="auto"/>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 xml:space="preserve">dne </w:t>
            </w:r>
            <w:r w:rsidR="00C30CA0">
              <w:rPr>
                <w:rFonts w:ascii="Arial" w:eastAsia="Times New Roman" w:hAnsi="Arial" w:cs="Arial"/>
                <w:szCs w:val="24"/>
                <w:lang w:eastAsia="cs-CZ"/>
              </w:rPr>
              <w:t>21. 10. 2020</w:t>
            </w:r>
          </w:p>
        </w:tc>
        <w:tc>
          <w:tcPr>
            <w:tcW w:w="1287"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F413B" w:rsidRPr="00AA044B" w:rsidRDefault="003F413B" w:rsidP="00C30CA0">
            <w:pPr>
              <w:spacing w:after="0" w:line="240" w:lineRule="auto"/>
              <w:jc w:val="center"/>
              <w:rPr>
                <w:rFonts w:ascii="Times New Roman" w:eastAsia="Times New Roman" w:hAnsi="Times New Roman" w:cs="Times New Roman"/>
                <w:sz w:val="24"/>
                <w:szCs w:val="24"/>
                <w:lang w:eastAsia="cs-CZ"/>
              </w:rPr>
            </w:pPr>
            <w:r w:rsidRPr="00AA044B">
              <w:rPr>
                <w:rFonts w:ascii="Arial" w:eastAsia="Times New Roman" w:hAnsi="Arial" w:cs="Arial"/>
                <w:szCs w:val="24"/>
                <w:lang w:eastAsia="cs-CZ"/>
              </w:rPr>
              <w:t xml:space="preserve">V </w:t>
            </w:r>
            <w:r w:rsidR="00C30CA0">
              <w:rPr>
                <w:rFonts w:ascii="Arial" w:eastAsia="Times New Roman" w:hAnsi="Arial" w:cs="Arial"/>
                <w:szCs w:val="24"/>
                <w:lang w:eastAsia="cs-CZ"/>
              </w:rPr>
              <w:t xml:space="preserve">Lounech </w:t>
            </w:r>
          </w:p>
        </w:tc>
        <w:tc>
          <w:tcPr>
            <w:tcW w:w="539" w:type="dxa"/>
            <w:tcBorders>
              <w:top w:val="nil"/>
              <w:left w:val="nil"/>
              <w:bottom w:val="nil"/>
              <w:right w:val="nil"/>
            </w:tcBorders>
            <w:shd w:val="clear" w:color="auto" w:fill="auto"/>
            <w:vAlign w:val="center"/>
            <w:hideMark/>
          </w:tcPr>
          <w:p w:rsidR="003F413B" w:rsidRPr="00AA044B" w:rsidRDefault="003F413B" w:rsidP="003F413B">
            <w:pPr>
              <w:spacing w:after="0" w:line="240" w:lineRule="auto"/>
              <w:rPr>
                <w:rFonts w:ascii="Times New Roman" w:eastAsia="Times New Roman" w:hAnsi="Times New Roman" w:cs="Times New Roman"/>
                <w:sz w:val="24"/>
                <w:szCs w:val="24"/>
                <w:lang w:eastAsia="cs-CZ"/>
              </w:rPr>
            </w:pPr>
            <w:r w:rsidRPr="00AA044B">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3F413B" w:rsidRPr="00AA044B" w:rsidRDefault="003F413B" w:rsidP="00C30CA0">
            <w:pPr>
              <w:spacing w:after="0" w:line="240" w:lineRule="auto"/>
              <w:rPr>
                <w:rFonts w:ascii="Times New Roman" w:eastAsia="Times New Roman" w:hAnsi="Times New Roman" w:cs="Times New Roman"/>
                <w:sz w:val="24"/>
                <w:szCs w:val="24"/>
                <w:lang w:eastAsia="cs-CZ"/>
              </w:rPr>
            </w:pPr>
            <w:r w:rsidRPr="00AA044B">
              <w:rPr>
                <w:rFonts w:ascii="Arial" w:eastAsia="Times New Roman" w:hAnsi="Arial" w:cs="Arial"/>
                <w:szCs w:val="24"/>
                <w:lang w:eastAsia="cs-CZ"/>
              </w:rPr>
              <w:t xml:space="preserve">dne </w:t>
            </w:r>
            <w:r w:rsidR="00C30CA0">
              <w:rPr>
                <w:rFonts w:ascii="Arial" w:eastAsia="Times New Roman" w:hAnsi="Arial" w:cs="Arial"/>
                <w:szCs w:val="24"/>
                <w:lang w:eastAsia="cs-CZ"/>
              </w:rPr>
              <w:t>19. 10. 2020</w:t>
            </w:r>
          </w:p>
        </w:tc>
      </w:tr>
      <w:tr w:rsidR="00C30CA0" w:rsidRPr="003F413B" w:rsidTr="003F413B">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r w:rsidR="00C30CA0" w:rsidRPr="003F413B" w:rsidTr="003F413B">
        <w:trPr>
          <w:gridAfter w:val="2"/>
          <w:wAfter w:w="310" w:type="dxa"/>
          <w:jc w:val="center"/>
        </w:trPr>
        <w:tc>
          <w:tcPr>
            <w:tcW w:w="4583" w:type="dxa"/>
            <w:gridSpan w:val="5"/>
            <w:tcBorders>
              <w:top w:val="nil"/>
              <w:left w:val="nil"/>
              <w:bottom w:val="nil"/>
              <w:right w:val="nil"/>
            </w:tcBorders>
            <w:shd w:val="clear" w:color="auto" w:fill="auto"/>
            <w:vAlign w:val="center"/>
            <w:hideMark/>
          </w:tcPr>
          <w:p w:rsidR="003F413B" w:rsidRPr="003F413B" w:rsidRDefault="003F413B" w:rsidP="00E63918">
            <w:pPr>
              <w:spacing w:after="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E63918">
            <w:pPr>
              <w:spacing w:after="0" w:line="240" w:lineRule="auto"/>
              <w:jc w:val="center"/>
              <w:rPr>
                <w:rFonts w:ascii="Times New Roman" w:eastAsia="Times New Roman" w:hAnsi="Times New Roman" w:cs="Times New Roman"/>
                <w:sz w:val="24"/>
                <w:szCs w:val="24"/>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E63918">
            <w:pPr>
              <w:spacing w:after="0"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szCs w:val="24"/>
                <w:lang w:eastAsia="cs-CZ"/>
              </w:rPr>
              <w:t>Zhotovitel</w:t>
            </w:r>
          </w:p>
        </w:tc>
      </w:tr>
      <w:tr w:rsidR="00C30CA0" w:rsidRPr="003F413B" w:rsidTr="003F413B">
        <w:trPr>
          <w:gridAfter w:val="2"/>
          <w:wAfter w:w="310" w:type="dxa"/>
          <w:trHeight w:val="388"/>
          <w:jc w:val="center"/>
        </w:trPr>
        <w:tc>
          <w:tcPr>
            <w:tcW w:w="946"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r w:rsidR="00C30CA0" w:rsidRPr="003F413B" w:rsidTr="00E63918">
        <w:trPr>
          <w:gridAfter w:val="2"/>
          <w:wAfter w:w="310" w:type="dxa"/>
          <w:trHeight w:val="590"/>
          <w:jc w:val="center"/>
        </w:trPr>
        <w:tc>
          <w:tcPr>
            <w:tcW w:w="946"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r w:rsidR="00C30CA0" w:rsidRPr="003F413B" w:rsidTr="003F413B">
        <w:trPr>
          <w:gridAfter w:val="2"/>
          <w:wAfter w:w="310" w:type="dxa"/>
          <w:jc w:val="center"/>
        </w:trPr>
        <w:tc>
          <w:tcPr>
            <w:tcW w:w="4583" w:type="dxa"/>
            <w:gridSpan w:val="5"/>
            <w:tcBorders>
              <w:top w:val="nil"/>
              <w:left w:val="nil"/>
              <w:bottom w:val="nil"/>
              <w:right w:val="nil"/>
            </w:tcBorders>
            <w:shd w:val="clear" w:color="auto" w:fill="auto"/>
            <w:vAlign w:val="center"/>
            <w:hideMark/>
          </w:tcPr>
          <w:p w:rsidR="003F413B" w:rsidRPr="003F413B" w:rsidRDefault="003F413B" w:rsidP="003F413B">
            <w:pPr>
              <w:spacing w:after="0" w:line="240" w:lineRule="auto"/>
              <w:jc w:val="center"/>
              <w:rPr>
                <w:rFonts w:ascii="Times New Roman" w:eastAsia="Times New Roman" w:hAnsi="Times New Roman" w:cs="Times New Roman"/>
                <w:sz w:val="24"/>
                <w:szCs w:val="24"/>
                <w:lang w:eastAsia="cs-CZ"/>
              </w:rPr>
            </w:pPr>
            <w:r w:rsidRPr="00E63918">
              <w:rPr>
                <w:rFonts w:ascii="Arial" w:eastAsia="Times New Roman" w:hAnsi="Arial" w:cs="Arial"/>
                <w:bCs/>
                <w:szCs w:val="24"/>
                <w:lang w:eastAsia="cs-CZ"/>
              </w:rPr>
              <w:t xml:space="preserve">Ing. Vladislav Kopecký </w:t>
            </w:r>
            <w:r w:rsidRPr="003F413B">
              <w:rPr>
                <w:rFonts w:ascii="Arial" w:eastAsia="Times New Roman" w:hAnsi="Arial" w:cs="Arial"/>
                <w:bCs/>
                <w:szCs w:val="24"/>
                <w:lang w:eastAsia="cs-CZ"/>
              </w:rPr>
              <w:br/>
            </w:r>
            <w:r w:rsidRPr="00E63918">
              <w:rPr>
                <w:rFonts w:ascii="Arial" w:eastAsia="Times New Roman" w:hAnsi="Arial" w:cs="Arial"/>
                <w:bCs/>
                <w:szCs w:val="24"/>
                <w:lang w:eastAsia="cs-CZ"/>
              </w:rPr>
              <w:t>vedoucí oddělení péče o přírodu a krajinu -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F413B" w:rsidRDefault="00AA044B" w:rsidP="00AA044B">
            <w:pPr>
              <w:spacing w:after="0" w:line="240" w:lineRule="auto"/>
              <w:jc w:val="center"/>
              <w:rPr>
                <w:rFonts w:ascii="Arial" w:eastAsia="Times New Roman" w:hAnsi="Arial" w:cs="Arial"/>
                <w:lang w:eastAsia="cs-CZ"/>
              </w:rPr>
            </w:pPr>
            <w:r w:rsidRPr="00AA044B">
              <w:rPr>
                <w:rFonts w:ascii="Arial" w:eastAsia="Times New Roman" w:hAnsi="Arial" w:cs="Arial"/>
                <w:lang w:eastAsia="cs-CZ"/>
              </w:rPr>
              <w:t xml:space="preserve">Ing. Jiří Vojar, Ph.D. </w:t>
            </w:r>
          </w:p>
          <w:p w:rsidR="00AA044B" w:rsidRPr="003F413B" w:rsidRDefault="00AA044B" w:rsidP="00AA044B">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lang w:eastAsia="cs-CZ"/>
              </w:rPr>
              <w:t>zástupce zhotovitele</w:t>
            </w:r>
          </w:p>
        </w:tc>
      </w:tr>
      <w:tr w:rsidR="00C30CA0" w:rsidRPr="003F413B" w:rsidTr="003F413B">
        <w:trPr>
          <w:jc w:val="center"/>
        </w:trPr>
        <w:tc>
          <w:tcPr>
            <w:tcW w:w="946"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bl>
    <w:p w:rsidR="003F413B" w:rsidRDefault="003F413B" w:rsidP="003F413B">
      <w:pPr>
        <w:spacing w:before="100" w:beforeAutospacing="1" w:after="240" w:line="240" w:lineRule="auto"/>
        <w:rPr>
          <w:rFonts w:ascii="Times New Roman" w:eastAsia="Times New Roman" w:hAnsi="Times New Roman" w:cs="Times New Roman"/>
          <w:sz w:val="24"/>
          <w:szCs w:val="24"/>
          <w:lang w:eastAsia="cs-CZ"/>
        </w:rPr>
      </w:pPr>
    </w:p>
    <w:p w:rsidR="00E63918" w:rsidRDefault="00E63918" w:rsidP="003F413B">
      <w:pPr>
        <w:spacing w:before="100" w:beforeAutospacing="1" w:after="240" w:line="240" w:lineRule="auto"/>
        <w:rPr>
          <w:rFonts w:ascii="Times New Roman" w:eastAsia="Times New Roman" w:hAnsi="Times New Roman" w:cs="Times New Roman"/>
          <w:sz w:val="24"/>
          <w:szCs w:val="24"/>
          <w:lang w:eastAsia="cs-CZ"/>
        </w:rPr>
      </w:pPr>
    </w:p>
    <w:p w:rsidR="00E63918" w:rsidRPr="003F413B" w:rsidRDefault="00E63918" w:rsidP="003F413B">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3F413B" w:rsidRPr="003F413B" w:rsidTr="00975748">
        <w:trPr>
          <w:trHeight w:val="510"/>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F413B" w:rsidRPr="003F413B" w:rsidRDefault="003F413B" w:rsidP="003F413B">
            <w:pPr>
              <w:spacing w:before="120" w:after="100" w:afterAutospacing="1" w:line="240" w:lineRule="atLeast"/>
              <w:rPr>
                <w:rFonts w:ascii="Times New Roman" w:eastAsia="Times New Roman" w:hAnsi="Times New Roman" w:cs="Times New Roman"/>
                <w:sz w:val="24"/>
                <w:szCs w:val="24"/>
                <w:lang w:eastAsia="cs-CZ"/>
              </w:rPr>
            </w:pPr>
            <w:r w:rsidRPr="003F413B">
              <w:rPr>
                <w:rFonts w:ascii="Arial" w:eastAsia="Times New Roman" w:hAnsi="Arial" w:cs="Arial"/>
                <w:lang w:eastAsia="cs-CZ"/>
              </w:rPr>
              <w:t>Předběžná kontrola před vznikem závazku dle zák. č. 320/01 Sb.</w:t>
            </w:r>
          </w:p>
        </w:tc>
      </w:tr>
      <w:tr w:rsidR="003F413B" w:rsidRPr="003F413B" w:rsidTr="00975748">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3F413B" w:rsidRPr="003F413B" w:rsidRDefault="003F413B" w:rsidP="00975748">
            <w:pPr>
              <w:spacing w:before="120" w:after="100" w:afterAutospacing="1" w:line="240" w:lineRule="atLeast"/>
              <w:rPr>
                <w:rFonts w:ascii="Times New Roman" w:eastAsia="Times New Roman" w:hAnsi="Times New Roman" w:cs="Times New Roman"/>
                <w:sz w:val="24"/>
                <w:szCs w:val="24"/>
                <w:lang w:eastAsia="cs-CZ"/>
              </w:rPr>
            </w:pPr>
            <w:r w:rsidRPr="003F413B">
              <w:rPr>
                <w:rFonts w:ascii="Arial" w:eastAsia="Times New Roman" w:hAnsi="Arial" w:cs="Arial"/>
                <w:sz w:val="18"/>
                <w:szCs w:val="18"/>
                <w:lang w:eastAsia="cs-CZ"/>
              </w:rPr>
              <w:t xml:space="preserve">Příkazce operace: </w:t>
            </w:r>
            <w:r w:rsidR="00975748">
              <w:rPr>
                <w:rFonts w:ascii="Arial" w:eastAsia="Times New Roman" w:hAnsi="Arial" w:cs="Arial"/>
                <w:sz w:val="18"/>
                <w:szCs w:val="18"/>
                <w:lang w:eastAsia="cs-CZ"/>
              </w:rPr>
              <w:t>7. 10. 2020 Krupková</w:t>
            </w:r>
            <w:r w:rsidRPr="003F413B">
              <w:rPr>
                <w:rFonts w:ascii="Arial" w:eastAsia="Times New Roman" w:hAnsi="Arial" w:cs="Arial"/>
                <w:sz w:val="18"/>
                <w:szCs w:val="18"/>
                <w:lang w:eastAsia="cs-CZ"/>
              </w:rPr>
              <w:t xml:space="preserve"> </w:t>
            </w:r>
          </w:p>
        </w:tc>
      </w:tr>
      <w:tr w:rsidR="003F413B" w:rsidRPr="003F413B" w:rsidTr="00975748">
        <w:trPr>
          <w:trHeight w:val="510"/>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vAlign w:val="center"/>
            <w:hideMark/>
          </w:tcPr>
          <w:p w:rsidR="003F413B" w:rsidRPr="003F413B" w:rsidRDefault="003F413B" w:rsidP="00975748">
            <w:pPr>
              <w:spacing w:before="120" w:after="0" w:line="240" w:lineRule="atLeast"/>
              <w:ind w:right="2901"/>
              <w:rPr>
                <w:rFonts w:ascii="Times New Roman" w:eastAsia="Times New Roman" w:hAnsi="Times New Roman" w:cs="Times New Roman"/>
                <w:sz w:val="24"/>
                <w:szCs w:val="24"/>
                <w:lang w:eastAsia="cs-CZ"/>
              </w:rPr>
            </w:pPr>
            <w:r w:rsidRPr="003F413B">
              <w:rPr>
                <w:rFonts w:ascii="Arial" w:eastAsia="Times New Roman" w:hAnsi="Arial" w:cs="Arial"/>
                <w:sz w:val="18"/>
                <w:szCs w:val="18"/>
                <w:lang w:eastAsia="cs-CZ"/>
              </w:rPr>
              <w:t xml:space="preserve">Správce rozpočtu: </w:t>
            </w:r>
            <w:r w:rsidR="00975748">
              <w:rPr>
                <w:rFonts w:ascii="Arial" w:eastAsia="Times New Roman" w:hAnsi="Arial" w:cs="Arial"/>
                <w:sz w:val="18"/>
                <w:szCs w:val="18"/>
                <w:lang w:eastAsia="cs-CZ"/>
              </w:rPr>
              <w:t>7. 10. 2020 Prahová</w:t>
            </w:r>
          </w:p>
        </w:tc>
      </w:tr>
      <w:tr w:rsidR="003F413B" w:rsidRPr="003F413B" w:rsidTr="00975748">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3F413B" w:rsidRPr="003F413B" w:rsidRDefault="003F413B" w:rsidP="003F413B">
            <w:pPr>
              <w:spacing w:before="120"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F413B" w:rsidRPr="003F413B" w:rsidRDefault="003F413B" w:rsidP="003F413B">
            <w:pPr>
              <w:spacing w:before="120"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F413B" w:rsidRPr="003F413B" w:rsidRDefault="003F413B" w:rsidP="003F413B">
            <w:pPr>
              <w:spacing w:before="120"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3F413B" w:rsidRPr="003F413B" w:rsidRDefault="003F413B" w:rsidP="003F413B">
            <w:pPr>
              <w:spacing w:before="120"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color w:val="000000"/>
                <w:sz w:val="18"/>
                <w:szCs w:val="18"/>
                <w:lang w:eastAsia="cs-CZ"/>
              </w:rPr>
              <w:t>Kč</w:t>
            </w:r>
          </w:p>
        </w:tc>
      </w:tr>
      <w:tr w:rsidR="003F413B" w:rsidRPr="003F413B" w:rsidTr="00975748">
        <w:trPr>
          <w:trHeight w:val="510"/>
          <w:jc w:val="center"/>
        </w:trPr>
        <w:tc>
          <w:tcPr>
            <w:tcW w:w="1908" w:type="dxa"/>
            <w:tcBorders>
              <w:top w:val="nil"/>
              <w:left w:val="single" w:sz="8" w:space="0" w:color="auto"/>
              <w:bottom w:val="nil"/>
              <w:right w:val="nil"/>
            </w:tcBorders>
            <w:tcMar>
              <w:top w:w="0" w:type="dxa"/>
              <w:left w:w="108" w:type="dxa"/>
              <w:bottom w:w="0" w:type="dxa"/>
              <w:right w:w="108" w:type="dxa"/>
            </w:tcMar>
            <w:vAlign w:val="center"/>
            <w:hideMark/>
          </w:tcPr>
          <w:p w:rsidR="003F413B" w:rsidRPr="003F413B" w:rsidRDefault="003F413B" w:rsidP="003F413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F413B">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F413B" w:rsidRPr="003F413B" w:rsidRDefault="003F413B" w:rsidP="00975748">
            <w:pPr>
              <w:spacing w:before="100" w:beforeAutospacing="1" w:after="100" w:afterAutospacing="1" w:line="240" w:lineRule="auto"/>
              <w:jc w:val="center"/>
              <w:rPr>
                <w:rFonts w:ascii="Arial" w:eastAsia="Times New Roman" w:hAnsi="Arial" w:cs="Arial"/>
                <w:sz w:val="18"/>
                <w:szCs w:val="18"/>
                <w:lang w:eastAsia="cs-CZ"/>
              </w:rPr>
            </w:pPr>
            <w:r w:rsidRPr="003F413B">
              <w:rPr>
                <w:rFonts w:ascii="Arial" w:eastAsia="Times New Roman" w:hAnsi="Arial" w:cs="Arial"/>
                <w:color w:val="000000"/>
                <w:sz w:val="18"/>
                <w:szCs w:val="18"/>
                <w:lang w:eastAsia="cs-CZ"/>
              </w:rPr>
              <w:t>5169</w:t>
            </w:r>
            <w:r w:rsidR="00975748" w:rsidRPr="00975748">
              <w:rPr>
                <w:rFonts w:ascii="Arial" w:eastAsia="Times New Roman" w:hAnsi="Arial" w:cs="Arial"/>
                <w:color w:val="000000"/>
                <w:sz w:val="18"/>
                <w:szCs w:val="18"/>
                <w:lang w:eastAsia="cs-CZ"/>
              </w:rPr>
              <w:t xml:space="preserve"> 30</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3F413B" w:rsidRPr="003F413B" w:rsidRDefault="00975748" w:rsidP="00975748">
            <w:pPr>
              <w:spacing w:after="0" w:line="240" w:lineRule="auto"/>
              <w:jc w:val="center"/>
              <w:rPr>
                <w:rFonts w:ascii="Arial" w:eastAsia="Times New Roman" w:hAnsi="Arial" w:cs="Arial"/>
                <w:sz w:val="18"/>
                <w:szCs w:val="18"/>
                <w:lang w:eastAsia="cs-CZ"/>
              </w:rPr>
            </w:pPr>
            <w:r w:rsidRPr="00975748">
              <w:rPr>
                <w:rFonts w:ascii="Arial" w:eastAsia="Times New Roman" w:hAnsi="Arial" w:cs="Arial"/>
                <w:sz w:val="18"/>
                <w:szCs w:val="18"/>
                <w:lang w:eastAsia="cs-CZ"/>
              </w:rPr>
              <w:t>01-60</w:t>
            </w:r>
          </w:p>
        </w:tc>
        <w:tc>
          <w:tcPr>
            <w:tcW w:w="1080" w:type="dxa"/>
            <w:tcBorders>
              <w:top w:val="nil"/>
              <w:left w:val="nil"/>
              <w:bottom w:val="nil"/>
              <w:right w:val="single" w:sz="8" w:space="0" w:color="auto"/>
            </w:tcBorders>
            <w:tcMar>
              <w:top w:w="0" w:type="dxa"/>
              <w:left w:w="108" w:type="dxa"/>
              <w:bottom w:w="0" w:type="dxa"/>
              <w:right w:w="108"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r w:rsidR="003F413B" w:rsidRPr="003F413B" w:rsidTr="00975748">
        <w:trPr>
          <w:trHeight w:val="510"/>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F413B" w:rsidRPr="003F413B" w:rsidRDefault="003F413B" w:rsidP="003F413B">
            <w:pPr>
              <w:spacing w:after="0" w:line="240" w:lineRule="auto"/>
              <w:rPr>
                <w:rFonts w:ascii="Times New Roman" w:eastAsia="Times New Roman" w:hAnsi="Times New Roman" w:cs="Times New Roman"/>
                <w:sz w:val="24"/>
                <w:szCs w:val="24"/>
                <w:lang w:eastAsia="cs-CZ"/>
              </w:rPr>
            </w:pPr>
            <w:r w:rsidRPr="003F413B">
              <w:rPr>
                <w:rFonts w:ascii="Times New Roman" w:eastAsia="Times New Roman" w:hAnsi="Times New Roman" w:cs="Times New Roman"/>
                <w:sz w:val="24"/>
                <w:szCs w:val="24"/>
                <w:lang w:eastAsia="cs-CZ"/>
              </w:rPr>
              <w:t> </w:t>
            </w:r>
          </w:p>
        </w:tc>
      </w:tr>
    </w:tbl>
    <w:p w:rsidR="00CB74CB" w:rsidRDefault="00CB74CB"/>
    <w:sectPr w:rsidR="00CB74CB" w:rsidSect="00BC33D6">
      <w:pgSz w:w="11906" w:h="16838"/>
      <w:pgMar w:top="1418" w:right="1191" w:bottom="1134"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36"/>
    <w:multiLevelType w:val="hybridMultilevel"/>
    <w:tmpl w:val="9EEC36FA"/>
    <w:lvl w:ilvl="0" w:tplc="8D3465FA">
      <w:start w:val="1"/>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4E74670"/>
    <w:multiLevelType w:val="hybridMultilevel"/>
    <w:tmpl w:val="D70EF07C"/>
    <w:lvl w:ilvl="0" w:tplc="800CBAE0">
      <w:start w:val="1"/>
      <w:numFmt w:val="upp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3B"/>
    <w:rsid w:val="000F0935"/>
    <w:rsid w:val="002F39C3"/>
    <w:rsid w:val="003F413B"/>
    <w:rsid w:val="0040406D"/>
    <w:rsid w:val="004F4159"/>
    <w:rsid w:val="00837B04"/>
    <w:rsid w:val="00975748"/>
    <w:rsid w:val="009B10E1"/>
    <w:rsid w:val="00AA044B"/>
    <w:rsid w:val="00BC33D6"/>
    <w:rsid w:val="00C30CA0"/>
    <w:rsid w:val="00CB74CB"/>
    <w:rsid w:val="00E63918"/>
    <w:rsid w:val="00F25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89D4"/>
  <w15:chartTrackingRefBased/>
  <w15:docId w15:val="{5F9E08E7-BEEE-4BD4-B177-616EEE33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41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F413B"/>
    <w:rPr>
      <w:b/>
      <w:bCs/>
    </w:rPr>
  </w:style>
  <w:style w:type="character" w:styleId="Hypertextovodkaz">
    <w:name w:val="Hyperlink"/>
    <w:basedOn w:val="Standardnpsmoodstavce"/>
    <w:uiPriority w:val="99"/>
    <w:semiHidden/>
    <w:unhideWhenUsed/>
    <w:rsid w:val="003F413B"/>
    <w:rPr>
      <w:color w:val="0000FF"/>
      <w:u w:val="single"/>
    </w:rPr>
  </w:style>
  <w:style w:type="paragraph" w:styleId="Odstavecseseznamem">
    <w:name w:val="List Paragraph"/>
    <w:basedOn w:val="Normln"/>
    <w:uiPriority w:val="34"/>
    <w:qFormat/>
    <w:rsid w:val="004F4159"/>
    <w:pPr>
      <w:ind w:left="720"/>
      <w:contextualSpacing/>
    </w:pPr>
  </w:style>
  <w:style w:type="paragraph" w:styleId="Bezmezer">
    <w:name w:val="No Spacing"/>
    <w:uiPriority w:val="1"/>
    <w:qFormat/>
    <w:rsid w:val="00AA0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nature.cz/publik_syst/files/oop_mngmonvyj.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1793</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2020-10-22T12:35:00Z</dcterms:created>
  <dcterms:modified xsi:type="dcterms:W3CDTF">2020-10-22T12:54:00Z</dcterms:modified>
</cp:coreProperties>
</file>