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7DC09" w14:textId="77777777" w:rsidR="00983B7C" w:rsidRPr="00BB4A53" w:rsidRDefault="00477CC2" w:rsidP="00566F79">
      <w:pPr>
        <w:jc w:val="center"/>
        <w:rPr>
          <w:rFonts w:cstheme="minorHAnsi"/>
          <w:b/>
        </w:rPr>
      </w:pPr>
      <w:r w:rsidRPr="00BB4A53">
        <w:rPr>
          <w:rFonts w:cstheme="minorHAnsi"/>
          <w:b/>
        </w:rPr>
        <w:t>PŘÍKAZNÍ SMLOUVA</w:t>
      </w:r>
    </w:p>
    <w:p w14:paraId="717ABCC0" w14:textId="77777777" w:rsidR="00477CC2" w:rsidRPr="00BB4A53" w:rsidRDefault="00477CC2" w:rsidP="00620A8E">
      <w:pPr>
        <w:spacing w:after="0"/>
        <w:rPr>
          <w:rStyle w:val="Siln"/>
          <w:rFonts w:cstheme="minorHAnsi"/>
          <w:bCs w:val="0"/>
        </w:rPr>
      </w:pPr>
      <w:r w:rsidRPr="00BB4A53">
        <w:rPr>
          <w:rStyle w:val="Siln"/>
          <w:rFonts w:cstheme="minorHAnsi"/>
          <w:bCs w:val="0"/>
        </w:rPr>
        <w:t xml:space="preserve">Národní památkový ústav, státní příspěvková organizace </w:t>
      </w:r>
    </w:p>
    <w:p w14:paraId="0CA7F57C" w14:textId="77777777" w:rsidR="00477CC2" w:rsidRPr="00BB4A53" w:rsidRDefault="009A79B0" w:rsidP="00620A8E">
      <w:pPr>
        <w:spacing w:after="0"/>
        <w:rPr>
          <w:rFonts w:cstheme="minorHAnsi"/>
        </w:rPr>
      </w:pPr>
      <w:r w:rsidRPr="00BB4A53">
        <w:rPr>
          <w:rFonts w:cstheme="minorHAnsi"/>
        </w:rPr>
        <w:t xml:space="preserve">sídlem </w:t>
      </w:r>
      <w:r w:rsidR="00477CC2" w:rsidRPr="00BB4A53">
        <w:rPr>
          <w:rFonts w:cstheme="minorHAnsi"/>
        </w:rPr>
        <w:t>Valdštejnské nám. 3, PSČ 118 01 Praha 1 – Malá Strana,</w:t>
      </w:r>
    </w:p>
    <w:p w14:paraId="22814089" w14:textId="77777777" w:rsidR="00477CC2" w:rsidRPr="00BB4A53" w:rsidRDefault="00477CC2" w:rsidP="00620A8E">
      <w:pPr>
        <w:spacing w:after="0"/>
        <w:rPr>
          <w:rFonts w:cstheme="minorHAnsi"/>
        </w:rPr>
      </w:pPr>
      <w:r w:rsidRPr="00BB4A53">
        <w:rPr>
          <w:rFonts w:cstheme="minorHAnsi"/>
        </w:rPr>
        <w:t>IČO: 750 32 333, DIČ: CZ75032333,</w:t>
      </w:r>
    </w:p>
    <w:p w14:paraId="53957ADF" w14:textId="77777777" w:rsidR="00477CC2" w:rsidRPr="00BB4A53" w:rsidRDefault="00477CC2" w:rsidP="00620A8E">
      <w:pPr>
        <w:spacing w:after="0"/>
        <w:rPr>
          <w:rFonts w:cstheme="minorHAnsi"/>
        </w:rPr>
      </w:pPr>
      <w:r w:rsidRPr="00BB4A53">
        <w:rPr>
          <w:rFonts w:cstheme="minorHAnsi"/>
        </w:rPr>
        <w:t xml:space="preserve">bankovní spojení: ČNB, č. účtu: </w:t>
      </w:r>
      <w:r w:rsidR="00311D26" w:rsidRPr="00BB4A53">
        <w:rPr>
          <w:rFonts w:cstheme="minorHAnsi"/>
        </w:rPr>
        <w:t>59636011</w:t>
      </w:r>
      <w:r w:rsidRPr="00BB4A53">
        <w:rPr>
          <w:rFonts w:cstheme="minorHAnsi"/>
        </w:rPr>
        <w:t>/0710</w:t>
      </w:r>
    </w:p>
    <w:p w14:paraId="28979235" w14:textId="77777777" w:rsidR="00CC390F" w:rsidRPr="00BB4A53" w:rsidRDefault="00786558" w:rsidP="00620A8E">
      <w:pPr>
        <w:spacing w:after="0"/>
        <w:jc w:val="both"/>
        <w:rPr>
          <w:rFonts w:cstheme="minorHAnsi"/>
        </w:rPr>
      </w:pPr>
      <w:r w:rsidRPr="00BB4A53">
        <w:rPr>
          <w:rFonts w:cstheme="minorHAnsi"/>
        </w:rPr>
        <w:t>z</w:t>
      </w:r>
      <w:r w:rsidR="00477CC2" w:rsidRPr="00BB4A53">
        <w:rPr>
          <w:rFonts w:cstheme="minorHAnsi"/>
        </w:rPr>
        <w:t xml:space="preserve">astoupený: </w:t>
      </w:r>
      <w:r w:rsidR="00311D26" w:rsidRPr="00BB4A53">
        <w:rPr>
          <w:rFonts w:cstheme="minorHAnsi"/>
        </w:rPr>
        <w:t xml:space="preserve">Ing. arch. Naděždou </w:t>
      </w:r>
      <w:proofErr w:type="spellStart"/>
      <w:r w:rsidR="00311D26" w:rsidRPr="00BB4A53">
        <w:rPr>
          <w:rFonts w:cstheme="minorHAnsi"/>
        </w:rPr>
        <w:t>Goryczkovou</w:t>
      </w:r>
      <w:proofErr w:type="spellEnd"/>
      <w:r w:rsidR="00311D26" w:rsidRPr="00BB4A53">
        <w:rPr>
          <w:rFonts w:cstheme="minorHAnsi"/>
        </w:rPr>
        <w:t>, generální ředitelkou NPÚ</w:t>
      </w:r>
    </w:p>
    <w:p w14:paraId="59D0C2E2" w14:textId="0E8934FC" w:rsidR="00311D26" w:rsidRPr="00BB4A53" w:rsidRDefault="00311D26" w:rsidP="00620A8E">
      <w:pPr>
        <w:spacing w:after="0"/>
        <w:jc w:val="both"/>
        <w:rPr>
          <w:rFonts w:cstheme="minorHAnsi"/>
        </w:rPr>
      </w:pPr>
      <w:r w:rsidRPr="00BB4A53">
        <w:rPr>
          <w:rFonts w:cstheme="minorHAnsi"/>
        </w:rPr>
        <w:t xml:space="preserve">ve věcech technických: </w:t>
      </w:r>
      <w:proofErr w:type="spellStart"/>
      <w:r w:rsidR="006D1D93">
        <w:rPr>
          <w:rFonts w:cstheme="minorHAnsi"/>
          <w:shd w:val="clear" w:color="auto" w:fill="FFFFFF"/>
        </w:rPr>
        <w:t>xxx</w:t>
      </w:r>
      <w:proofErr w:type="spellEnd"/>
      <w:r w:rsidR="00566F79" w:rsidRPr="00BB4A53">
        <w:rPr>
          <w:rFonts w:cstheme="minorHAnsi"/>
          <w:shd w:val="clear" w:color="auto" w:fill="FFFFFF"/>
        </w:rPr>
        <w:t xml:space="preserve">, tel.: +420 </w:t>
      </w:r>
      <w:proofErr w:type="spellStart"/>
      <w:r w:rsidR="006D1D93">
        <w:rPr>
          <w:rFonts w:cstheme="minorHAnsi"/>
          <w:shd w:val="clear" w:color="auto" w:fill="FFFFFF"/>
        </w:rPr>
        <w:t>xxx</w:t>
      </w:r>
      <w:proofErr w:type="spellEnd"/>
      <w:r w:rsidR="00566F79" w:rsidRPr="00BB4A53">
        <w:rPr>
          <w:rFonts w:cstheme="minorHAnsi"/>
          <w:shd w:val="clear" w:color="auto" w:fill="FFFFFF"/>
        </w:rPr>
        <w:t xml:space="preserve">, e-mail:  </w:t>
      </w:r>
      <w:proofErr w:type="spellStart"/>
      <w:r w:rsidR="006D1D93">
        <w:rPr>
          <w:rFonts w:cstheme="minorHAnsi"/>
          <w:shd w:val="clear" w:color="auto" w:fill="FFFFFF"/>
        </w:rPr>
        <w:t>xxx</w:t>
      </w:r>
      <w:proofErr w:type="spellEnd"/>
      <w:r w:rsidR="00126DCC">
        <w:fldChar w:fldCharType="begin"/>
      </w:r>
      <w:r w:rsidR="00126DCC">
        <w:instrText xml:space="preserve"> HYPERLINK "mailto:linart.petr@npu.cz" </w:instrText>
      </w:r>
      <w:r w:rsidR="00126DCC">
        <w:fldChar w:fldCharType="separate"/>
      </w:r>
      <w:r w:rsidR="00126DCC">
        <w:rPr>
          <w:rStyle w:val="Hypertextovodkaz"/>
          <w:rFonts w:cstheme="minorHAnsi"/>
          <w:shd w:val="clear" w:color="auto" w:fill="FFFFFF"/>
        </w:rPr>
        <w:fldChar w:fldCharType="end"/>
      </w:r>
      <w:r w:rsidR="00566F79" w:rsidRPr="00BB4A53">
        <w:rPr>
          <w:rFonts w:cstheme="minorHAnsi"/>
          <w:shd w:val="clear" w:color="auto" w:fill="FFFFFF"/>
        </w:rPr>
        <w:t xml:space="preserve"> </w:t>
      </w:r>
    </w:p>
    <w:p w14:paraId="38D14AD1" w14:textId="77777777" w:rsidR="00477CC2" w:rsidRPr="00BB4A53" w:rsidRDefault="00477CC2" w:rsidP="00620A8E">
      <w:pPr>
        <w:spacing w:after="0"/>
        <w:rPr>
          <w:rFonts w:cstheme="minorHAnsi"/>
        </w:rPr>
      </w:pPr>
      <w:r w:rsidRPr="00BB4A53">
        <w:rPr>
          <w:rFonts w:cstheme="minorHAnsi"/>
        </w:rPr>
        <w:t>(dále jen „příkazce“)</w:t>
      </w:r>
    </w:p>
    <w:p w14:paraId="50301149" w14:textId="77777777" w:rsidR="00620A8E" w:rsidRPr="00BB4A53" w:rsidRDefault="00620A8E" w:rsidP="00620A8E">
      <w:pPr>
        <w:spacing w:after="0"/>
        <w:rPr>
          <w:rFonts w:cstheme="minorHAnsi"/>
        </w:rPr>
      </w:pPr>
    </w:p>
    <w:p w14:paraId="5F1403CC" w14:textId="77777777" w:rsidR="00CD331A" w:rsidRPr="00BB4A53" w:rsidRDefault="00CD331A" w:rsidP="00620A8E">
      <w:pPr>
        <w:pStyle w:val="Zkladn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B4A53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</w:p>
    <w:p w14:paraId="1DE280A1" w14:textId="77777777" w:rsidR="00CD331A" w:rsidRPr="00BB4A53" w:rsidRDefault="00CD331A" w:rsidP="00620A8E">
      <w:pPr>
        <w:pStyle w:val="Zkladn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56D59F6" w14:textId="77777777" w:rsidR="00CD331A" w:rsidRPr="00BB4A53" w:rsidRDefault="00CD331A" w:rsidP="00620A8E">
      <w:pPr>
        <w:pStyle w:val="Zkladntext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BB4A5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SVIŽN s.r.o.</w:t>
      </w:r>
    </w:p>
    <w:p w14:paraId="4DF2EC0F" w14:textId="1873DAE4" w:rsidR="00CD331A" w:rsidRPr="00D50AAB" w:rsidRDefault="009A79B0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B4A5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sídlem </w:t>
      </w:r>
      <w:r w:rsidR="00454A87" w:rsidRPr="00BB4A5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Milady Horákové 298/123, Hradčany, 160 00 Praha 6</w:t>
      </w:r>
    </w:p>
    <w:p w14:paraId="7B56E7A4" w14:textId="77777777" w:rsidR="002A1CE5" w:rsidRPr="00D50AAB" w:rsidRDefault="002A1CE5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IČO: 03301087, DIČ: CZ03301087</w:t>
      </w:r>
    </w:p>
    <w:p w14:paraId="500189DF" w14:textId="77777777" w:rsidR="009A79B0" w:rsidRPr="00D50AAB" w:rsidRDefault="009A79B0" w:rsidP="00620A8E">
      <w:pPr>
        <w:pStyle w:val="Zkladn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50AAB">
        <w:rPr>
          <w:rFonts w:asciiTheme="minorHAnsi" w:hAnsiTheme="minorHAnsi" w:cstheme="minorHAnsi"/>
          <w:color w:val="333333"/>
          <w:spacing w:val="8"/>
          <w:sz w:val="22"/>
          <w:szCs w:val="22"/>
          <w:shd w:val="clear" w:color="auto" w:fill="FFFFFF"/>
        </w:rPr>
        <w:t xml:space="preserve">Zapsaná v obchodním rejstříku vedeném Městským soudem v Praze </w:t>
      </w:r>
      <w:r w:rsidRPr="00D50AAB">
        <w:rPr>
          <w:rFonts w:asciiTheme="minorHAnsi" w:hAnsiTheme="minorHAnsi" w:cstheme="minorHAnsi"/>
          <w:sz w:val="22"/>
          <w:szCs w:val="22"/>
        </w:rPr>
        <w:t>C 229885</w:t>
      </w:r>
      <w:r w:rsidRPr="00D50AAB">
        <w:rPr>
          <w:rFonts w:asciiTheme="minorHAnsi" w:hAnsiTheme="minorHAnsi" w:cstheme="minorHAnsi"/>
          <w:color w:val="333333"/>
          <w:spacing w:val="8"/>
          <w:sz w:val="22"/>
          <w:szCs w:val="22"/>
          <w:shd w:val="clear" w:color="auto" w:fill="FFFFFF"/>
        </w:rPr>
        <w:t xml:space="preserve"> </w:t>
      </w:r>
    </w:p>
    <w:p w14:paraId="6612FD43" w14:textId="0F7A334F" w:rsidR="003B206A" w:rsidRPr="00D50AAB" w:rsidRDefault="003B206A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zastoupenou: </w:t>
      </w:r>
      <w:r w:rsidR="0016420E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Ing. arch. Martou Ševčíkovou</w:t>
      </w:r>
      <w:r w:rsidR="006C5A0C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 Michalem </w:t>
      </w:r>
      <w:proofErr w:type="spellStart"/>
      <w:r w:rsidR="006C5A0C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Volbrechtem</w:t>
      </w:r>
      <w:proofErr w:type="spellEnd"/>
      <w:r w:rsidR="0016420E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jednatel</w:t>
      </w:r>
      <w:r w:rsidR="006C5A0C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</w:t>
      </w:r>
      <w:r w:rsidR="0016420E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společnosti</w:t>
      </w:r>
    </w:p>
    <w:p w14:paraId="0DEED1A2" w14:textId="7FFC6E7E" w:rsidR="00566F79" w:rsidRPr="00D50AAB" w:rsidRDefault="00CD331A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ve věcech technických:</w:t>
      </w:r>
      <w:r w:rsidR="006539A9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D1D9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xxx</w:t>
      </w:r>
      <w:proofErr w:type="spellEnd"/>
      <w:r w:rsidR="006539A9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6D1D9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xxx</w:t>
      </w:r>
      <w:proofErr w:type="spellEnd"/>
      <w:r w:rsidR="00566F79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e-mail: </w:t>
      </w:r>
      <w:proofErr w:type="spellStart"/>
      <w:r w:rsidR="006D1D93">
        <w:t>xxx</w:t>
      </w:r>
      <w:proofErr w:type="spellEnd"/>
    </w:p>
    <w:p w14:paraId="60D81ACB" w14:textId="77777777" w:rsidR="00477CC2" w:rsidRPr="00D50AAB" w:rsidRDefault="00477CC2" w:rsidP="00620A8E">
      <w:pPr>
        <w:spacing w:after="0"/>
        <w:rPr>
          <w:rFonts w:cstheme="minorHAnsi"/>
        </w:rPr>
      </w:pPr>
      <w:r w:rsidRPr="00D50AAB">
        <w:rPr>
          <w:rFonts w:cstheme="minorHAnsi"/>
        </w:rPr>
        <w:t>(dále jen „příkazník“)</w:t>
      </w:r>
    </w:p>
    <w:p w14:paraId="63000FC1" w14:textId="2FA111CE" w:rsidR="00477CC2" w:rsidRPr="00D50AAB" w:rsidRDefault="0065635E" w:rsidP="00264079">
      <w:pPr>
        <w:spacing w:after="0"/>
        <w:rPr>
          <w:rFonts w:cstheme="minorHAnsi"/>
        </w:rPr>
      </w:pPr>
      <w:r w:rsidRPr="00D50AAB">
        <w:rPr>
          <w:rFonts w:cstheme="minorHAnsi"/>
        </w:rPr>
        <w:t>u</w:t>
      </w:r>
      <w:r w:rsidR="00477CC2" w:rsidRPr="00D50AAB">
        <w:rPr>
          <w:rFonts w:cstheme="minorHAnsi"/>
        </w:rPr>
        <w:t>zavírají níže uvedené</w:t>
      </w:r>
      <w:r w:rsidRPr="00D50AAB">
        <w:rPr>
          <w:rFonts w:cstheme="minorHAnsi"/>
        </w:rPr>
        <w:t>ho dne, měsíce a roku podle ustanovení</w:t>
      </w:r>
      <w:r w:rsidR="00477CC2" w:rsidRPr="00D50AAB">
        <w:rPr>
          <w:rFonts w:cstheme="minorHAnsi"/>
        </w:rPr>
        <w:t xml:space="preserve"> § 2430 a násl. zákona č. 8</w:t>
      </w:r>
      <w:r w:rsidR="00DC6F11" w:rsidRPr="00D50AAB">
        <w:rPr>
          <w:rFonts w:cstheme="minorHAnsi"/>
        </w:rPr>
        <w:t>9/2012 Sb., občanský zákoník, v platném znění</w:t>
      </w:r>
      <w:r w:rsidR="00057F3D" w:rsidRPr="00D50AAB">
        <w:rPr>
          <w:rFonts w:cstheme="minorHAnsi"/>
        </w:rPr>
        <w:t xml:space="preserve">, </w:t>
      </w:r>
      <w:r w:rsidR="008C338D" w:rsidRPr="00D50AAB">
        <w:rPr>
          <w:rFonts w:cstheme="minorHAnsi"/>
        </w:rPr>
        <w:t>t</w:t>
      </w:r>
      <w:r w:rsidR="00477CC2" w:rsidRPr="00D50AAB">
        <w:rPr>
          <w:rFonts w:cstheme="minorHAnsi"/>
        </w:rPr>
        <w:t xml:space="preserve">uto </w:t>
      </w:r>
    </w:p>
    <w:p w14:paraId="0074315C" w14:textId="77777777" w:rsidR="002157D6" w:rsidRPr="00D50AAB" w:rsidRDefault="00477CC2" w:rsidP="00E6149D">
      <w:pPr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>příkazní smlouvu</w:t>
      </w:r>
      <w:bookmarkStart w:id="0" w:name="_GoBack"/>
      <w:bookmarkEnd w:id="0"/>
    </w:p>
    <w:p w14:paraId="14694DDC" w14:textId="11E90D66" w:rsidR="00477CC2" w:rsidRPr="00D50AAB" w:rsidRDefault="002157D6" w:rsidP="00E6149D">
      <w:pPr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>o výkonu autorského dozoru</w:t>
      </w:r>
      <w:r w:rsidR="003B206A" w:rsidRPr="00D50AAB">
        <w:rPr>
          <w:rFonts w:cstheme="minorHAnsi"/>
          <w:b/>
        </w:rPr>
        <w:t>:</w:t>
      </w:r>
    </w:p>
    <w:p w14:paraId="26DCB63B" w14:textId="77777777" w:rsidR="00477CC2" w:rsidRPr="00D50AAB" w:rsidRDefault="00477CC2" w:rsidP="00E6149D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7C47CFF2" w14:textId="77777777" w:rsidR="00477CC2" w:rsidRPr="00D50AAB" w:rsidRDefault="00477CC2" w:rsidP="00E6149D">
      <w:pPr>
        <w:spacing w:after="0" w:line="360" w:lineRule="auto"/>
        <w:jc w:val="center"/>
        <w:rPr>
          <w:rFonts w:cstheme="minorHAnsi"/>
        </w:rPr>
      </w:pPr>
      <w:r w:rsidRPr="00D50AAB">
        <w:rPr>
          <w:rFonts w:cstheme="minorHAnsi"/>
          <w:b/>
        </w:rPr>
        <w:t>Předmět smlouvy</w:t>
      </w:r>
    </w:p>
    <w:p w14:paraId="6A0160EF" w14:textId="77777777" w:rsidR="00BA54BB" w:rsidRPr="00D50AAB" w:rsidRDefault="009E4125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 w:rsidRPr="00D50AAB">
        <w:rPr>
          <w:rFonts w:cstheme="minorHAnsi"/>
        </w:rPr>
        <w:t>Příkazce je na základě smlouvy o dílo ze dne 4. 5. 2015 uzavřené s příkazníkem jako zhotovitelem vlastníkem projektové dokumentace vytvořené příkazníkem jako zhotovitelem s názvem „Postupná památková obnova střešního pláště a fasády Ledebourského paláce“ (dále jen „projektová dokumentace“).</w:t>
      </w:r>
    </w:p>
    <w:p w14:paraId="19E6A9AA" w14:textId="4ABDF66F" w:rsidR="00BA54BB" w:rsidRPr="00D50AAB" w:rsidRDefault="00707124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 w:rsidRPr="00264079">
        <w:rPr>
          <w:rFonts w:cstheme="minorHAnsi"/>
        </w:rPr>
        <w:t>Příkazník se zavazuje, že v rozsahu dohodnutém v této smlouvě a za podmínek v ní uvedených, pro příkazce, na jeho účet a jeho jménem bude vykonávat</w:t>
      </w:r>
      <w:r w:rsidR="00477CC2" w:rsidRPr="00D50AAB">
        <w:rPr>
          <w:rFonts w:cstheme="minorHAnsi"/>
        </w:rPr>
        <w:t xml:space="preserve"> činnost</w:t>
      </w:r>
      <w:r w:rsidRPr="00D50AAB">
        <w:rPr>
          <w:rFonts w:cstheme="minorHAnsi"/>
        </w:rPr>
        <w:t>i</w:t>
      </w:r>
      <w:r w:rsidR="00477CC2" w:rsidRPr="00D50AAB">
        <w:rPr>
          <w:rFonts w:cstheme="minorHAnsi"/>
        </w:rPr>
        <w:t xml:space="preserve"> </w:t>
      </w:r>
      <w:r w:rsidR="00477CC2" w:rsidRPr="00D50AAB">
        <w:rPr>
          <w:rFonts w:cstheme="minorHAnsi"/>
          <w:b/>
        </w:rPr>
        <w:t xml:space="preserve">autorského dozoru na </w:t>
      </w:r>
      <w:r w:rsidR="00E83068" w:rsidRPr="00D50AAB">
        <w:rPr>
          <w:rFonts w:cstheme="minorHAnsi"/>
          <w:b/>
        </w:rPr>
        <w:t xml:space="preserve">části </w:t>
      </w:r>
      <w:r w:rsidR="009A79B0" w:rsidRPr="00D50AAB">
        <w:rPr>
          <w:rFonts w:cstheme="minorHAnsi"/>
          <w:b/>
        </w:rPr>
        <w:t>stavb</w:t>
      </w:r>
      <w:r w:rsidR="00E83068" w:rsidRPr="00D50AAB">
        <w:rPr>
          <w:rFonts w:cstheme="minorHAnsi"/>
          <w:b/>
        </w:rPr>
        <w:t>y</w:t>
      </w:r>
      <w:r w:rsidR="009A79B0" w:rsidRPr="00D50AAB">
        <w:rPr>
          <w:rFonts w:cstheme="minorHAnsi"/>
          <w:b/>
        </w:rPr>
        <w:t xml:space="preserve"> s názvem</w:t>
      </w:r>
      <w:r w:rsidR="00477CC2" w:rsidRPr="00D50AAB">
        <w:rPr>
          <w:rFonts w:cstheme="minorHAnsi"/>
        </w:rPr>
        <w:t xml:space="preserve"> </w:t>
      </w:r>
      <w:r w:rsidR="00794EAA" w:rsidRPr="00D50AAB">
        <w:rPr>
          <w:rFonts w:cstheme="minorHAnsi"/>
          <w:b/>
        </w:rPr>
        <w:t xml:space="preserve">„ NPÚ, GnŘ – </w:t>
      </w:r>
      <w:proofErr w:type="spellStart"/>
      <w:r w:rsidR="00794EAA" w:rsidRPr="00D50AAB">
        <w:rPr>
          <w:rFonts w:cstheme="minorHAnsi"/>
          <w:b/>
        </w:rPr>
        <w:t>Ledebourský</w:t>
      </w:r>
      <w:proofErr w:type="spellEnd"/>
      <w:r w:rsidR="00794EAA" w:rsidRPr="00D50AAB">
        <w:rPr>
          <w:rFonts w:cstheme="minorHAnsi"/>
          <w:b/>
        </w:rPr>
        <w:t xml:space="preserve"> palác — rekonstrukce I. etapa“</w:t>
      </w:r>
      <w:r w:rsidR="00E83068" w:rsidRPr="00D50AAB">
        <w:rPr>
          <w:rFonts w:cstheme="minorHAnsi"/>
          <w:b/>
        </w:rPr>
        <w:t>, která bude</w:t>
      </w:r>
      <w:r w:rsidR="00EF182A" w:rsidRPr="00D50AAB">
        <w:rPr>
          <w:rFonts w:cstheme="minorHAnsi"/>
          <w:b/>
        </w:rPr>
        <w:t xml:space="preserve"> </w:t>
      </w:r>
      <w:r w:rsidR="009E4125" w:rsidRPr="00D50AAB">
        <w:rPr>
          <w:rFonts w:cstheme="minorHAnsi"/>
          <w:b/>
        </w:rPr>
        <w:t>realizovan</w:t>
      </w:r>
      <w:r w:rsidR="00E20926" w:rsidRPr="00D50AAB">
        <w:rPr>
          <w:rFonts w:cstheme="minorHAnsi"/>
          <w:b/>
        </w:rPr>
        <w:t>á</w:t>
      </w:r>
      <w:r w:rsidR="009E4125" w:rsidRPr="00D50AAB">
        <w:rPr>
          <w:rFonts w:cstheme="minorHAnsi"/>
          <w:b/>
        </w:rPr>
        <w:t xml:space="preserve"> na základě projektové dokumentace</w:t>
      </w:r>
      <w:r w:rsidR="00BD65E6" w:rsidRPr="00D50AAB">
        <w:rPr>
          <w:rFonts w:cstheme="minorHAnsi"/>
          <w:b/>
        </w:rPr>
        <w:t xml:space="preserve"> (dále též jen „stavba“)</w:t>
      </w:r>
      <w:r w:rsidR="00EF182A" w:rsidRPr="00D50AAB">
        <w:rPr>
          <w:rFonts w:cstheme="minorHAnsi"/>
          <w:b/>
        </w:rPr>
        <w:t>.</w:t>
      </w:r>
    </w:p>
    <w:p w14:paraId="4107AD0F" w14:textId="3A35D13A" w:rsidR="009D24F8" w:rsidRPr="00D50AAB" w:rsidRDefault="009D24F8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 w:rsidRPr="00D50AAB">
        <w:rPr>
          <w:rFonts w:cstheme="minorHAnsi"/>
        </w:rPr>
        <w:t xml:space="preserve">Pro účely této smlouvy do činnosti </w:t>
      </w:r>
      <w:r w:rsidR="009A79B0" w:rsidRPr="00D50AAB">
        <w:rPr>
          <w:rFonts w:cstheme="minorHAnsi"/>
        </w:rPr>
        <w:t xml:space="preserve">příkazce při výkonu </w:t>
      </w:r>
      <w:r w:rsidRPr="00D50AAB">
        <w:rPr>
          <w:rFonts w:cstheme="minorHAnsi"/>
        </w:rPr>
        <w:t>autorského dozoru náleží</w:t>
      </w:r>
      <w:r w:rsidR="00DF5D35" w:rsidRPr="00D50AAB">
        <w:rPr>
          <w:rFonts w:cstheme="minorHAnsi"/>
        </w:rPr>
        <w:t xml:space="preserve"> a příkazce se zavazuje</w:t>
      </w:r>
      <w:r w:rsidRPr="00D50AAB">
        <w:rPr>
          <w:rFonts w:cstheme="minorHAnsi"/>
        </w:rPr>
        <w:t>:</w:t>
      </w:r>
    </w:p>
    <w:p w14:paraId="7AA093BD" w14:textId="343912CF" w:rsidR="00BC7233" w:rsidRPr="00264079" w:rsidRDefault="00BA54BB" w:rsidP="00E8306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D50AAB">
        <w:rPr>
          <w:rFonts w:cstheme="minorHAnsi"/>
        </w:rPr>
        <w:t>obstarávat autorský dozor poctivě a pečlivě podle svých schopností</w:t>
      </w:r>
      <w:r w:rsidR="00BC7233" w:rsidRPr="00264079">
        <w:rPr>
          <w:rFonts w:cstheme="minorHAnsi"/>
        </w:rPr>
        <w:t xml:space="preserve"> s náležitou odbornou péčí v souladu se zájmy příkazce </w:t>
      </w:r>
      <w:r w:rsidR="00BC7233" w:rsidRPr="00264079">
        <w:rPr>
          <w:rFonts w:eastAsia="Calibri" w:cstheme="minorHAnsi"/>
          <w:lang w:eastAsia="x-none"/>
        </w:rPr>
        <w:t>tak, aby jej chránil před ztrátami a škodami;</w:t>
      </w:r>
    </w:p>
    <w:p w14:paraId="79BE1F5C" w14:textId="74A3CFF8" w:rsidR="00BA54BB" w:rsidRPr="00D50AAB" w:rsidRDefault="00BA54B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poskytovat vysvětlení k projektové dokumentaci a dále vysvětlení potřebné k vypracování dokumentace skutečného provedení stavby;</w:t>
      </w:r>
    </w:p>
    <w:p w14:paraId="0DC603F0" w14:textId="77777777" w:rsidR="00BA54BB" w:rsidRPr="00D50AAB" w:rsidRDefault="00BA54B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 xml:space="preserve">být přítomen na předání a převzetí staveniště stavby; </w:t>
      </w:r>
    </w:p>
    <w:p w14:paraId="0091B6E1" w14:textId="77777777" w:rsidR="00BA54BB" w:rsidRPr="00D50AAB" w:rsidRDefault="00BA54B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 xml:space="preserve">poskytovat vysvětlení potřebná pro plynulost stavby; </w:t>
      </w:r>
    </w:p>
    <w:p w14:paraId="71217B0D" w14:textId="77777777" w:rsidR="00BA54BB" w:rsidRPr="00D50AAB" w:rsidRDefault="00BA54B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lastRenderedPageBreak/>
        <w:t xml:space="preserve">vyjadřovat se k požadavkům na větší či menší množství výkonů oproti schválené stavební dokumentaci; </w:t>
      </w:r>
    </w:p>
    <w:p w14:paraId="2C7A8D19" w14:textId="1A41A368" w:rsidR="00BA54BB" w:rsidRPr="00D50AAB" w:rsidRDefault="00BA54B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sledovat postup stavby z technického hlediska a z hlediska časového plánu stavby</w:t>
      </w:r>
      <w:r w:rsidR="00A23BF0" w:rsidRPr="00D50AAB">
        <w:rPr>
          <w:rFonts w:asciiTheme="minorHAnsi" w:hAnsiTheme="minorHAnsi" w:cstheme="minorHAnsi"/>
          <w:sz w:val="22"/>
          <w:szCs w:val="22"/>
        </w:rPr>
        <w:t xml:space="preserve"> a informovat o tom příkazce</w:t>
      </w:r>
      <w:r w:rsidR="00876A42" w:rsidRPr="00D50AAB">
        <w:rPr>
          <w:rFonts w:asciiTheme="minorHAnsi" w:hAnsiTheme="minorHAnsi" w:cstheme="minorHAnsi"/>
          <w:sz w:val="22"/>
          <w:szCs w:val="22"/>
        </w:rPr>
        <w:t xml:space="preserve"> na KD a v zápisech z KD</w:t>
      </w:r>
      <w:r w:rsidRPr="00D50AAB">
        <w:rPr>
          <w:rFonts w:asciiTheme="minorHAnsi" w:hAnsiTheme="minorHAnsi" w:cstheme="minorHAnsi"/>
          <w:sz w:val="22"/>
          <w:szCs w:val="22"/>
        </w:rPr>
        <w:t>;</w:t>
      </w:r>
    </w:p>
    <w:p w14:paraId="7DC3374D" w14:textId="3DA86374" w:rsidR="00BA54BB" w:rsidRPr="00264079" w:rsidRDefault="00BA54BB" w:rsidP="00E83068">
      <w:pPr>
        <w:pStyle w:val="Default"/>
        <w:numPr>
          <w:ilvl w:val="0"/>
          <w:numId w:val="18"/>
        </w:numPr>
        <w:spacing w:after="143"/>
        <w:jc w:val="both"/>
        <w:rPr>
          <w:rFonts w:asciiTheme="minorHAnsi" w:hAnsiTheme="minorHAnsi" w:cstheme="minorHAnsi"/>
          <w:sz w:val="22"/>
          <w:szCs w:val="22"/>
        </w:rPr>
      </w:pPr>
      <w:r w:rsidRPr="00264079">
        <w:rPr>
          <w:rFonts w:asciiTheme="minorHAnsi" w:hAnsiTheme="minorHAnsi" w:cstheme="minorHAnsi"/>
          <w:sz w:val="22"/>
          <w:szCs w:val="22"/>
        </w:rPr>
        <w:t xml:space="preserve">účastnit se převzetí zhotovené stavby příkazcem; </w:t>
      </w:r>
    </w:p>
    <w:p w14:paraId="452D9210" w14:textId="2B231015" w:rsidR="009D24F8" w:rsidRPr="00264079" w:rsidRDefault="00DF5D35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ú</w:t>
      </w:r>
      <w:r w:rsidR="009D24F8" w:rsidRPr="00D50AAB">
        <w:rPr>
          <w:rFonts w:asciiTheme="minorHAnsi" w:hAnsiTheme="minorHAnsi" w:cstheme="minorHAnsi"/>
          <w:sz w:val="22"/>
          <w:szCs w:val="22"/>
        </w:rPr>
        <w:t>čast</w:t>
      </w:r>
      <w:r w:rsidRPr="00D50AAB">
        <w:rPr>
          <w:rFonts w:asciiTheme="minorHAnsi" w:hAnsiTheme="minorHAnsi" w:cstheme="minorHAnsi"/>
          <w:sz w:val="22"/>
          <w:szCs w:val="22"/>
        </w:rPr>
        <w:t>nit se</w:t>
      </w:r>
      <w:r w:rsidR="009D24F8" w:rsidRPr="00D50AAB">
        <w:rPr>
          <w:rFonts w:asciiTheme="minorHAnsi" w:hAnsiTheme="minorHAnsi" w:cstheme="minorHAnsi"/>
          <w:sz w:val="22"/>
          <w:szCs w:val="22"/>
        </w:rPr>
        <w:t xml:space="preserve"> </w:t>
      </w:r>
      <w:r w:rsidR="004F605B" w:rsidRPr="00D50AAB">
        <w:rPr>
          <w:rFonts w:asciiTheme="minorHAnsi" w:hAnsiTheme="minorHAnsi" w:cstheme="minorHAnsi"/>
          <w:sz w:val="22"/>
          <w:szCs w:val="22"/>
        </w:rPr>
        <w:t>veřejnoprávních řízení s dotčenými orgány</w:t>
      </w:r>
      <w:r w:rsidR="00BA54BB" w:rsidRPr="00D50AAB">
        <w:rPr>
          <w:rFonts w:asciiTheme="minorHAnsi" w:hAnsiTheme="minorHAnsi" w:cstheme="minorHAnsi"/>
          <w:sz w:val="22"/>
          <w:szCs w:val="22"/>
        </w:rPr>
        <w:t>;</w:t>
      </w:r>
      <w:r w:rsidR="009D24F8" w:rsidRPr="00D50A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494ADB" w14:textId="7737472E" w:rsidR="009D24F8" w:rsidRPr="00264079" w:rsidRDefault="009D24F8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zabezpeč</w:t>
      </w:r>
      <w:r w:rsidR="00DF5D35" w:rsidRPr="00D50AAB">
        <w:rPr>
          <w:rFonts w:asciiTheme="minorHAnsi" w:hAnsiTheme="minorHAnsi" w:cstheme="minorHAnsi"/>
          <w:sz w:val="22"/>
          <w:szCs w:val="22"/>
        </w:rPr>
        <w:t>ovat</w:t>
      </w:r>
      <w:r w:rsidRPr="00D50AAB">
        <w:rPr>
          <w:rFonts w:asciiTheme="minorHAnsi" w:hAnsiTheme="minorHAnsi" w:cstheme="minorHAnsi"/>
          <w:sz w:val="22"/>
          <w:szCs w:val="22"/>
        </w:rPr>
        <w:t xml:space="preserve"> soulad realizované stavby s projektovou dokumentací</w:t>
      </w:r>
      <w:r w:rsidR="004F605B" w:rsidRPr="00D50AAB">
        <w:rPr>
          <w:rFonts w:asciiTheme="minorHAnsi" w:hAnsiTheme="minorHAnsi" w:cstheme="minorHAnsi"/>
          <w:sz w:val="22"/>
          <w:szCs w:val="22"/>
        </w:rPr>
        <w:t>, soulad s podmínkami výstavby a zachování předepsaného postupu realizace stavby</w:t>
      </w:r>
    </w:p>
    <w:p w14:paraId="16C95B46" w14:textId="3461210B" w:rsidR="004F605B" w:rsidRPr="00264079" w:rsidRDefault="004F605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n</w:t>
      </w:r>
      <w:r w:rsidR="00DF5D35" w:rsidRPr="00D50AAB">
        <w:rPr>
          <w:rFonts w:asciiTheme="minorHAnsi" w:hAnsiTheme="minorHAnsi" w:cstheme="minorHAnsi"/>
          <w:sz w:val="22"/>
          <w:szCs w:val="22"/>
        </w:rPr>
        <w:t>a</w:t>
      </w:r>
      <w:r w:rsidRPr="00D50AAB">
        <w:rPr>
          <w:rFonts w:asciiTheme="minorHAnsi" w:hAnsiTheme="minorHAnsi" w:cstheme="minorHAnsi"/>
          <w:sz w:val="22"/>
          <w:szCs w:val="22"/>
        </w:rPr>
        <w:t>vrh</w:t>
      </w:r>
      <w:r w:rsidR="00DF5D35" w:rsidRPr="00D50AAB">
        <w:rPr>
          <w:rFonts w:asciiTheme="minorHAnsi" w:hAnsiTheme="minorHAnsi" w:cstheme="minorHAnsi"/>
          <w:sz w:val="22"/>
          <w:szCs w:val="22"/>
        </w:rPr>
        <w:t>ovat a vyjadřovat se k</w:t>
      </w:r>
      <w:r w:rsidRPr="00D50AAB">
        <w:rPr>
          <w:rFonts w:asciiTheme="minorHAnsi" w:hAnsiTheme="minorHAnsi" w:cstheme="minorHAnsi"/>
          <w:sz w:val="22"/>
          <w:szCs w:val="22"/>
        </w:rPr>
        <w:t xml:space="preserve"> řešení případných změn v technickém řešení stavby, </w:t>
      </w:r>
      <w:r w:rsidR="00EF182A" w:rsidRPr="00D50AAB">
        <w:rPr>
          <w:rFonts w:asciiTheme="minorHAnsi" w:hAnsiTheme="minorHAnsi" w:cstheme="minorHAnsi"/>
          <w:sz w:val="22"/>
          <w:szCs w:val="22"/>
        </w:rPr>
        <w:t xml:space="preserve">nebo </w:t>
      </w:r>
      <w:r w:rsidR="00DF5D35" w:rsidRPr="00D50AAB">
        <w:rPr>
          <w:rFonts w:asciiTheme="minorHAnsi" w:hAnsiTheme="minorHAnsi" w:cstheme="minorHAnsi"/>
          <w:sz w:val="22"/>
          <w:szCs w:val="22"/>
        </w:rPr>
        <w:t xml:space="preserve">ke </w:t>
      </w:r>
      <w:r w:rsidRPr="00D50AAB">
        <w:rPr>
          <w:rFonts w:asciiTheme="minorHAnsi" w:hAnsiTheme="minorHAnsi" w:cstheme="minorHAnsi"/>
          <w:sz w:val="22"/>
          <w:szCs w:val="22"/>
        </w:rPr>
        <w:t>změn</w:t>
      </w:r>
      <w:r w:rsidR="00DF5D35" w:rsidRPr="00D50AAB">
        <w:rPr>
          <w:rFonts w:asciiTheme="minorHAnsi" w:hAnsiTheme="minorHAnsi" w:cstheme="minorHAnsi"/>
          <w:sz w:val="22"/>
          <w:szCs w:val="22"/>
        </w:rPr>
        <w:t>ě</w:t>
      </w:r>
      <w:r w:rsidRPr="00D50AAB">
        <w:rPr>
          <w:rFonts w:asciiTheme="minorHAnsi" w:hAnsiTheme="minorHAnsi" w:cstheme="minorHAnsi"/>
          <w:sz w:val="22"/>
          <w:szCs w:val="22"/>
        </w:rPr>
        <w:t xml:space="preserve"> použitých materiálů</w:t>
      </w:r>
      <w:r w:rsidR="00BA54BB" w:rsidRPr="00D50AAB">
        <w:rPr>
          <w:rFonts w:asciiTheme="minorHAnsi" w:hAnsiTheme="minorHAnsi" w:cstheme="minorHAnsi"/>
          <w:sz w:val="22"/>
          <w:szCs w:val="22"/>
        </w:rPr>
        <w:t>;</w:t>
      </w:r>
    </w:p>
    <w:p w14:paraId="45BF4A3F" w14:textId="49384956" w:rsidR="004F605B" w:rsidRPr="00264079" w:rsidRDefault="004F605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schvalov</w:t>
      </w:r>
      <w:r w:rsidR="00DF5D35" w:rsidRPr="00D50AAB">
        <w:rPr>
          <w:rFonts w:asciiTheme="minorHAnsi" w:hAnsiTheme="minorHAnsi" w:cstheme="minorHAnsi"/>
          <w:sz w:val="22"/>
          <w:szCs w:val="22"/>
        </w:rPr>
        <w:t>at</w:t>
      </w:r>
      <w:r w:rsidRPr="00D50AAB">
        <w:rPr>
          <w:rFonts w:asciiTheme="minorHAnsi" w:hAnsiTheme="minorHAnsi" w:cstheme="minorHAnsi"/>
          <w:sz w:val="22"/>
          <w:szCs w:val="22"/>
        </w:rPr>
        <w:t xml:space="preserve"> případn</w:t>
      </w:r>
      <w:r w:rsidR="00DF5D35" w:rsidRPr="00D50AAB">
        <w:rPr>
          <w:rFonts w:asciiTheme="minorHAnsi" w:hAnsiTheme="minorHAnsi" w:cstheme="minorHAnsi"/>
          <w:sz w:val="22"/>
          <w:szCs w:val="22"/>
        </w:rPr>
        <w:t>é</w:t>
      </w:r>
      <w:r w:rsidRPr="00D50AAB">
        <w:rPr>
          <w:rFonts w:asciiTheme="minorHAnsi" w:hAnsiTheme="minorHAnsi" w:cstheme="minorHAnsi"/>
          <w:sz w:val="22"/>
          <w:szCs w:val="22"/>
        </w:rPr>
        <w:t xml:space="preserve"> úprav</w:t>
      </w:r>
      <w:r w:rsidR="00DF5D35" w:rsidRPr="00D50AAB">
        <w:rPr>
          <w:rFonts w:asciiTheme="minorHAnsi" w:hAnsiTheme="minorHAnsi" w:cstheme="minorHAnsi"/>
          <w:sz w:val="22"/>
          <w:szCs w:val="22"/>
        </w:rPr>
        <w:t>y</w:t>
      </w:r>
      <w:r w:rsidRPr="00D50AAB">
        <w:rPr>
          <w:rFonts w:asciiTheme="minorHAnsi" w:hAnsiTheme="minorHAnsi" w:cstheme="minorHAnsi"/>
          <w:sz w:val="22"/>
          <w:szCs w:val="22"/>
        </w:rPr>
        <w:t xml:space="preserve"> a odchylk</w:t>
      </w:r>
      <w:r w:rsidR="00A23BF0" w:rsidRPr="00D50AAB">
        <w:rPr>
          <w:rFonts w:asciiTheme="minorHAnsi" w:hAnsiTheme="minorHAnsi" w:cstheme="minorHAnsi"/>
          <w:sz w:val="22"/>
          <w:szCs w:val="22"/>
        </w:rPr>
        <w:t>y</w:t>
      </w:r>
      <w:r w:rsidRPr="00D50AAB">
        <w:rPr>
          <w:rFonts w:asciiTheme="minorHAnsi" w:hAnsiTheme="minorHAnsi" w:cstheme="minorHAnsi"/>
          <w:sz w:val="22"/>
          <w:szCs w:val="22"/>
        </w:rPr>
        <w:t xml:space="preserve"> od schválené projekt</w:t>
      </w:r>
      <w:r w:rsidR="009E4125" w:rsidRPr="00D50AAB">
        <w:rPr>
          <w:rFonts w:asciiTheme="minorHAnsi" w:hAnsiTheme="minorHAnsi" w:cstheme="minorHAnsi"/>
          <w:sz w:val="22"/>
          <w:szCs w:val="22"/>
        </w:rPr>
        <w:t>ové dokumentace</w:t>
      </w:r>
      <w:r w:rsidR="00BA54BB" w:rsidRPr="00D50AAB">
        <w:rPr>
          <w:rFonts w:asciiTheme="minorHAnsi" w:hAnsiTheme="minorHAnsi" w:cstheme="minorHAnsi"/>
          <w:sz w:val="22"/>
          <w:szCs w:val="22"/>
        </w:rPr>
        <w:t>;</w:t>
      </w:r>
    </w:p>
    <w:p w14:paraId="56903579" w14:textId="4AB88CD5" w:rsidR="004F605B" w:rsidRPr="00264079" w:rsidRDefault="004F605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účast</w:t>
      </w:r>
      <w:r w:rsidR="00DF5D35" w:rsidRPr="00D50AAB">
        <w:rPr>
          <w:rFonts w:asciiTheme="minorHAnsi" w:hAnsiTheme="minorHAnsi" w:cstheme="minorHAnsi"/>
          <w:sz w:val="22"/>
          <w:szCs w:val="22"/>
        </w:rPr>
        <w:t>nit se</w:t>
      </w:r>
      <w:r w:rsidRPr="00D50AAB">
        <w:rPr>
          <w:rFonts w:asciiTheme="minorHAnsi" w:hAnsiTheme="minorHAnsi" w:cstheme="minorHAnsi"/>
          <w:sz w:val="22"/>
          <w:szCs w:val="22"/>
        </w:rPr>
        <w:t xml:space="preserve"> kontrolních dn</w:t>
      </w:r>
      <w:r w:rsidR="00DF5D35" w:rsidRPr="00D50AAB">
        <w:rPr>
          <w:rFonts w:asciiTheme="minorHAnsi" w:hAnsiTheme="minorHAnsi" w:cstheme="minorHAnsi"/>
          <w:sz w:val="22"/>
          <w:szCs w:val="22"/>
        </w:rPr>
        <w:t>ů</w:t>
      </w:r>
      <w:r w:rsidR="00EF182A" w:rsidRPr="00D50AAB">
        <w:rPr>
          <w:rFonts w:asciiTheme="minorHAnsi" w:hAnsiTheme="minorHAnsi" w:cstheme="minorHAnsi"/>
          <w:sz w:val="22"/>
          <w:szCs w:val="22"/>
        </w:rPr>
        <w:t xml:space="preserve"> na stavbě</w:t>
      </w:r>
      <w:r w:rsidR="00BA54BB" w:rsidRPr="00D50AAB">
        <w:rPr>
          <w:rFonts w:asciiTheme="minorHAnsi" w:hAnsiTheme="minorHAnsi" w:cstheme="minorHAnsi"/>
          <w:sz w:val="22"/>
          <w:szCs w:val="22"/>
        </w:rPr>
        <w:t>;</w:t>
      </w:r>
    </w:p>
    <w:p w14:paraId="3BDC9974" w14:textId="7C184730" w:rsidR="00CC4224" w:rsidRPr="00264079" w:rsidRDefault="00E27549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zjišťov</w:t>
      </w:r>
      <w:r w:rsidR="00DF5D35" w:rsidRPr="00D50AAB">
        <w:rPr>
          <w:rFonts w:asciiTheme="minorHAnsi" w:hAnsiTheme="minorHAnsi" w:cstheme="minorHAnsi"/>
          <w:sz w:val="22"/>
          <w:szCs w:val="22"/>
        </w:rPr>
        <w:t>at</w:t>
      </w:r>
      <w:r w:rsidRPr="00D50AAB">
        <w:rPr>
          <w:rFonts w:asciiTheme="minorHAnsi" w:hAnsiTheme="minorHAnsi" w:cstheme="minorHAnsi"/>
          <w:sz w:val="22"/>
          <w:szCs w:val="22"/>
        </w:rPr>
        <w:t xml:space="preserve"> nedostatk</w:t>
      </w:r>
      <w:r w:rsidR="00DF5D35" w:rsidRPr="00D50AAB">
        <w:rPr>
          <w:rFonts w:asciiTheme="minorHAnsi" w:hAnsiTheme="minorHAnsi" w:cstheme="minorHAnsi"/>
          <w:sz w:val="22"/>
          <w:szCs w:val="22"/>
        </w:rPr>
        <w:t>y</w:t>
      </w:r>
      <w:r w:rsidR="009E4125" w:rsidRPr="00D50AAB">
        <w:rPr>
          <w:rFonts w:asciiTheme="minorHAnsi" w:hAnsiTheme="minorHAnsi" w:cstheme="minorHAnsi"/>
          <w:sz w:val="22"/>
          <w:szCs w:val="22"/>
        </w:rPr>
        <w:t xml:space="preserve"> v průběhu stavby</w:t>
      </w:r>
      <w:r w:rsidRPr="00D50AAB">
        <w:rPr>
          <w:rFonts w:asciiTheme="minorHAnsi" w:hAnsiTheme="minorHAnsi" w:cstheme="minorHAnsi"/>
          <w:sz w:val="22"/>
          <w:szCs w:val="22"/>
        </w:rPr>
        <w:t xml:space="preserve"> a návrhy na způsob a postup jejich odstranění</w:t>
      </w:r>
      <w:r w:rsidR="00BA54BB" w:rsidRPr="00D50AAB">
        <w:rPr>
          <w:rFonts w:asciiTheme="minorHAnsi" w:hAnsiTheme="minorHAnsi" w:cstheme="minorHAnsi"/>
          <w:sz w:val="22"/>
          <w:szCs w:val="22"/>
        </w:rPr>
        <w:t>;</w:t>
      </w:r>
    </w:p>
    <w:p w14:paraId="18F7D4CE" w14:textId="43C64223" w:rsidR="004F605B" w:rsidRPr="00264079" w:rsidRDefault="004F605B" w:rsidP="00E83068">
      <w:pPr>
        <w:pStyle w:val="Default"/>
        <w:numPr>
          <w:ilvl w:val="0"/>
          <w:numId w:val="18"/>
        </w:numPr>
        <w:spacing w:after="143"/>
        <w:rPr>
          <w:rFonts w:asciiTheme="minorHAnsi" w:hAnsiTheme="minorHAnsi" w:cstheme="minorHAnsi"/>
          <w:sz w:val="22"/>
          <w:szCs w:val="22"/>
        </w:rPr>
      </w:pPr>
      <w:r w:rsidRPr="00D50AAB">
        <w:rPr>
          <w:rFonts w:asciiTheme="minorHAnsi" w:hAnsiTheme="minorHAnsi" w:cstheme="minorHAnsi"/>
          <w:sz w:val="22"/>
          <w:szCs w:val="22"/>
        </w:rPr>
        <w:t>zaznamená</w:t>
      </w:r>
      <w:r w:rsidR="00BA54BB" w:rsidRPr="00D50AAB">
        <w:rPr>
          <w:rFonts w:asciiTheme="minorHAnsi" w:hAnsiTheme="minorHAnsi" w:cstheme="minorHAnsi"/>
          <w:sz w:val="22"/>
          <w:szCs w:val="22"/>
        </w:rPr>
        <w:t>vat</w:t>
      </w:r>
      <w:r w:rsidRPr="00D50AAB">
        <w:rPr>
          <w:rFonts w:asciiTheme="minorHAnsi" w:hAnsiTheme="minorHAnsi" w:cstheme="minorHAnsi"/>
          <w:sz w:val="22"/>
          <w:szCs w:val="22"/>
        </w:rPr>
        <w:t xml:space="preserve"> zjištění a požadavk</w:t>
      </w:r>
      <w:r w:rsidR="00BA54BB" w:rsidRPr="00D50AAB">
        <w:rPr>
          <w:rFonts w:asciiTheme="minorHAnsi" w:hAnsiTheme="minorHAnsi" w:cstheme="minorHAnsi"/>
          <w:sz w:val="22"/>
          <w:szCs w:val="22"/>
        </w:rPr>
        <w:t>y</w:t>
      </w:r>
      <w:r w:rsidRPr="00D50AAB">
        <w:rPr>
          <w:rFonts w:asciiTheme="minorHAnsi" w:hAnsiTheme="minorHAnsi" w:cstheme="minorHAnsi"/>
          <w:sz w:val="22"/>
          <w:szCs w:val="22"/>
        </w:rPr>
        <w:t xml:space="preserve"> do stavebního deníku</w:t>
      </w:r>
      <w:r w:rsidR="00BA54BB" w:rsidRPr="00D50AAB">
        <w:rPr>
          <w:rFonts w:asciiTheme="minorHAnsi" w:hAnsiTheme="minorHAnsi" w:cstheme="minorHAnsi"/>
          <w:sz w:val="22"/>
          <w:szCs w:val="22"/>
        </w:rPr>
        <w:t>.</w:t>
      </w:r>
    </w:p>
    <w:p w14:paraId="195D62D9" w14:textId="4DAC1098" w:rsidR="004F605B" w:rsidRPr="00D50AAB" w:rsidRDefault="008C338D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 w:rsidRPr="00D50AAB">
        <w:rPr>
          <w:rFonts w:cstheme="minorHAnsi"/>
        </w:rPr>
        <w:t>Příkazník zabezpečí čin</w:t>
      </w:r>
      <w:r w:rsidR="004F605B" w:rsidRPr="00D50AAB">
        <w:rPr>
          <w:rFonts w:cstheme="minorHAnsi"/>
        </w:rPr>
        <w:t xml:space="preserve">nosti autorizovaného dozoru </w:t>
      </w:r>
      <w:r w:rsidRPr="00D50AAB">
        <w:rPr>
          <w:rFonts w:cstheme="minorHAnsi"/>
        </w:rPr>
        <w:t xml:space="preserve">při </w:t>
      </w:r>
      <w:r w:rsidR="00EF182A" w:rsidRPr="00D50AAB">
        <w:rPr>
          <w:rFonts w:cstheme="minorHAnsi"/>
        </w:rPr>
        <w:t xml:space="preserve">všech </w:t>
      </w:r>
      <w:r w:rsidR="006D1B3C" w:rsidRPr="00D50AAB">
        <w:rPr>
          <w:rFonts w:cstheme="minorHAnsi"/>
        </w:rPr>
        <w:t xml:space="preserve">realizovaných </w:t>
      </w:r>
      <w:r w:rsidRPr="00D50AAB">
        <w:rPr>
          <w:rFonts w:cstheme="minorHAnsi"/>
        </w:rPr>
        <w:t>kontrolních dnech</w:t>
      </w:r>
      <w:r w:rsidR="006D1B3C" w:rsidRPr="00D50AAB">
        <w:rPr>
          <w:rFonts w:cstheme="minorHAnsi"/>
        </w:rPr>
        <w:t xml:space="preserve"> na stavbě</w:t>
      </w:r>
      <w:r w:rsidRPr="00D50AAB">
        <w:rPr>
          <w:rFonts w:cstheme="minorHAnsi"/>
        </w:rPr>
        <w:t>.</w:t>
      </w:r>
      <w:r w:rsidR="00F6114B" w:rsidRPr="00D50AAB">
        <w:rPr>
          <w:rFonts w:cstheme="minorHAnsi"/>
        </w:rPr>
        <w:t xml:space="preserve"> Předpokládaný počet kontrolních dnů je d</w:t>
      </w:r>
      <w:r w:rsidR="004F3002" w:rsidRPr="00D50AAB">
        <w:rPr>
          <w:rFonts w:cstheme="minorHAnsi"/>
        </w:rPr>
        <w:t>vacet</w:t>
      </w:r>
      <w:r w:rsidR="00F6114B" w:rsidRPr="00D50AAB">
        <w:rPr>
          <w:rFonts w:cstheme="minorHAnsi"/>
        </w:rPr>
        <w:t xml:space="preserve">. </w:t>
      </w:r>
    </w:p>
    <w:p w14:paraId="2EA5D070" w14:textId="13407AEE" w:rsidR="00477CC2" w:rsidRPr="00D50AAB" w:rsidRDefault="00477CC2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 w:rsidRPr="00D50AAB">
        <w:rPr>
          <w:rFonts w:cstheme="minorHAnsi"/>
        </w:rPr>
        <w:t xml:space="preserve">Příkazce se touto smlouvou zavazuje zaplatit příkazníkovi za </w:t>
      </w:r>
      <w:r w:rsidR="006D1B3C" w:rsidRPr="00D50AAB">
        <w:rPr>
          <w:rFonts w:cstheme="minorHAnsi"/>
        </w:rPr>
        <w:t xml:space="preserve">řádné </w:t>
      </w:r>
      <w:r w:rsidRPr="00D50AAB">
        <w:rPr>
          <w:rFonts w:cstheme="minorHAnsi"/>
        </w:rPr>
        <w:t xml:space="preserve">zajištění činnosti autorského dozoru </w:t>
      </w:r>
      <w:r w:rsidR="006D1B3C" w:rsidRPr="00D50AAB">
        <w:rPr>
          <w:rFonts w:cstheme="minorHAnsi"/>
        </w:rPr>
        <w:t xml:space="preserve">dle této smlouvy </w:t>
      </w:r>
      <w:r w:rsidRPr="00D50AAB">
        <w:rPr>
          <w:rFonts w:cstheme="minorHAnsi"/>
        </w:rPr>
        <w:t xml:space="preserve">odměnu ve výši sjednané touto smlouvou. </w:t>
      </w:r>
    </w:p>
    <w:p w14:paraId="55C8F565" w14:textId="77777777" w:rsidR="00BC7233" w:rsidRPr="00D50AAB" w:rsidRDefault="00477CC2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 w:rsidRPr="00D50AAB">
        <w:rPr>
          <w:rFonts w:cstheme="minorHAnsi"/>
        </w:rPr>
        <w:t>Příkazník přenechá příkazci veškerý užitek z obstarávané záležitosti.</w:t>
      </w:r>
    </w:p>
    <w:p w14:paraId="3AF55DE3" w14:textId="197B0A7F" w:rsidR="00BC7233" w:rsidRPr="00D50AAB" w:rsidRDefault="00BC7233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 w:rsidRPr="00264079">
        <w:rPr>
          <w:rFonts w:cstheme="minorHAnsi"/>
        </w:rPr>
        <w:t>Předmět plnění této smlouvy příkazník provede podle následujících podkladů, předaných mu příkazcem k datu podpisu smlouvy:</w:t>
      </w:r>
    </w:p>
    <w:p w14:paraId="721F9252" w14:textId="7B2CB11E" w:rsidR="00BC7233" w:rsidRPr="00264079" w:rsidRDefault="00BC7233" w:rsidP="00BC7233">
      <w:pPr>
        <w:pStyle w:val="Odstavecseseznamem"/>
        <w:numPr>
          <w:ilvl w:val="1"/>
          <w:numId w:val="20"/>
        </w:numPr>
        <w:spacing w:after="0" w:line="240" w:lineRule="auto"/>
        <w:contextualSpacing w:val="0"/>
        <w:jc w:val="both"/>
        <w:rPr>
          <w:rFonts w:cstheme="minorHAnsi"/>
          <w:u w:val="single"/>
        </w:rPr>
      </w:pPr>
      <w:r w:rsidRPr="00264079">
        <w:rPr>
          <w:rFonts w:cstheme="minorHAnsi"/>
          <w:u w:val="single"/>
        </w:rPr>
        <w:t>projektová dokumentace</w:t>
      </w:r>
      <w:r w:rsidR="00453E40" w:rsidRPr="00264079">
        <w:rPr>
          <w:rFonts w:cstheme="minorHAnsi"/>
          <w:u w:val="single"/>
        </w:rPr>
        <w:t xml:space="preserve"> Postupná památková obnova fasády Ledebourského paláce, SVIŽN s.r.o., Milady Horákové 298/123, 160 00 Praha 6, 07/2015</w:t>
      </w:r>
      <w:r w:rsidR="00E20926" w:rsidRPr="00264079">
        <w:rPr>
          <w:rFonts w:cstheme="minorHAnsi"/>
          <w:u w:val="single"/>
        </w:rPr>
        <w:t xml:space="preserve"> zveřejněná ve VZ na tuto stavbu</w:t>
      </w:r>
    </w:p>
    <w:p w14:paraId="04613A14" w14:textId="77777777" w:rsidR="00477CC2" w:rsidRPr="00D50AAB" w:rsidRDefault="009E4125" w:rsidP="00E83068">
      <w:pPr>
        <w:spacing w:after="0"/>
        <w:ind w:left="360"/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>II.</w:t>
      </w:r>
    </w:p>
    <w:p w14:paraId="20FDC1F9" w14:textId="77777777" w:rsidR="00477CC2" w:rsidRPr="00D50AAB" w:rsidRDefault="00477CC2" w:rsidP="00477CC2">
      <w:pPr>
        <w:spacing w:after="0"/>
        <w:ind w:left="360"/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>Doba plnění příkazu</w:t>
      </w:r>
    </w:p>
    <w:p w14:paraId="4207237B" w14:textId="77777777" w:rsidR="00DC31A5" w:rsidRPr="00D50AAB" w:rsidRDefault="00DC31A5" w:rsidP="00477CC2">
      <w:pPr>
        <w:spacing w:after="0"/>
        <w:ind w:left="360"/>
        <w:jc w:val="center"/>
        <w:rPr>
          <w:rFonts w:cstheme="minorHAnsi"/>
        </w:rPr>
      </w:pPr>
    </w:p>
    <w:p w14:paraId="6CBFF622" w14:textId="6EDF8353" w:rsidR="00EE2313" w:rsidRPr="00D50AAB" w:rsidRDefault="00EE2313" w:rsidP="00EE231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 w:rsidRPr="00D50AAB">
        <w:rPr>
          <w:rFonts w:cstheme="minorHAnsi"/>
        </w:rPr>
        <w:t>Tato Smlouva nabývá platnosti dnem podpisu Smlouvy oběma Smluvními stranami a účinnosti dnem uveřejnění</w:t>
      </w:r>
      <w:r w:rsidR="00471427">
        <w:rPr>
          <w:rFonts w:cstheme="minorHAnsi"/>
        </w:rPr>
        <w:t xml:space="preserve"> v registru smluv</w:t>
      </w:r>
      <w:r w:rsidRPr="00D50AAB">
        <w:rPr>
          <w:rFonts w:cstheme="minorHAnsi"/>
        </w:rPr>
        <w:t xml:space="preserve">.  </w:t>
      </w:r>
    </w:p>
    <w:p w14:paraId="39E2D396" w14:textId="6DCF4359" w:rsidR="00EE2313" w:rsidRPr="00D50AAB" w:rsidRDefault="00EE2313" w:rsidP="00EE231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 w:rsidRPr="00D50AAB">
        <w:rPr>
          <w:rFonts w:cstheme="minorHAnsi"/>
        </w:rPr>
        <w:t>Tato Smlouva se uzavírá na dobu určitou do doby naplnění účelu této</w:t>
      </w:r>
      <w:r w:rsidR="00FE73DB" w:rsidRPr="00D50AAB">
        <w:rPr>
          <w:rFonts w:cstheme="minorHAnsi"/>
        </w:rPr>
        <w:t xml:space="preserve"> smlouvy včetně předání dokumentace</w:t>
      </w:r>
      <w:r w:rsidRPr="00D50AAB">
        <w:rPr>
          <w:rFonts w:cstheme="minorHAnsi"/>
        </w:rPr>
        <w:t xml:space="preserve">. Odhadem se jedná o dobu trvání stavby, tedy 4 měsíce v rámci realizace </w:t>
      </w:r>
      <w:r w:rsidRPr="00D50AAB">
        <w:rPr>
          <w:rFonts w:cstheme="minorHAnsi"/>
          <w:b/>
        </w:rPr>
        <w:t>stavby s názvem</w:t>
      </w:r>
      <w:r w:rsidRPr="00D50AAB">
        <w:rPr>
          <w:rFonts w:cstheme="minorHAnsi"/>
        </w:rPr>
        <w:t xml:space="preserve"> </w:t>
      </w:r>
      <w:r w:rsidRPr="00D50AAB">
        <w:rPr>
          <w:rFonts w:cstheme="minorHAnsi"/>
          <w:b/>
        </w:rPr>
        <w:t xml:space="preserve">„ NPÚ, GnŘ – </w:t>
      </w:r>
      <w:proofErr w:type="spellStart"/>
      <w:r w:rsidRPr="00D50AAB">
        <w:rPr>
          <w:rFonts w:cstheme="minorHAnsi"/>
          <w:b/>
        </w:rPr>
        <w:t>Ledebourský</w:t>
      </w:r>
      <w:proofErr w:type="spellEnd"/>
      <w:r w:rsidRPr="00D50AAB">
        <w:rPr>
          <w:rFonts w:cstheme="minorHAnsi"/>
          <w:b/>
        </w:rPr>
        <w:t xml:space="preserve"> palác — rekonstrukce I. etapa“. </w:t>
      </w:r>
      <w:r w:rsidRPr="00D50AAB">
        <w:rPr>
          <w:rFonts w:cstheme="minorHAnsi"/>
        </w:rPr>
        <w:t xml:space="preserve">Příkazník započne s plněním závazku </w:t>
      </w:r>
      <w:r w:rsidR="004E4F2C" w:rsidRPr="00D50AAB">
        <w:rPr>
          <w:rFonts w:cstheme="minorHAnsi"/>
        </w:rPr>
        <w:t>po uzavření smlouvy</w:t>
      </w:r>
      <w:r w:rsidR="00FE73DB" w:rsidRPr="00D50AAB">
        <w:rPr>
          <w:rFonts w:cstheme="minorHAnsi"/>
        </w:rPr>
        <w:t>.</w:t>
      </w:r>
    </w:p>
    <w:p w14:paraId="7B2B3F29" w14:textId="41640E4A" w:rsidR="00C6201D" w:rsidRPr="00D50AAB" w:rsidRDefault="00C6201D" w:rsidP="00E83068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theme="minorHAnsi"/>
        </w:rPr>
      </w:pPr>
      <w:r w:rsidRPr="00D50AAB">
        <w:rPr>
          <w:rFonts w:cstheme="minorHAnsi"/>
        </w:rPr>
        <w:t xml:space="preserve">Obstarání autorského dozoru </w:t>
      </w:r>
      <w:r w:rsidR="006D1B3C" w:rsidRPr="00D50AAB">
        <w:rPr>
          <w:rFonts w:cstheme="minorHAnsi"/>
        </w:rPr>
        <w:t xml:space="preserve">dle této smlouvy </w:t>
      </w:r>
      <w:r w:rsidRPr="00D50AAB">
        <w:rPr>
          <w:rFonts w:cstheme="minorHAnsi"/>
        </w:rPr>
        <w:t>bude ukončeno dnem protokolární</w:t>
      </w:r>
      <w:r w:rsidR="00E83068" w:rsidRPr="00D50AAB">
        <w:rPr>
          <w:rFonts w:cstheme="minorHAnsi"/>
        </w:rPr>
        <w:t>ho</w:t>
      </w:r>
      <w:r w:rsidRPr="00D50AAB">
        <w:rPr>
          <w:rFonts w:cstheme="minorHAnsi"/>
        </w:rPr>
        <w:t xml:space="preserve"> předání stavby</w:t>
      </w:r>
      <w:r w:rsidR="00E83068" w:rsidRPr="00D50AAB">
        <w:rPr>
          <w:rFonts w:cstheme="minorHAnsi"/>
        </w:rPr>
        <w:t xml:space="preserve"> (části provedené dle projektové dokumentace)</w:t>
      </w:r>
      <w:r w:rsidRPr="00D50AAB">
        <w:rPr>
          <w:rFonts w:cstheme="minorHAnsi"/>
        </w:rPr>
        <w:t xml:space="preserve"> zhotovitelem stavby. </w:t>
      </w:r>
    </w:p>
    <w:p w14:paraId="692BD928" w14:textId="77777777" w:rsidR="00477CC2" w:rsidRPr="00D50AAB" w:rsidRDefault="00477CC2" w:rsidP="00477CC2">
      <w:pPr>
        <w:spacing w:after="0"/>
        <w:ind w:left="360"/>
        <w:jc w:val="center"/>
        <w:rPr>
          <w:rFonts w:cstheme="minorHAnsi"/>
        </w:rPr>
      </w:pPr>
    </w:p>
    <w:p w14:paraId="5236D4B5" w14:textId="77777777" w:rsidR="00477CC2" w:rsidRPr="00E838B8" w:rsidRDefault="000F0CC1" w:rsidP="000F0CC1">
      <w:pPr>
        <w:spacing w:after="0"/>
        <w:jc w:val="center"/>
        <w:rPr>
          <w:rFonts w:cstheme="minorHAnsi"/>
          <w:b/>
        </w:rPr>
      </w:pPr>
      <w:r w:rsidRPr="00E838B8">
        <w:rPr>
          <w:rFonts w:cstheme="minorHAnsi"/>
          <w:b/>
        </w:rPr>
        <w:t>III.</w:t>
      </w:r>
    </w:p>
    <w:p w14:paraId="1C8B034A" w14:textId="77777777" w:rsidR="000F0CC1" w:rsidRPr="00E838B8" w:rsidRDefault="000F0CC1" w:rsidP="000F0CC1">
      <w:pPr>
        <w:spacing w:after="0"/>
        <w:jc w:val="center"/>
        <w:rPr>
          <w:rFonts w:cstheme="minorHAnsi"/>
          <w:b/>
        </w:rPr>
      </w:pPr>
      <w:r w:rsidRPr="00E838B8">
        <w:rPr>
          <w:rFonts w:cstheme="minorHAnsi"/>
          <w:b/>
        </w:rPr>
        <w:t>Odměna</w:t>
      </w:r>
    </w:p>
    <w:p w14:paraId="1C09F810" w14:textId="77777777" w:rsidR="0065635E" w:rsidRPr="00E838B8" w:rsidRDefault="0065635E" w:rsidP="000F0CC1">
      <w:pPr>
        <w:spacing w:after="0"/>
        <w:jc w:val="center"/>
        <w:rPr>
          <w:rFonts w:cstheme="minorHAnsi"/>
        </w:rPr>
      </w:pPr>
    </w:p>
    <w:p w14:paraId="457E50E8" w14:textId="77777777" w:rsidR="000F0CC1" w:rsidRPr="00D50AAB" w:rsidRDefault="000F0CC1" w:rsidP="000F0CC1">
      <w:pPr>
        <w:pStyle w:val="Odstavecseseznamem"/>
        <w:numPr>
          <w:ilvl w:val="0"/>
          <w:numId w:val="4"/>
        </w:numPr>
        <w:spacing w:after="0"/>
        <w:ind w:left="284" w:hanging="284"/>
        <w:rPr>
          <w:rFonts w:cstheme="minorHAnsi"/>
        </w:rPr>
      </w:pPr>
      <w:r w:rsidRPr="00E838B8">
        <w:rPr>
          <w:rFonts w:cstheme="minorHAnsi"/>
        </w:rPr>
        <w:t xml:space="preserve">Výše odměny náležející příkazníkovi byla sjednána dohodou smluvních stran. </w:t>
      </w:r>
    </w:p>
    <w:p w14:paraId="19F2BEFB" w14:textId="77777777" w:rsidR="000F0CC1" w:rsidRPr="00D50AAB" w:rsidRDefault="000F0CC1" w:rsidP="000F0CC1">
      <w:pPr>
        <w:pStyle w:val="Odstavecseseznamem"/>
        <w:numPr>
          <w:ilvl w:val="0"/>
          <w:numId w:val="4"/>
        </w:numPr>
        <w:spacing w:after="0"/>
        <w:ind w:left="284" w:hanging="284"/>
        <w:rPr>
          <w:rFonts w:cstheme="minorHAnsi"/>
        </w:rPr>
      </w:pPr>
      <w:r w:rsidRPr="00D50AAB">
        <w:rPr>
          <w:rFonts w:cstheme="minorHAnsi"/>
        </w:rPr>
        <w:lastRenderedPageBreak/>
        <w:t>Příkazníkovi náleží odměna</w:t>
      </w:r>
      <w:r w:rsidR="008C338D" w:rsidRPr="00D50AAB">
        <w:rPr>
          <w:rFonts w:cstheme="minorHAnsi"/>
        </w:rPr>
        <w:t xml:space="preserve">, jejíž výše je určena následujícím způsobem: </w:t>
      </w:r>
      <w:r w:rsidRPr="00D50AAB">
        <w:rPr>
          <w:rFonts w:cstheme="minorHAnsi"/>
        </w:rPr>
        <w:t xml:space="preserve"> </w:t>
      </w:r>
    </w:p>
    <w:p w14:paraId="6682C583" w14:textId="77777777" w:rsidR="00D11E27" w:rsidRPr="00264079" w:rsidRDefault="00D11E27" w:rsidP="00D11E27">
      <w:pPr>
        <w:pStyle w:val="Odstavecseseznamem"/>
        <w:ind w:left="502"/>
        <w:rPr>
          <w:rFonts w:cstheme="minorHAnsi"/>
        </w:rPr>
      </w:pPr>
      <w:r w:rsidRPr="00264079">
        <w:rPr>
          <w:rFonts w:cstheme="minorHAnsi"/>
        </w:rPr>
        <w:t>Celková cena za výkon AD v předpokládaném rozsahu 100 hodin činí:</w:t>
      </w:r>
    </w:p>
    <w:p w14:paraId="41E02E99" w14:textId="77777777" w:rsidR="00D11E27" w:rsidRPr="00264079" w:rsidRDefault="00D11E27" w:rsidP="00D11E27">
      <w:pPr>
        <w:pStyle w:val="Odstavecseseznamem"/>
        <w:ind w:left="502"/>
        <w:rPr>
          <w:rFonts w:cstheme="minorHAnsi"/>
        </w:rPr>
      </w:pPr>
      <w:r w:rsidRPr="00264079">
        <w:rPr>
          <w:rFonts w:cstheme="minorHAnsi"/>
        </w:rPr>
        <w:t>Cena za 1 hodinu výkonu AD bez DPH ………………………</w:t>
      </w:r>
      <w:proofErr w:type="gramStart"/>
      <w:r w:rsidRPr="00264079">
        <w:rPr>
          <w:rFonts w:cstheme="minorHAnsi"/>
        </w:rPr>
        <w:t>…..          850,00</w:t>
      </w:r>
      <w:proofErr w:type="gramEnd"/>
      <w:r w:rsidRPr="00264079">
        <w:rPr>
          <w:rFonts w:cstheme="minorHAnsi"/>
        </w:rPr>
        <w:t xml:space="preserve"> Kč</w:t>
      </w:r>
    </w:p>
    <w:p w14:paraId="50686EA9" w14:textId="77777777" w:rsidR="00D11E27" w:rsidRPr="00264079" w:rsidRDefault="00D11E27" w:rsidP="00D11E27">
      <w:pPr>
        <w:pStyle w:val="Odstavecseseznamem"/>
        <w:ind w:left="502"/>
        <w:rPr>
          <w:rFonts w:cstheme="minorHAnsi"/>
        </w:rPr>
      </w:pPr>
      <w:r w:rsidRPr="00264079">
        <w:rPr>
          <w:rFonts w:cstheme="minorHAnsi"/>
        </w:rPr>
        <w:t>DPH v platné sazbě, tj. 21 % činí ……………………………………          178,50 Kč</w:t>
      </w:r>
    </w:p>
    <w:p w14:paraId="516A2362" w14:textId="77777777" w:rsidR="00D11E27" w:rsidRPr="00264079" w:rsidRDefault="00D11E27" w:rsidP="00D11E27">
      <w:pPr>
        <w:pStyle w:val="Odstavecseseznamem"/>
        <w:ind w:left="502"/>
        <w:rPr>
          <w:rFonts w:cstheme="minorHAnsi"/>
        </w:rPr>
      </w:pPr>
      <w:r w:rsidRPr="00264079">
        <w:rPr>
          <w:rFonts w:cstheme="minorHAnsi"/>
        </w:rPr>
        <w:t xml:space="preserve">Cena za 1 hodinu výkonu AD s DPH ………………………………       1.028,50 Kč </w:t>
      </w:r>
    </w:p>
    <w:p w14:paraId="6FDC4635" w14:textId="234D5D27" w:rsidR="00D11E27" w:rsidRPr="00264079" w:rsidRDefault="00D11E27" w:rsidP="00D11E27">
      <w:pPr>
        <w:pStyle w:val="Odstavecseseznamem"/>
        <w:ind w:left="502"/>
        <w:rPr>
          <w:rFonts w:cstheme="minorHAnsi"/>
        </w:rPr>
      </w:pPr>
      <w:r w:rsidRPr="00264079">
        <w:rPr>
          <w:rFonts w:cstheme="minorHAnsi"/>
        </w:rPr>
        <w:t>Cena za 100 hodin výkonu AD bez DPH ……………………</w:t>
      </w:r>
      <w:proofErr w:type="gramStart"/>
      <w:r w:rsidRPr="00264079">
        <w:rPr>
          <w:rFonts w:cstheme="minorHAnsi"/>
        </w:rPr>
        <w:t>…..     85.000,00</w:t>
      </w:r>
      <w:proofErr w:type="gramEnd"/>
      <w:r w:rsidRPr="00264079">
        <w:rPr>
          <w:rFonts w:cstheme="minorHAnsi"/>
        </w:rPr>
        <w:t xml:space="preserve"> Kč</w:t>
      </w:r>
    </w:p>
    <w:p w14:paraId="707E56C3" w14:textId="69FB58C3" w:rsidR="00D11E27" w:rsidRPr="00264079" w:rsidRDefault="00D11E27" w:rsidP="00D11E27">
      <w:pPr>
        <w:pStyle w:val="Odstavecseseznamem"/>
        <w:ind w:left="502"/>
        <w:rPr>
          <w:rFonts w:cstheme="minorHAnsi"/>
        </w:rPr>
      </w:pPr>
      <w:r w:rsidRPr="00264079">
        <w:rPr>
          <w:rFonts w:cstheme="minorHAnsi"/>
        </w:rPr>
        <w:t>DPH v platné sazbě, tj. 21 % činí ……………………………………    17.850,00 Kč</w:t>
      </w:r>
    </w:p>
    <w:p w14:paraId="39D36C41" w14:textId="2AE3936A" w:rsidR="00D11E27" w:rsidRPr="00264079" w:rsidRDefault="00D11E27" w:rsidP="00D11E27">
      <w:pPr>
        <w:pStyle w:val="Odstavecseseznamem"/>
        <w:ind w:left="502"/>
        <w:rPr>
          <w:rFonts w:cstheme="minorHAnsi"/>
        </w:rPr>
      </w:pPr>
      <w:r w:rsidRPr="00264079">
        <w:rPr>
          <w:rFonts w:cstheme="minorHAnsi"/>
        </w:rPr>
        <w:t>Cena za 100 hodinu výkonu AD s DPH ………………………</w:t>
      </w:r>
      <w:proofErr w:type="gramStart"/>
      <w:r w:rsidRPr="00264079">
        <w:rPr>
          <w:rFonts w:cstheme="minorHAnsi"/>
        </w:rPr>
        <w:t>….   102.850,00</w:t>
      </w:r>
      <w:proofErr w:type="gramEnd"/>
      <w:r w:rsidRPr="00264079">
        <w:rPr>
          <w:rFonts w:cstheme="minorHAnsi"/>
        </w:rPr>
        <w:t xml:space="preserve"> Kč</w:t>
      </w:r>
    </w:p>
    <w:p w14:paraId="535680C9" w14:textId="77777777" w:rsidR="0060005F" w:rsidRPr="00D50AAB" w:rsidRDefault="008964B9" w:rsidP="00E83068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cstheme="minorHAnsi"/>
        </w:rPr>
      </w:pPr>
      <w:r w:rsidRPr="00D50AAB">
        <w:rPr>
          <w:rFonts w:cstheme="minorHAnsi"/>
        </w:rPr>
        <w:t>Součástí odměny jsou veškeré náklady spojené s činností příkazníka</w:t>
      </w:r>
      <w:r w:rsidR="00BA54BB" w:rsidRPr="00D50AAB">
        <w:rPr>
          <w:rFonts w:cstheme="minorHAnsi"/>
        </w:rPr>
        <w:t xml:space="preserve"> (autorského dozoru)</w:t>
      </w:r>
      <w:r w:rsidRPr="00D50AAB">
        <w:rPr>
          <w:rFonts w:cstheme="minorHAnsi"/>
        </w:rPr>
        <w:t xml:space="preserve"> podle této smlouvy</w:t>
      </w:r>
      <w:r w:rsidR="00BA54BB" w:rsidRPr="00D50AAB">
        <w:rPr>
          <w:rFonts w:cstheme="minorHAnsi"/>
        </w:rPr>
        <w:t xml:space="preserve"> </w:t>
      </w:r>
      <w:r w:rsidR="0060005F" w:rsidRPr="00D50AAB">
        <w:rPr>
          <w:rFonts w:cstheme="minorHAnsi"/>
        </w:rPr>
        <w:t>včetně veškerých vedlejších nákladů, jakož i nákladů na dopravu a přiměřeného zisku.</w:t>
      </w:r>
    </w:p>
    <w:p w14:paraId="1606FD92" w14:textId="38977171" w:rsidR="0060005F" w:rsidRPr="00D50AAB" w:rsidRDefault="0060005F" w:rsidP="00E83068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cstheme="minorHAnsi"/>
        </w:rPr>
      </w:pPr>
      <w:r w:rsidRPr="00D50AAB">
        <w:rPr>
          <w:rFonts w:cstheme="minorHAnsi"/>
        </w:rPr>
        <w:t>Příkazce není povinen vyčerpat celkový rozsah plnění podle této smlouvy. Příkazce neposkytuje příkazníkovi žádné zálohy.</w:t>
      </w:r>
    </w:p>
    <w:p w14:paraId="1B7ADF1B" w14:textId="061C179B" w:rsidR="008964B9" w:rsidRPr="00D50AAB" w:rsidRDefault="008964B9" w:rsidP="00A23BF0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cstheme="minorHAnsi"/>
        </w:rPr>
      </w:pPr>
      <w:r w:rsidRPr="00D50AAB">
        <w:rPr>
          <w:rFonts w:cstheme="minorHAnsi"/>
        </w:rPr>
        <w:t>Odměna je splatná na základě daňového dokladu – faktury vystave</w:t>
      </w:r>
      <w:r w:rsidR="00AF5A66" w:rsidRPr="00D50AAB">
        <w:rPr>
          <w:rFonts w:cstheme="minorHAnsi"/>
        </w:rPr>
        <w:t xml:space="preserve">né příkazníkem se splatností 30 </w:t>
      </w:r>
      <w:r w:rsidRPr="00D50AAB">
        <w:rPr>
          <w:rFonts w:cstheme="minorHAnsi"/>
        </w:rPr>
        <w:t>dnů ode dne doručení daňového dokladu příkazci.</w:t>
      </w:r>
      <w:r w:rsidR="00DF5D35" w:rsidRPr="00D50AAB">
        <w:rPr>
          <w:rFonts w:cstheme="minorHAnsi"/>
        </w:rPr>
        <w:t xml:space="preserve"> Příkazník je oprávněn vystavit fakturu </w:t>
      </w:r>
      <w:r w:rsidR="00DC7A30" w:rsidRPr="00D50AAB">
        <w:rPr>
          <w:rFonts w:cstheme="minorHAnsi"/>
        </w:rPr>
        <w:t>měsíčně na základě schváleného výkazu hodin.</w:t>
      </w:r>
      <w:r w:rsidR="00DF5D35" w:rsidRPr="00D50AAB">
        <w:rPr>
          <w:rFonts w:cstheme="minorHAnsi"/>
        </w:rPr>
        <w:t xml:space="preserve"> </w:t>
      </w:r>
      <w:r w:rsidRPr="00D50AAB">
        <w:rPr>
          <w:rFonts w:cstheme="minorHAnsi"/>
        </w:rPr>
        <w:t>Daňový doklad musí obsahovat všechny náležitosti účetního a daňového dokladu dle příslušných právních předpisů, zejména zákona č. 235/2004 Sb., o dani z přidané hodnoty, ve znění pozdějších předpisů, dále musí splňovat smlouvou stanovené náležitosti, jinak je příkazce oprávněn jej do data splatnosti vrátit s tím, že příkazník je poté povinen vystavit nový daňový doklad s nově určeným datem splatnosti, tak aby byla zachována určená doba splatnosti</w:t>
      </w:r>
      <w:r w:rsidR="001A6D46" w:rsidRPr="00D50AAB">
        <w:rPr>
          <w:rFonts w:cstheme="minorHAnsi"/>
        </w:rPr>
        <w:t xml:space="preserve">. </w:t>
      </w:r>
    </w:p>
    <w:p w14:paraId="02751D96" w14:textId="7EC2464F" w:rsidR="001A6D46" w:rsidRPr="00D50AAB" w:rsidRDefault="001A6D46" w:rsidP="001A6D46">
      <w:pPr>
        <w:pStyle w:val="Zkladntext"/>
        <w:numPr>
          <w:ilvl w:val="0"/>
          <w:numId w:val="4"/>
        </w:numPr>
        <w:tabs>
          <w:tab w:val="clear" w:pos="567"/>
        </w:tabs>
        <w:snapToGrid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Příkazník prohlašuje, že ke dni podpisu smlouvy není nespolehlivým plátcem DPH dle §106 zákona č. 235/2004 Sb., o dani z přidané hodnoty, ve znění pozdějších předpisů, a není veden v registru nespolehlivých plátců DPH. Příkazník se dále zavazuje uvádět pro účely bezhotovostního převodu pouze účet či účty, které jsou správcem daně zveřejněny způsobem umožňujícím dálkový přístup dle zákona č. 235/2004 Sb., o dani z přidané hodnoty, ve znění pozdějších předpisů. V případě, že se 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>příkazník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stane nespolehlivým plátcem DPH, je povinen tuto skutečnost oznámit neprodleně 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>příkazci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nejpozději do 3 dnů, ode dne kdy skutečnost nastala. V případě porušení 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>oznamovací povinnosti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je 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>příkazník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povinen uhradit 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>příkazci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smluvní pokutu ve výši </w:t>
      </w:r>
      <w:r w:rsidR="00C862AD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>0.000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Kč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Uhrazení pokuty se nikterak nedotýká nároku na náhradu škody způsobené porušením této povinnosti. 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Příkazník 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souhlasí s tím, aby 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>příkazce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provedl zajišťovací úhradu DPH přímo na účet příslušného finančního úřadu, jestliže </w:t>
      </w:r>
      <w:r w:rsidR="006C1F2C"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>příkazník</w:t>
      </w:r>
      <w:r w:rsidRPr="00D50A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bude ke dni uskutečnění zdanitelného plnění veden v registru nespolehlivých plátců DPH.</w:t>
      </w:r>
    </w:p>
    <w:p w14:paraId="61FCBED6" w14:textId="77777777" w:rsidR="001A6D46" w:rsidRPr="00D50AAB" w:rsidRDefault="001A6D46" w:rsidP="001A6D46">
      <w:pPr>
        <w:pStyle w:val="Normlnweb"/>
        <w:shd w:val="clear" w:color="auto" w:fill="FFFFFF"/>
        <w:spacing w:before="0" w:beforeAutospacing="0" w:after="0" w:afterAutospacing="0"/>
        <w:ind w:left="142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1B10667" w14:textId="77777777" w:rsidR="008C338D" w:rsidRPr="00D50AAB" w:rsidRDefault="008C338D" w:rsidP="008C338D">
      <w:pPr>
        <w:spacing w:after="0"/>
        <w:ind w:left="360"/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>IV.</w:t>
      </w:r>
    </w:p>
    <w:p w14:paraId="2F4F7F93" w14:textId="77777777" w:rsidR="008C338D" w:rsidRPr="00D50AAB" w:rsidRDefault="00CB4006" w:rsidP="008C338D">
      <w:pPr>
        <w:spacing w:after="0"/>
        <w:ind w:left="360"/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>Práva a p</w:t>
      </w:r>
      <w:r w:rsidR="008C338D" w:rsidRPr="00D50AAB">
        <w:rPr>
          <w:rFonts w:cstheme="minorHAnsi"/>
          <w:b/>
        </w:rPr>
        <w:t>ovinnosti smluvních stran</w:t>
      </w:r>
    </w:p>
    <w:p w14:paraId="17DE0272" w14:textId="77777777" w:rsidR="0065635E" w:rsidRPr="00D50AAB" w:rsidRDefault="0065635E" w:rsidP="008C338D">
      <w:pPr>
        <w:spacing w:after="0"/>
        <w:ind w:left="360"/>
        <w:jc w:val="center"/>
        <w:rPr>
          <w:rFonts w:cstheme="minorHAnsi"/>
        </w:rPr>
      </w:pPr>
    </w:p>
    <w:p w14:paraId="3B10934D" w14:textId="28097CC3" w:rsidR="006C1F2C" w:rsidRPr="00D50AAB" w:rsidRDefault="006C1F2C" w:rsidP="00B278BC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Příkazník plní příkaz </w:t>
      </w:r>
      <w:r w:rsidR="00C619AC" w:rsidRPr="00D50AAB">
        <w:rPr>
          <w:rFonts w:cstheme="minorHAnsi"/>
        </w:rPr>
        <w:t xml:space="preserve">průběžně, </w:t>
      </w:r>
      <w:r w:rsidRPr="00D50AAB">
        <w:rPr>
          <w:rFonts w:cstheme="minorHAnsi"/>
        </w:rPr>
        <w:t xml:space="preserve">poctivě a pečlivě podle svých schopností, s odbornou péčí a </w:t>
      </w:r>
      <w:r w:rsidR="00453E40" w:rsidRPr="00D50AAB">
        <w:rPr>
          <w:rFonts w:cstheme="minorHAnsi"/>
        </w:rPr>
        <w:t xml:space="preserve">používá </w:t>
      </w:r>
      <w:r w:rsidRPr="00D50AAB">
        <w:rPr>
          <w:rFonts w:cstheme="minorHAnsi"/>
        </w:rPr>
        <w:t>přitom každého prostředku, kterého vyžaduje povaha obstarávané záležitosti. Od příkazcových pokynů se příkazník může odchýlit, pokud je to nezbytné v zájmu příkazce a pokud nemůže včas obdržet jeho příkaz.</w:t>
      </w:r>
    </w:p>
    <w:p w14:paraId="05EFBA2E" w14:textId="77777777" w:rsidR="008375ED" w:rsidRPr="00D50AAB" w:rsidRDefault="008375ED" w:rsidP="00B278BC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Příkazník je povinen neprodleně informovat příkazce o všech skutečnostech, které při plnění příkazu zjistil, a které by mohly ovlivnit pokyny příkazce. </w:t>
      </w:r>
    </w:p>
    <w:p w14:paraId="58C63BF2" w14:textId="77777777" w:rsidR="006C1F2C" w:rsidRPr="00D50AAB" w:rsidRDefault="006C1F2C" w:rsidP="006C1F2C">
      <w:pPr>
        <w:pStyle w:val="Odstavecseseznamem"/>
        <w:numPr>
          <w:ilvl w:val="0"/>
          <w:numId w:val="12"/>
        </w:numPr>
        <w:spacing w:after="0"/>
        <w:rPr>
          <w:rFonts w:cstheme="minorHAnsi"/>
        </w:rPr>
      </w:pPr>
      <w:r w:rsidRPr="00D50AAB">
        <w:rPr>
          <w:rFonts w:cstheme="minorHAnsi"/>
        </w:rPr>
        <w:t>Obdrží-li příkazník od příkazce pokyn zjevně nesprávný, upozorní ho na to a splní takový pokyn jen tehdy, když na něm příkazce trvá.</w:t>
      </w:r>
    </w:p>
    <w:p w14:paraId="75F053F1" w14:textId="77777777" w:rsidR="006D1B3C" w:rsidRPr="00264079" w:rsidRDefault="006D1B3C" w:rsidP="006D1B3C">
      <w:pPr>
        <w:numPr>
          <w:ilvl w:val="0"/>
          <w:numId w:val="12"/>
        </w:numPr>
        <w:tabs>
          <w:tab w:val="num" w:pos="709"/>
        </w:tabs>
        <w:spacing w:after="0" w:line="240" w:lineRule="auto"/>
        <w:jc w:val="both"/>
        <w:rPr>
          <w:rFonts w:cstheme="minorHAnsi"/>
        </w:rPr>
      </w:pPr>
      <w:r w:rsidRPr="00264079">
        <w:rPr>
          <w:rFonts w:eastAsia="Calibri" w:cstheme="minorHAnsi"/>
          <w:lang w:eastAsia="x-none"/>
        </w:rPr>
        <w:lastRenderedPageBreak/>
        <w:t>Použije-li příkazník k plnění třetí osobu, odpovídá příkazník za všechny škody, jako by je způsobil on sám, i tehdy zavázala-li se třetí osoba provést určitou činnost samostatně.</w:t>
      </w:r>
      <w:r w:rsidRPr="00264079">
        <w:rPr>
          <w:rFonts w:cstheme="minorHAnsi"/>
        </w:rPr>
        <w:t xml:space="preserve"> </w:t>
      </w:r>
    </w:p>
    <w:p w14:paraId="579124A6" w14:textId="0CE13A64" w:rsidR="006C1F2C" w:rsidRPr="00D50AAB" w:rsidRDefault="006C1F2C">
      <w:pPr>
        <w:pStyle w:val="Odstavecseseznamem"/>
        <w:numPr>
          <w:ilvl w:val="0"/>
          <w:numId w:val="12"/>
        </w:numPr>
        <w:spacing w:after="0"/>
        <w:rPr>
          <w:rFonts w:cstheme="minorHAnsi"/>
        </w:rPr>
      </w:pPr>
      <w:r w:rsidRPr="00D50AAB">
        <w:rPr>
          <w:rFonts w:cstheme="minorHAnsi"/>
        </w:rPr>
        <w:t xml:space="preserve">Příkazník podá příkazci na jeho žádost zprávu o postupu plnění </w:t>
      </w:r>
      <w:r w:rsidR="006D1B3C" w:rsidRPr="00D50AAB">
        <w:rPr>
          <w:rFonts w:cstheme="minorHAnsi"/>
        </w:rPr>
        <w:t>této smlouvy</w:t>
      </w:r>
      <w:r w:rsidRPr="00D50AAB">
        <w:rPr>
          <w:rFonts w:cstheme="minorHAnsi"/>
        </w:rPr>
        <w:t>.</w:t>
      </w:r>
    </w:p>
    <w:p w14:paraId="7637CE97" w14:textId="7E103CF5" w:rsidR="006C1F2C" w:rsidRPr="00D50AAB" w:rsidRDefault="006C1F2C" w:rsidP="006C1F2C">
      <w:pPr>
        <w:pStyle w:val="Odstavecseseznamem"/>
        <w:numPr>
          <w:ilvl w:val="0"/>
          <w:numId w:val="12"/>
        </w:numPr>
        <w:spacing w:after="0"/>
        <w:rPr>
          <w:rFonts w:cstheme="minorHAnsi"/>
        </w:rPr>
      </w:pPr>
      <w:r w:rsidRPr="00D50AAB">
        <w:rPr>
          <w:rFonts w:cstheme="minorHAnsi"/>
        </w:rPr>
        <w:t xml:space="preserve">Příkazník </w:t>
      </w:r>
      <w:r w:rsidR="0065635E" w:rsidRPr="00D50AAB">
        <w:rPr>
          <w:rFonts w:cstheme="minorHAnsi"/>
        </w:rPr>
        <w:t>může příkaz písemně vypovědět</w:t>
      </w:r>
      <w:r w:rsidR="00E9365F">
        <w:rPr>
          <w:rFonts w:cstheme="minorHAnsi"/>
        </w:rPr>
        <w:t xml:space="preserve"> s výpovědní lhůtou</w:t>
      </w:r>
      <w:r w:rsidR="0065635E" w:rsidRPr="00D50AAB">
        <w:rPr>
          <w:rFonts w:cstheme="minorHAnsi"/>
        </w:rPr>
        <w:t xml:space="preserve"> </w:t>
      </w:r>
      <w:r w:rsidR="00E9365F">
        <w:rPr>
          <w:rFonts w:cstheme="minorHAnsi"/>
        </w:rPr>
        <w:t xml:space="preserve">tak, že smlouva skončí </w:t>
      </w:r>
      <w:r w:rsidR="0065635E" w:rsidRPr="00D50AAB">
        <w:rPr>
          <w:rFonts w:cstheme="minorHAnsi"/>
        </w:rPr>
        <w:t>ke konci měsíce následujícího po měsíci, ve kterém byla výpověď doručena příkazci.</w:t>
      </w:r>
      <w:r w:rsidRPr="00D50AAB">
        <w:rPr>
          <w:rFonts w:cstheme="minorHAnsi"/>
        </w:rPr>
        <w:t xml:space="preserve"> </w:t>
      </w:r>
    </w:p>
    <w:p w14:paraId="55FD7256" w14:textId="77777777" w:rsidR="00106359" w:rsidRPr="00D50AAB" w:rsidRDefault="00106359" w:rsidP="006C1F2C">
      <w:pPr>
        <w:pStyle w:val="Odstavecseseznamem"/>
        <w:numPr>
          <w:ilvl w:val="0"/>
          <w:numId w:val="12"/>
        </w:numPr>
        <w:spacing w:after="0"/>
        <w:rPr>
          <w:rFonts w:cstheme="minorHAnsi"/>
        </w:rPr>
      </w:pPr>
      <w:r w:rsidRPr="00D50AAB">
        <w:rPr>
          <w:rFonts w:cstheme="minorHAnsi"/>
        </w:rPr>
        <w:t>Vypoví-li příkazník smlouvu bezdůvodně</w:t>
      </w:r>
      <w:r w:rsidR="00332EC3" w:rsidRPr="00D50AAB">
        <w:rPr>
          <w:rFonts w:cstheme="minorHAnsi"/>
        </w:rPr>
        <w:t>,</w:t>
      </w:r>
      <w:r w:rsidRPr="00D50AAB">
        <w:rPr>
          <w:rFonts w:cstheme="minorHAnsi"/>
        </w:rPr>
        <w:t xml:space="preserve"> nahradí příkazci škodu, která mu z výpovědi vzešla.</w:t>
      </w:r>
    </w:p>
    <w:p w14:paraId="77183444" w14:textId="3D32B29C" w:rsidR="00F6114B" w:rsidRPr="00D50AAB" w:rsidRDefault="00F6114B" w:rsidP="00F6114B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Příkazník je povinen dostavit se v termínu určeném pro jednání kontrolního dne a provést všechny úkony za účelem zjištění, zda průběh přípravy a realizace </w:t>
      </w:r>
      <w:r w:rsidR="00DF5D35" w:rsidRPr="00D50AAB">
        <w:rPr>
          <w:rFonts w:cstheme="minorHAnsi"/>
        </w:rPr>
        <w:t>stavby</w:t>
      </w:r>
      <w:r w:rsidRPr="00D50AAB">
        <w:rPr>
          <w:rFonts w:cstheme="minorHAnsi"/>
        </w:rPr>
        <w:t xml:space="preserve"> probíhá v souladu s údaji stanovenými v režimu stavby</w:t>
      </w:r>
      <w:r w:rsidR="00DF5D35" w:rsidRPr="00D50AAB">
        <w:rPr>
          <w:rFonts w:cstheme="minorHAnsi"/>
        </w:rPr>
        <w:t>, je povinen p</w:t>
      </w:r>
      <w:r w:rsidRPr="00D50AAB">
        <w:rPr>
          <w:rFonts w:cstheme="minorHAnsi"/>
        </w:rPr>
        <w:t xml:space="preserve">rovést kontrolu plnění úkolů z předchozích </w:t>
      </w:r>
      <w:r w:rsidR="00DC6F11" w:rsidRPr="00D50AAB">
        <w:rPr>
          <w:rFonts w:cstheme="minorHAnsi"/>
        </w:rPr>
        <w:t>kontrolních dnů a</w:t>
      </w:r>
      <w:r w:rsidRPr="00D50AAB">
        <w:rPr>
          <w:rFonts w:cstheme="minorHAnsi"/>
        </w:rPr>
        <w:t xml:space="preserve"> určení nových úkolů.</w:t>
      </w:r>
    </w:p>
    <w:p w14:paraId="769A0B89" w14:textId="77777777" w:rsidR="002A1CE5" w:rsidRPr="00D50AAB" w:rsidRDefault="006C1F2C" w:rsidP="002A1CE5">
      <w:pPr>
        <w:pStyle w:val="Odstavecseseznamem"/>
        <w:numPr>
          <w:ilvl w:val="0"/>
          <w:numId w:val="12"/>
        </w:numPr>
        <w:spacing w:after="0"/>
        <w:rPr>
          <w:rFonts w:cstheme="minorHAnsi"/>
        </w:rPr>
      </w:pPr>
      <w:r w:rsidRPr="00D50AAB">
        <w:rPr>
          <w:rFonts w:cstheme="minorHAnsi"/>
        </w:rPr>
        <w:t xml:space="preserve">Příkazce poskytne příkazníkovi odměnu podle </w:t>
      </w:r>
      <w:r w:rsidR="00B278BC" w:rsidRPr="00D50AAB">
        <w:rPr>
          <w:rFonts w:cstheme="minorHAnsi"/>
        </w:rPr>
        <w:t xml:space="preserve">čl. III. této smlouvy. </w:t>
      </w:r>
    </w:p>
    <w:p w14:paraId="0EB98A46" w14:textId="77777777" w:rsidR="00620A8E" w:rsidRPr="00D50AAB" w:rsidRDefault="00CB4006" w:rsidP="008335DA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>Příkazce je oprávněn příkaz odvolat z jakéhokoliv důvodu, bez uvedení důvodu a kdykoliv</w:t>
      </w:r>
      <w:r w:rsidR="00C42420" w:rsidRPr="00D50AAB">
        <w:rPr>
          <w:rFonts w:cstheme="minorHAnsi"/>
        </w:rPr>
        <w:t xml:space="preserve">, pokud tak učiní, </w:t>
      </w:r>
      <w:r w:rsidRPr="00D50AAB">
        <w:rPr>
          <w:rFonts w:cstheme="minorHAnsi"/>
        </w:rPr>
        <w:t xml:space="preserve">nahradí příkazníkovi </w:t>
      </w:r>
      <w:r w:rsidR="00C42420" w:rsidRPr="00D50AAB">
        <w:rPr>
          <w:rFonts w:cstheme="minorHAnsi"/>
        </w:rPr>
        <w:t xml:space="preserve">vynaložené </w:t>
      </w:r>
      <w:r w:rsidRPr="00D50AAB">
        <w:rPr>
          <w:rFonts w:cstheme="minorHAnsi"/>
        </w:rPr>
        <w:t>náklady, které do té doby měl</w:t>
      </w:r>
      <w:r w:rsidR="00C42420" w:rsidRPr="00D50AAB">
        <w:rPr>
          <w:rFonts w:cstheme="minorHAnsi"/>
        </w:rPr>
        <w:t xml:space="preserve">, dále příkazce uhradí příkazníkovi přiměřenou část odměny a pokud odvoláním příkazu vznikla příkazníkovi </w:t>
      </w:r>
    </w:p>
    <w:p w14:paraId="63096E70" w14:textId="5CFAD6DF" w:rsidR="00CB4006" w:rsidRPr="00D50AAB" w:rsidRDefault="00DF5D35" w:rsidP="00E83068">
      <w:pPr>
        <w:pStyle w:val="Odstavecseseznamem"/>
        <w:spacing w:after="0"/>
        <w:ind w:left="502"/>
        <w:jc w:val="both"/>
        <w:rPr>
          <w:rFonts w:cstheme="minorHAnsi"/>
        </w:rPr>
      </w:pPr>
      <w:r w:rsidRPr="00D50AAB">
        <w:rPr>
          <w:rFonts w:cstheme="minorHAnsi"/>
        </w:rPr>
        <w:t>š</w:t>
      </w:r>
      <w:r w:rsidR="00C42420" w:rsidRPr="00D50AAB">
        <w:rPr>
          <w:rFonts w:cstheme="minorHAnsi"/>
        </w:rPr>
        <w:t xml:space="preserve">koda, nahradí příkazce tuto škodu. </w:t>
      </w:r>
      <w:r w:rsidR="0065635E" w:rsidRPr="00D50AAB">
        <w:rPr>
          <w:rFonts w:cstheme="minorHAnsi"/>
        </w:rPr>
        <w:t>Účinnost odvolání nastane dnem doručení písemného odvolání příkazu příkazníkovi.</w:t>
      </w:r>
    </w:p>
    <w:p w14:paraId="7BDE996C" w14:textId="77777777" w:rsidR="00C42420" w:rsidRPr="00D50AAB" w:rsidRDefault="008335DA" w:rsidP="0065635E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Příkazce je oprávněn od této smlouvy </w:t>
      </w:r>
      <w:r w:rsidR="0065635E" w:rsidRPr="00D50AAB">
        <w:rPr>
          <w:rFonts w:cstheme="minorHAnsi"/>
        </w:rPr>
        <w:t xml:space="preserve">písemně </w:t>
      </w:r>
      <w:r w:rsidRPr="00D50AAB">
        <w:rPr>
          <w:rFonts w:cstheme="minorHAnsi"/>
        </w:rPr>
        <w:t xml:space="preserve">odstoupit, jestliže </w:t>
      </w:r>
      <w:r w:rsidR="0065635E" w:rsidRPr="00D50AAB">
        <w:rPr>
          <w:rFonts w:cstheme="minorHAnsi"/>
        </w:rPr>
        <w:t>příkazník porušuje své povinnosti podle této smlouvy. Odstoupení je účinné dnem doručení příkazníkovi.</w:t>
      </w:r>
    </w:p>
    <w:p w14:paraId="25B0C32A" w14:textId="1E121ECD" w:rsidR="00E27549" w:rsidRPr="00D50AAB" w:rsidRDefault="00E27549" w:rsidP="0065635E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>Smluvní strany se zavazují vzájemně spolupracovat a vzájemně si poskytovat součinnost, tak aby příkazník mohl řádně splnit závazek z této smlouvy</w:t>
      </w:r>
      <w:r w:rsidR="008375ED" w:rsidRPr="00D50AAB">
        <w:rPr>
          <w:rFonts w:cstheme="minorHAnsi"/>
        </w:rPr>
        <w:t xml:space="preserve"> a příkazce mohl realizovat a dokončit </w:t>
      </w:r>
      <w:r w:rsidR="00DF5D35" w:rsidRPr="00D50AAB">
        <w:rPr>
          <w:rFonts w:cstheme="minorHAnsi"/>
        </w:rPr>
        <w:t>stavbu</w:t>
      </w:r>
      <w:r w:rsidR="008375ED" w:rsidRPr="00D50AAB">
        <w:rPr>
          <w:rFonts w:cstheme="minorHAnsi"/>
        </w:rPr>
        <w:t xml:space="preserve"> </w:t>
      </w:r>
      <w:r w:rsidR="008375ED" w:rsidRPr="00D50AAB">
        <w:rPr>
          <w:rFonts w:cstheme="minorHAnsi"/>
          <w:b/>
        </w:rPr>
        <w:t xml:space="preserve">„ </w:t>
      </w:r>
      <w:r w:rsidR="00CD331A" w:rsidRPr="00D50AAB">
        <w:rPr>
          <w:rFonts w:cstheme="minorHAnsi"/>
          <w:b/>
        </w:rPr>
        <w:t xml:space="preserve">NPÚ, GnŘ – </w:t>
      </w:r>
      <w:proofErr w:type="spellStart"/>
      <w:r w:rsidR="00CD331A" w:rsidRPr="00D50AAB">
        <w:rPr>
          <w:rFonts w:cstheme="minorHAnsi"/>
          <w:b/>
        </w:rPr>
        <w:t>Ledebourský</w:t>
      </w:r>
      <w:proofErr w:type="spellEnd"/>
      <w:r w:rsidR="00CD331A" w:rsidRPr="00D50AAB">
        <w:rPr>
          <w:rFonts w:cstheme="minorHAnsi"/>
          <w:b/>
        </w:rPr>
        <w:t xml:space="preserve"> palác — </w:t>
      </w:r>
      <w:r w:rsidR="00794EAA" w:rsidRPr="00D50AAB">
        <w:rPr>
          <w:rFonts w:cstheme="minorHAnsi"/>
          <w:b/>
        </w:rPr>
        <w:t>rekonstrukce I. etapa</w:t>
      </w:r>
      <w:r w:rsidR="008375ED" w:rsidRPr="00D50AAB">
        <w:rPr>
          <w:rFonts w:cstheme="minorHAnsi"/>
          <w:b/>
        </w:rPr>
        <w:t>“</w:t>
      </w:r>
    </w:p>
    <w:p w14:paraId="093BF0B6" w14:textId="77777777" w:rsidR="00332EC3" w:rsidRPr="00D50AAB" w:rsidRDefault="00106359" w:rsidP="0065635E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Pokud </w:t>
      </w:r>
      <w:r w:rsidR="00332EC3" w:rsidRPr="00D50AAB">
        <w:rPr>
          <w:rFonts w:cstheme="minorHAnsi"/>
        </w:rPr>
        <w:t xml:space="preserve">bude obstarávání záležitosti vyžadovat, aby příkazník za příkazce právně jednal, vystaví příkazce příkazníkovi včas plnou moc. </w:t>
      </w:r>
    </w:p>
    <w:p w14:paraId="7877EB91" w14:textId="3C7AB638" w:rsidR="00816B54" w:rsidRPr="00264079" w:rsidRDefault="00816B54" w:rsidP="00816B54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264079">
        <w:rPr>
          <w:rFonts w:eastAsia="Calibri" w:cstheme="minorHAnsi"/>
          <w:lang w:eastAsia="x-none"/>
        </w:rPr>
        <w:t xml:space="preserve">Příkazník se zavazuje mít po dobu plnění této smlouvy sjednáno pojištění odpovědnosti za škodu způsobenou </w:t>
      </w:r>
      <w:r w:rsidRPr="00264079">
        <w:rPr>
          <w:rFonts w:cstheme="minorHAnsi"/>
          <w:spacing w:val="-2"/>
        </w:rPr>
        <w:t>při výkonu své podnikatelské činnosti. Pojištění musí pokrývat veškerou možnou odpovědnost za škodu při výkonu činnost příkazníka</w:t>
      </w:r>
      <w:r w:rsidRPr="00264079">
        <w:rPr>
          <w:rFonts w:eastAsia="Calibri" w:cstheme="minorHAnsi"/>
          <w:lang w:eastAsia="x-none"/>
        </w:rPr>
        <w:t xml:space="preserve">. Příkazník je povinen na požádání příkazce předložit kopii platné pojistné smlouvy, a to nejpozději do 5 dnů ode dne doručení výzvy příkazce. Výše pojistného plnění musí činit minimálně </w:t>
      </w:r>
      <w:r w:rsidR="000A779D" w:rsidRPr="00264079">
        <w:rPr>
          <w:rFonts w:eastAsia="Calibri" w:cstheme="minorHAnsi"/>
          <w:lang w:eastAsia="x-none"/>
        </w:rPr>
        <w:t>5 000 000,-</w:t>
      </w:r>
      <w:r w:rsidRPr="00264079">
        <w:rPr>
          <w:rFonts w:eastAsia="Calibri" w:cstheme="minorHAnsi"/>
          <w:lang w:eastAsia="x-none"/>
        </w:rPr>
        <w:t xml:space="preserve"> korun českých, s max. spoluúčastí </w:t>
      </w:r>
      <w:r w:rsidR="000A779D" w:rsidRPr="00264079">
        <w:rPr>
          <w:rFonts w:eastAsia="Calibri" w:cstheme="minorHAnsi"/>
          <w:lang w:eastAsia="x-none"/>
        </w:rPr>
        <w:t>10</w:t>
      </w:r>
      <w:r w:rsidR="00154153" w:rsidRPr="00264079">
        <w:rPr>
          <w:rFonts w:eastAsia="Calibri" w:cstheme="minorHAnsi"/>
          <w:lang w:eastAsia="x-none"/>
        </w:rPr>
        <w:t xml:space="preserve"> </w:t>
      </w:r>
      <w:r w:rsidRPr="00264079">
        <w:rPr>
          <w:rFonts w:eastAsia="Calibri" w:cstheme="minorHAnsi"/>
          <w:lang w:eastAsia="x-none"/>
        </w:rPr>
        <w:t>%. Příkazník se dále zavazuje udržovat pojistnou smlouvu platnou a účinnou po celou dobu trvání této smlouvy.</w:t>
      </w:r>
    </w:p>
    <w:p w14:paraId="525DEDC8" w14:textId="77777777" w:rsidR="00816B54" w:rsidRPr="00D50AAB" w:rsidRDefault="00816B54" w:rsidP="00E83068">
      <w:pPr>
        <w:pStyle w:val="Odstavecseseznamem"/>
        <w:spacing w:after="0"/>
        <w:ind w:left="502"/>
        <w:jc w:val="both"/>
        <w:rPr>
          <w:rFonts w:cstheme="minorHAnsi"/>
        </w:rPr>
      </w:pPr>
    </w:p>
    <w:p w14:paraId="78E4121E" w14:textId="4FFF715F" w:rsidR="00CB4006" w:rsidRPr="00D50AAB" w:rsidRDefault="00332EC3" w:rsidP="00264079">
      <w:pPr>
        <w:spacing w:after="0"/>
        <w:ind w:left="142"/>
        <w:jc w:val="center"/>
        <w:rPr>
          <w:rFonts w:cstheme="minorHAnsi"/>
          <w:b/>
        </w:rPr>
      </w:pPr>
      <w:r w:rsidRPr="00D50AAB">
        <w:rPr>
          <w:rFonts w:cstheme="minorHAnsi"/>
        </w:rPr>
        <w:t xml:space="preserve"> </w:t>
      </w:r>
      <w:r w:rsidR="00CB4006" w:rsidRPr="00D50AAB">
        <w:rPr>
          <w:rFonts w:cstheme="minorHAnsi"/>
          <w:b/>
        </w:rPr>
        <w:t>V.</w:t>
      </w:r>
    </w:p>
    <w:p w14:paraId="60981144" w14:textId="77777777" w:rsidR="00CB4006" w:rsidRPr="00D50AAB" w:rsidRDefault="00CB4006" w:rsidP="00620A8E">
      <w:pPr>
        <w:spacing w:after="0"/>
        <w:ind w:left="360"/>
        <w:jc w:val="center"/>
        <w:rPr>
          <w:rFonts w:cstheme="minorHAnsi"/>
        </w:rPr>
      </w:pPr>
      <w:r w:rsidRPr="00D50AAB">
        <w:rPr>
          <w:rFonts w:cstheme="minorHAnsi"/>
          <w:b/>
        </w:rPr>
        <w:t>Smluvní pokuty</w:t>
      </w:r>
    </w:p>
    <w:p w14:paraId="2C4CFA5F" w14:textId="77777777" w:rsidR="00DF5D35" w:rsidRPr="00D50AAB" w:rsidRDefault="00DF5D35" w:rsidP="00DC6F11">
      <w:pPr>
        <w:spacing w:after="0"/>
        <w:jc w:val="both"/>
        <w:rPr>
          <w:rFonts w:cstheme="minorHAnsi"/>
        </w:rPr>
      </w:pPr>
    </w:p>
    <w:p w14:paraId="202DDF36" w14:textId="657E6E54" w:rsidR="0065635E" w:rsidRPr="00D50AAB" w:rsidRDefault="00E27549" w:rsidP="00DC6F11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Pokud příkazník poruší některé z povinností </w:t>
      </w:r>
      <w:r w:rsidR="008375ED" w:rsidRPr="00D50AAB">
        <w:rPr>
          <w:rFonts w:cstheme="minorHAnsi"/>
        </w:rPr>
        <w:t xml:space="preserve">uvedených v čl. </w:t>
      </w:r>
      <w:r w:rsidR="00DF5D35" w:rsidRPr="00D50AAB">
        <w:rPr>
          <w:rFonts w:cstheme="minorHAnsi"/>
        </w:rPr>
        <w:t xml:space="preserve">I. odst. 3 nebo čl. </w:t>
      </w:r>
      <w:r w:rsidR="008375ED" w:rsidRPr="00D50AAB">
        <w:rPr>
          <w:rFonts w:cstheme="minorHAnsi"/>
        </w:rPr>
        <w:t>IV.</w:t>
      </w:r>
      <w:r w:rsidR="00DF5D35" w:rsidRPr="00D50AAB">
        <w:rPr>
          <w:rFonts w:cstheme="minorHAnsi"/>
        </w:rPr>
        <w:t xml:space="preserve"> této smlouvy</w:t>
      </w:r>
      <w:r w:rsidR="008375ED" w:rsidRPr="00D50AAB">
        <w:rPr>
          <w:rFonts w:cstheme="minorHAnsi"/>
        </w:rPr>
        <w:t xml:space="preserve"> </w:t>
      </w:r>
      <w:r w:rsidR="00DF5D35" w:rsidRPr="00D50AAB">
        <w:rPr>
          <w:rFonts w:cstheme="minorHAnsi"/>
        </w:rPr>
        <w:t>s</w:t>
      </w:r>
      <w:r w:rsidR="00DC6F11" w:rsidRPr="00D50AAB">
        <w:rPr>
          <w:rFonts w:cstheme="minorHAnsi"/>
        </w:rPr>
        <w:t xml:space="preserve">jednávají si smluvní strany za každé takové porušení smluvní pokutu ve výši </w:t>
      </w:r>
      <w:r w:rsidR="00D11E27" w:rsidRPr="00D50AAB">
        <w:rPr>
          <w:rFonts w:cstheme="minorHAnsi"/>
        </w:rPr>
        <w:t>4</w:t>
      </w:r>
      <w:r w:rsidR="00DC6F11" w:rsidRPr="00D50AAB">
        <w:rPr>
          <w:rFonts w:cstheme="minorHAnsi"/>
        </w:rPr>
        <w:t>.000 Kč</w:t>
      </w:r>
      <w:r w:rsidR="0001161C">
        <w:rPr>
          <w:rFonts w:cstheme="minorHAnsi"/>
        </w:rPr>
        <w:t xml:space="preserve"> za každý případ porušení povinnosti s tím, že smluvní pokutu lze udělit i opakovaně</w:t>
      </w:r>
      <w:r w:rsidR="00DC6F11" w:rsidRPr="00D50AAB">
        <w:rPr>
          <w:rFonts w:cstheme="minorHAnsi"/>
        </w:rPr>
        <w:t>. Smluvní pokuta je splatná ve lhůtě 15 dnů od doručení písemné výzvy příkazce k její úhradě. Povinností zaplatit smluvní pokutu není dotčeno právo</w:t>
      </w:r>
      <w:r w:rsidR="00DF5D35" w:rsidRPr="00D50AAB">
        <w:rPr>
          <w:rFonts w:cstheme="minorHAnsi"/>
        </w:rPr>
        <w:t xml:space="preserve"> příkazce</w:t>
      </w:r>
      <w:r w:rsidR="00DC6F11" w:rsidRPr="00D50AAB">
        <w:rPr>
          <w:rFonts w:cstheme="minorHAnsi"/>
        </w:rPr>
        <w:t xml:space="preserve"> na náhradu škody. </w:t>
      </w:r>
    </w:p>
    <w:p w14:paraId="1AD8E626" w14:textId="77777777" w:rsidR="00D04E9B" w:rsidRPr="00D50AAB" w:rsidRDefault="00D04E9B" w:rsidP="00DC6F11">
      <w:pPr>
        <w:spacing w:after="0"/>
        <w:jc w:val="both"/>
        <w:rPr>
          <w:rFonts w:cstheme="minorHAnsi"/>
        </w:rPr>
      </w:pPr>
    </w:p>
    <w:p w14:paraId="0E01F6E1" w14:textId="77777777" w:rsidR="00DC6F11" w:rsidRPr="00D50AAB" w:rsidRDefault="00620A8E" w:rsidP="00620A8E">
      <w:pPr>
        <w:spacing w:after="0"/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 xml:space="preserve">        </w:t>
      </w:r>
      <w:r w:rsidR="00DC6F11" w:rsidRPr="00D50AAB">
        <w:rPr>
          <w:rFonts w:cstheme="minorHAnsi"/>
          <w:b/>
        </w:rPr>
        <w:t>VI.</w:t>
      </w:r>
    </w:p>
    <w:p w14:paraId="7C68DC9E" w14:textId="77777777" w:rsidR="00DC6F11" w:rsidRPr="00D50AAB" w:rsidRDefault="00620A8E" w:rsidP="00620A8E">
      <w:pPr>
        <w:spacing w:after="0"/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 xml:space="preserve">      </w:t>
      </w:r>
      <w:r w:rsidR="00DC6F11" w:rsidRPr="00D50AAB">
        <w:rPr>
          <w:rFonts w:cstheme="minorHAnsi"/>
          <w:b/>
        </w:rPr>
        <w:t>Závěrečná ustanovení</w:t>
      </w:r>
    </w:p>
    <w:p w14:paraId="5DE49328" w14:textId="77777777" w:rsidR="00DC6F11" w:rsidRPr="00D50AAB" w:rsidRDefault="00DC6F11" w:rsidP="00DC6F11">
      <w:pPr>
        <w:spacing w:after="0"/>
        <w:jc w:val="center"/>
        <w:rPr>
          <w:rFonts w:cstheme="minorHAnsi"/>
        </w:rPr>
      </w:pPr>
    </w:p>
    <w:p w14:paraId="24EE45D1" w14:textId="4D520541" w:rsidR="00DC6F11" w:rsidRPr="00D50AAB" w:rsidRDefault="00DC6F11" w:rsidP="00E83068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>Tato smlouv</w:t>
      </w:r>
      <w:r w:rsidR="00DF5D35" w:rsidRPr="00D50AAB">
        <w:rPr>
          <w:rFonts w:cstheme="minorHAnsi"/>
        </w:rPr>
        <w:t>a</w:t>
      </w:r>
      <w:r w:rsidRPr="00D50AAB">
        <w:rPr>
          <w:rFonts w:cstheme="minorHAnsi"/>
        </w:rPr>
        <w:t xml:space="preserve"> je vyhotovena ve třech stejnopisech, dvě obdrží příkazce a jedno příkazník.</w:t>
      </w:r>
    </w:p>
    <w:p w14:paraId="63F9260F" w14:textId="77777777" w:rsidR="00DC6F11" w:rsidRPr="00D50AAB" w:rsidRDefault="00DC6F11" w:rsidP="00E83068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lastRenderedPageBreak/>
        <w:t xml:space="preserve">Tuto smlouvu je možné měnit nebo doplňovat pouze písemnými, vzestupně číslovanými dodatky, podepsanými oběma smluvními stranami. </w:t>
      </w:r>
    </w:p>
    <w:p w14:paraId="6836040F" w14:textId="5EA0757D" w:rsidR="00D04E9B" w:rsidRPr="00D50AAB" w:rsidRDefault="00D04E9B" w:rsidP="00A23BF0">
      <w:pPr>
        <w:pStyle w:val="Nzev"/>
        <w:numPr>
          <w:ilvl w:val="0"/>
          <w:numId w:val="13"/>
        </w:numPr>
        <w:spacing w:line="276" w:lineRule="auto"/>
        <w:ind w:left="499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50AAB">
        <w:rPr>
          <w:rFonts w:asciiTheme="minorHAnsi" w:hAnsiTheme="minorHAnsi" w:cstheme="minorHAnsi"/>
          <w:b w:val="0"/>
          <w:sz w:val="22"/>
          <w:szCs w:val="22"/>
          <w:lang w:val="x-none"/>
        </w:rPr>
        <w:t xml:space="preserve">Tato </w:t>
      </w:r>
      <w:r w:rsidRPr="00D50AAB">
        <w:rPr>
          <w:rFonts w:asciiTheme="minorHAnsi" w:hAnsiTheme="minorHAnsi" w:cstheme="minorHAnsi"/>
          <w:b w:val="0"/>
          <w:sz w:val="22"/>
          <w:szCs w:val="22"/>
        </w:rPr>
        <w:t>s</w:t>
      </w:r>
      <w:proofErr w:type="spellStart"/>
      <w:r w:rsidRPr="00D50AAB">
        <w:rPr>
          <w:rFonts w:asciiTheme="minorHAnsi" w:hAnsiTheme="minorHAnsi" w:cstheme="minorHAnsi"/>
          <w:b w:val="0"/>
          <w:sz w:val="22"/>
          <w:szCs w:val="22"/>
          <w:lang w:val="x-none"/>
        </w:rPr>
        <w:t>mlouva</w:t>
      </w:r>
      <w:proofErr w:type="spellEnd"/>
      <w:r w:rsidRPr="00D50AAB">
        <w:rPr>
          <w:rFonts w:asciiTheme="minorHAnsi" w:hAnsiTheme="minorHAnsi" w:cstheme="minorHAnsi"/>
          <w:b w:val="0"/>
          <w:sz w:val="22"/>
          <w:szCs w:val="22"/>
          <w:lang w:val="x-none"/>
        </w:rPr>
        <w:t xml:space="preserve">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  <w:r w:rsidRPr="00D50AAB">
        <w:rPr>
          <w:rFonts w:asciiTheme="minorHAnsi" w:hAnsiTheme="minorHAnsi" w:cstheme="minorHAnsi"/>
          <w:b w:val="0"/>
          <w:sz w:val="22"/>
          <w:szCs w:val="22"/>
        </w:rPr>
        <w:t xml:space="preserve"> Tuto smlouvu v registru smluv zveřejní </w:t>
      </w:r>
      <w:r w:rsidR="00DF5D35" w:rsidRPr="00D50AAB">
        <w:rPr>
          <w:rFonts w:asciiTheme="minorHAnsi" w:hAnsiTheme="minorHAnsi" w:cstheme="minorHAnsi"/>
          <w:b w:val="0"/>
          <w:sz w:val="22"/>
          <w:szCs w:val="22"/>
        </w:rPr>
        <w:t>příkazce</w:t>
      </w:r>
      <w:r w:rsidRPr="00D50AA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7B46A1E4" w14:textId="77777777" w:rsidR="00DC6F11" w:rsidRDefault="00DC6F11" w:rsidP="00E83068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Příkazník bere na vědomí, že příkazce je subjektem povinným podle zákona č. 106/1999 Sb., </w:t>
      </w:r>
      <w:r w:rsidR="00D04E9B" w:rsidRPr="00D50AAB">
        <w:rPr>
          <w:rFonts w:cstheme="minorHAnsi"/>
        </w:rPr>
        <w:br/>
      </w:r>
      <w:r w:rsidRPr="00D50AAB">
        <w:rPr>
          <w:rFonts w:cstheme="minorHAnsi"/>
        </w:rPr>
        <w:t>o svobodném přístupu k informacím, ve znění pozdějších předpisů.</w:t>
      </w:r>
    </w:p>
    <w:p w14:paraId="38514916" w14:textId="216DAD15" w:rsidR="00456073" w:rsidRPr="00D50AAB" w:rsidRDefault="00456073" w:rsidP="00E83068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990023">
        <w:rPr>
          <w:rFonts w:cstheme="minorHAnsi"/>
        </w:rPr>
        <w:t>Smluvní strany berou na vědomí, že tato Smlouva může být předmětem zveřejnění i dle jiných právních předpisů.</w:t>
      </w:r>
    </w:p>
    <w:p w14:paraId="5FBD9DFD" w14:textId="77777777" w:rsidR="006F609A" w:rsidRPr="00D50AAB" w:rsidRDefault="006F609A" w:rsidP="00A23BF0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Smluvní strany prohlašují, že se se zněním této smlouvy před jejím podpisem seznámily </w:t>
      </w:r>
      <w:r w:rsidR="00D04E9B" w:rsidRPr="00D50AAB">
        <w:rPr>
          <w:rFonts w:cstheme="minorHAnsi"/>
        </w:rPr>
        <w:br/>
      </w:r>
      <w:r w:rsidRPr="00D50AAB">
        <w:rPr>
          <w:rFonts w:cstheme="minorHAnsi"/>
        </w:rPr>
        <w:t xml:space="preserve">a souhlasí s jejím obsahem, že smlouva je určitá, srozumitelná a vyjadřuje jejich pravou, svobodnou a vážnou vůli. </w:t>
      </w:r>
    </w:p>
    <w:p w14:paraId="0862DDFD" w14:textId="77777777" w:rsidR="00467D15" w:rsidRPr="00D50AAB" w:rsidRDefault="00467D15" w:rsidP="00A23BF0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Informace o ochraně osobních údajů jsou ze strany příkazce uvedeny na webových stránkách </w:t>
      </w:r>
      <w:hyperlink r:id="rId8" w:history="1">
        <w:r w:rsidRPr="00D50AAB">
          <w:rPr>
            <w:rStyle w:val="Hypertextovodkaz"/>
            <w:rFonts w:cstheme="minorHAnsi"/>
          </w:rPr>
          <w:t>www.npu.cz</w:t>
        </w:r>
      </w:hyperlink>
      <w:r w:rsidRPr="00D50AAB">
        <w:rPr>
          <w:rFonts w:cstheme="minorHAnsi"/>
        </w:rPr>
        <w:t xml:space="preserve"> v sekci Ochrana osobních údajů.</w:t>
      </w:r>
    </w:p>
    <w:p w14:paraId="53EAD5AD" w14:textId="77777777" w:rsidR="00332EC3" w:rsidRPr="00D50AAB" w:rsidRDefault="00332EC3" w:rsidP="00332EC3">
      <w:pPr>
        <w:spacing w:after="0"/>
        <w:jc w:val="both"/>
        <w:rPr>
          <w:rFonts w:cstheme="minorHAnsi"/>
        </w:rPr>
      </w:pPr>
    </w:p>
    <w:p w14:paraId="23692E1D" w14:textId="77777777" w:rsidR="006D1B3C" w:rsidRPr="00D50AAB" w:rsidRDefault="006D1B3C" w:rsidP="00332EC3">
      <w:pPr>
        <w:spacing w:after="0"/>
        <w:jc w:val="both"/>
        <w:rPr>
          <w:rFonts w:cstheme="minorHAnsi"/>
        </w:rPr>
      </w:pPr>
    </w:p>
    <w:p w14:paraId="73143279" w14:textId="77777777" w:rsidR="00332EC3" w:rsidRPr="00D50AAB" w:rsidRDefault="00332EC3" w:rsidP="00332EC3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>V</w:t>
      </w:r>
      <w:r w:rsidR="00794EAA" w:rsidRPr="00D50AAB">
        <w:rPr>
          <w:rFonts w:cstheme="minorHAnsi"/>
        </w:rPr>
        <w:t> Praze dne</w:t>
      </w:r>
      <w:r w:rsidRPr="00D50AAB">
        <w:rPr>
          <w:rFonts w:cstheme="minorHAnsi"/>
        </w:rPr>
        <w:t xml:space="preserve">                                  </w:t>
      </w:r>
      <w:r w:rsidR="00794EAA" w:rsidRPr="00D50AAB">
        <w:rPr>
          <w:rFonts w:cstheme="minorHAnsi"/>
        </w:rPr>
        <w:tab/>
      </w:r>
      <w:r w:rsidR="00794EAA" w:rsidRPr="00D50AAB">
        <w:rPr>
          <w:rFonts w:cstheme="minorHAnsi"/>
        </w:rPr>
        <w:tab/>
      </w:r>
      <w:r w:rsidRPr="00D50AAB">
        <w:rPr>
          <w:rFonts w:cstheme="minorHAnsi"/>
        </w:rPr>
        <w:t xml:space="preserve">           </w:t>
      </w:r>
      <w:r w:rsidR="00CC390F" w:rsidRPr="00D50AAB">
        <w:rPr>
          <w:rFonts w:cstheme="minorHAnsi"/>
        </w:rPr>
        <w:t xml:space="preserve"> </w:t>
      </w:r>
      <w:r w:rsidR="00620A8E" w:rsidRPr="00D50AAB">
        <w:rPr>
          <w:rFonts w:cstheme="minorHAnsi"/>
        </w:rPr>
        <w:t xml:space="preserve">    </w:t>
      </w:r>
      <w:r w:rsidR="000C3FB8" w:rsidRPr="00D50AAB">
        <w:rPr>
          <w:rFonts w:cstheme="minorHAnsi"/>
        </w:rPr>
        <w:tab/>
        <w:t xml:space="preserve">           </w:t>
      </w:r>
      <w:r w:rsidRPr="00D50AAB">
        <w:rPr>
          <w:rFonts w:cstheme="minorHAnsi"/>
        </w:rPr>
        <w:t xml:space="preserve"> </w:t>
      </w:r>
      <w:r w:rsidR="00783B50" w:rsidRPr="00D50AAB">
        <w:rPr>
          <w:rFonts w:cstheme="minorHAnsi"/>
        </w:rPr>
        <w:t xml:space="preserve">V </w:t>
      </w:r>
      <w:r w:rsidR="00794EAA" w:rsidRPr="00D50AAB">
        <w:rPr>
          <w:rFonts w:cstheme="minorHAnsi"/>
        </w:rPr>
        <w:t>Praze</w:t>
      </w:r>
      <w:r w:rsidR="00CC390F" w:rsidRPr="00D50AAB">
        <w:rPr>
          <w:rFonts w:cstheme="minorHAnsi"/>
        </w:rPr>
        <w:t xml:space="preserve"> </w:t>
      </w:r>
      <w:r w:rsidRPr="00D50AAB">
        <w:rPr>
          <w:rFonts w:cstheme="minorHAnsi"/>
        </w:rPr>
        <w:t>dne</w:t>
      </w:r>
      <w:r w:rsidR="00CC390F" w:rsidRPr="00D50AAB">
        <w:rPr>
          <w:rFonts w:cstheme="minorHAnsi"/>
        </w:rPr>
        <w:t xml:space="preserve"> </w:t>
      </w:r>
    </w:p>
    <w:p w14:paraId="68E149FC" w14:textId="77777777" w:rsidR="00620A8E" w:rsidRPr="00D50AAB" w:rsidRDefault="00620A8E" w:rsidP="00332EC3">
      <w:pPr>
        <w:spacing w:after="0"/>
        <w:jc w:val="both"/>
        <w:rPr>
          <w:rFonts w:cstheme="minorHAnsi"/>
        </w:rPr>
      </w:pPr>
    </w:p>
    <w:p w14:paraId="25E03678" w14:textId="038FC3A7" w:rsidR="00332EC3" w:rsidRPr="00D50AAB" w:rsidRDefault="00332EC3" w:rsidP="00332EC3">
      <w:pPr>
        <w:spacing w:after="0"/>
        <w:jc w:val="both"/>
        <w:rPr>
          <w:rFonts w:cstheme="minorHAnsi"/>
        </w:rPr>
      </w:pPr>
    </w:p>
    <w:p w14:paraId="3D518E86" w14:textId="7CD56EA3" w:rsidR="00590ADC" w:rsidRPr="00D50AAB" w:rsidRDefault="00590ADC" w:rsidP="00332EC3">
      <w:pPr>
        <w:spacing w:after="0"/>
        <w:jc w:val="both"/>
        <w:rPr>
          <w:rFonts w:cstheme="minorHAnsi"/>
        </w:rPr>
      </w:pPr>
    </w:p>
    <w:p w14:paraId="230259C1" w14:textId="2C3A0261" w:rsidR="00590ADC" w:rsidRPr="00D50AAB" w:rsidRDefault="00590ADC" w:rsidP="00332EC3">
      <w:pPr>
        <w:spacing w:after="0"/>
        <w:jc w:val="both"/>
        <w:rPr>
          <w:rFonts w:cstheme="minorHAnsi"/>
        </w:rPr>
      </w:pPr>
    </w:p>
    <w:p w14:paraId="4879FEBB" w14:textId="0B2E2E51" w:rsidR="00590ADC" w:rsidRPr="00D50AAB" w:rsidRDefault="00590ADC" w:rsidP="00332EC3">
      <w:pPr>
        <w:spacing w:after="0"/>
        <w:jc w:val="both"/>
        <w:rPr>
          <w:rFonts w:cstheme="minorHAnsi"/>
        </w:rPr>
      </w:pPr>
    </w:p>
    <w:p w14:paraId="05B39FDD" w14:textId="77777777" w:rsidR="00590ADC" w:rsidRPr="00D50AAB" w:rsidRDefault="00590ADC" w:rsidP="00332EC3">
      <w:pPr>
        <w:spacing w:after="0"/>
        <w:jc w:val="both"/>
        <w:rPr>
          <w:rFonts w:cstheme="minorHAnsi"/>
        </w:rPr>
      </w:pPr>
    </w:p>
    <w:p w14:paraId="25965EFB" w14:textId="77777777" w:rsidR="00332EC3" w:rsidRPr="00D50AAB" w:rsidRDefault="00332EC3" w:rsidP="00620A8E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>………………………………………………………                                                ………………………………………………………..</w:t>
      </w:r>
    </w:p>
    <w:p w14:paraId="14C67E4E" w14:textId="77777777" w:rsidR="00CC390F" w:rsidRPr="00D50AAB" w:rsidRDefault="00CC390F" w:rsidP="00620A8E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                      </w:t>
      </w:r>
      <w:r w:rsidR="00783B50" w:rsidRPr="00D50AAB">
        <w:rPr>
          <w:rFonts w:cstheme="minorHAnsi"/>
        </w:rPr>
        <w:t xml:space="preserve">     </w:t>
      </w:r>
      <w:r w:rsidR="006109BE" w:rsidRPr="00D50AAB">
        <w:rPr>
          <w:rFonts w:cstheme="minorHAnsi"/>
        </w:rPr>
        <w:t xml:space="preserve"> </w:t>
      </w:r>
      <w:r w:rsidRPr="00D50AAB">
        <w:rPr>
          <w:rFonts w:cstheme="minorHAnsi"/>
        </w:rPr>
        <w:t>Příkazce</w:t>
      </w:r>
      <w:r w:rsidR="00CC4224" w:rsidRPr="00D50AAB">
        <w:rPr>
          <w:rFonts w:cstheme="minorHAnsi"/>
        </w:rPr>
        <w:t xml:space="preserve"> </w:t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  <w:t xml:space="preserve">         </w:t>
      </w:r>
      <w:r w:rsidRPr="00D50AAB">
        <w:rPr>
          <w:rFonts w:cstheme="minorHAnsi"/>
        </w:rPr>
        <w:t xml:space="preserve"> Příkazník</w:t>
      </w:r>
      <w:r w:rsidRPr="00D50AAB">
        <w:rPr>
          <w:rFonts w:cstheme="minorHAnsi"/>
        </w:rPr>
        <w:tab/>
      </w:r>
    </w:p>
    <w:p w14:paraId="1DE835E1" w14:textId="16353315" w:rsidR="00CC390F" w:rsidRPr="00D50AAB" w:rsidRDefault="00CC390F" w:rsidP="00620A8E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         </w:t>
      </w:r>
      <w:r w:rsidR="00794EAA" w:rsidRPr="00D50AAB">
        <w:rPr>
          <w:rFonts w:cstheme="minorHAnsi"/>
        </w:rPr>
        <w:t>Ing. arch</w:t>
      </w:r>
      <w:r w:rsidRPr="00D50AAB">
        <w:rPr>
          <w:rFonts w:cstheme="minorHAnsi"/>
        </w:rPr>
        <w:t>.</w:t>
      </w:r>
      <w:r w:rsidR="00794EAA" w:rsidRPr="00D50AAB">
        <w:rPr>
          <w:rFonts w:cstheme="minorHAnsi"/>
        </w:rPr>
        <w:t xml:space="preserve"> Naděžda Goryczková</w:t>
      </w:r>
      <w:r w:rsidR="00620A8E" w:rsidRPr="00D50AAB">
        <w:rPr>
          <w:rFonts w:cstheme="minorHAnsi"/>
        </w:rPr>
        <w:tab/>
        <w:t xml:space="preserve">  </w:t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="0016420E" w:rsidRPr="00D50AAB">
        <w:rPr>
          <w:rFonts w:cstheme="minorHAnsi"/>
          <w:shd w:val="clear" w:color="auto" w:fill="FFFFFF"/>
        </w:rPr>
        <w:t>Ing. arch. Marta Ševčíková</w:t>
      </w:r>
      <w:r w:rsidR="00590ADC" w:rsidRPr="00D50AAB">
        <w:rPr>
          <w:rFonts w:cstheme="minorHAnsi"/>
          <w:shd w:val="clear" w:color="auto" w:fill="FFFFFF"/>
        </w:rPr>
        <w:t xml:space="preserve">, Michal </w:t>
      </w:r>
      <w:proofErr w:type="spellStart"/>
      <w:r w:rsidR="00590ADC" w:rsidRPr="00D50AAB">
        <w:rPr>
          <w:rFonts w:cstheme="minorHAnsi"/>
          <w:shd w:val="clear" w:color="auto" w:fill="FFFFFF"/>
        </w:rPr>
        <w:t>Volbrecht</w:t>
      </w:r>
      <w:proofErr w:type="spellEnd"/>
    </w:p>
    <w:p w14:paraId="7067AD69" w14:textId="11F57BAE" w:rsidR="008C338D" w:rsidRPr="00D50AAB" w:rsidRDefault="00CC390F" w:rsidP="00620A8E">
      <w:pPr>
        <w:spacing w:after="0"/>
        <w:rPr>
          <w:rFonts w:cstheme="minorHAnsi"/>
        </w:rPr>
      </w:pPr>
      <w:r w:rsidRPr="00D50AAB">
        <w:rPr>
          <w:rFonts w:cstheme="minorHAnsi"/>
        </w:rPr>
        <w:t xml:space="preserve">                 </w:t>
      </w:r>
      <w:r w:rsidR="00794EAA" w:rsidRPr="00D50AAB">
        <w:rPr>
          <w:rFonts w:cstheme="minorHAnsi"/>
        </w:rPr>
        <w:t xml:space="preserve">   generální </w:t>
      </w:r>
      <w:r w:rsidRPr="00D50AAB">
        <w:rPr>
          <w:rFonts w:cstheme="minorHAnsi"/>
        </w:rPr>
        <w:t>ředitel</w:t>
      </w:r>
      <w:r w:rsidR="00794EAA" w:rsidRPr="00D50AAB">
        <w:rPr>
          <w:rFonts w:cstheme="minorHAnsi"/>
        </w:rPr>
        <w:t>ka</w:t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Pr="00D50AAB">
        <w:rPr>
          <w:rFonts w:cstheme="minorHAnsi"/>
        </w:rPr>
        <w:t xml:space="preserve">          </w:t>
      </w:r>
      <w:r w:rsidR="0016420E" w:rsidRPr="00D50AAB">
        <w:rPr>
          <w:rFonts w:cstheme="minorHAnsi"/>
        </w:rPr>
        <w:t xml:space="preserve">     </w:t>
      </w:r>
      <w:r w:rsidRPr="00D50AAB">
        <w:rPr>
          <w:rFonts w:cstheme="minorHAnsi"/>
        </w:rPr>
        <w:t xml:space="preserve"> </w:t>
      </w:r>
      <w:r w:rsidR="00620A8E" w:rsidRPr="00D50AAB">
        <w:rPr>
          <w:rFonts w:cstheme="minorHAnsi"/>
        </w:rPr>
        <w:t>jednatel</w:t>
      </w:r>
      <w:r w:rsidR="00590ADC" w:rsidRPr="00D50AAB">
        <w:rPr>
          <w:rFonts w:cstheme="minorHAnsi"/>
        </w:rPr>
        <w:t>é</w:t>
      </w:r>
      <w:r w:rsidR="00620A8E" w:rsidRPr="00D50AAB">
        <w:rPr>
          <w:rFonts w:cstheme="minorHAnsi"/>
        </w:rPr>
        <w:t xml:space="preserve"> společnosti</w:t>
      </w:r>
    </w:p>
    <w:sectPr w:rsidR="008C338D" w:rsidRPr="00D50AAB" w:rsidSect="00CC4224">
      <w:footerReference w:type="default" r:id="rId9"/>
      <w:pgSz w:w="11906" w:h="16838"/>
      <w:pgMar w:top="211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BC09" w16cex:dateUtc="2020-08-28T15:23:00Z"/>
  <w16cex:commentExtensible w16cex:durableId="22F3BC8B" w16cex:dateUtc="2020-08-28T15:25:00Z"/>
  <w16cex:commentExtensible w16cex:durableId="22F3BCDC" w16cex:dateUtc="2020-08-28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BB02E0" w16cid:durableId="22F3BC09"/>
  <w16cid:commentId w16cid:paraId="52C8E7A6" w16cid:durableId="22F79495"/>
  <w16cid:commentId w16cid:paraId="242F5DE6" w16cid:durableId="22F3BC8B"/>
  <w16cid:commentId w16cid:paraId="00705017" w16cid:durableId="22F3BB8C"/>
  <w16cid:commentId w16cid:paraId="43569111" w16cid:durableId="22F3BCDC"/>
  <w16cid:commentId w16cid:paraId="1DA38541" w16cid:durableId="22F794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D10E4" w14:textId="77777777" w:rsidR="00126DCC" w:rsidRDefault="00126DCC" w:rsidP="008C338D">
      <w:pPr>
        <w:spacing w:after="0" w:line="240" w:lineRule="auto"/>
      </w:pPr>
      <w:r>
        <w:separator/>
      </w:r>
    </w:p>
  </w:endnote>
  <w:endnote w:type="continuationSeparator" w:id="0">
    <w:p w14:paraId="4ABE24DE" w14:textId="77777777" w:rsidR="00126DCC" w:rsidRDefault="00126DCC" w:rsidP="008C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437143"/>
      <w:docPartObj>
        <w:docPartGallery w:val="Page Numbers (Bottom of Page)"/>
        <w:docPartUnique/>
      </w:docPartObj>
    </w:sdtPr>
    <w:sdtEndPr/>
    <w:sdtContent>
      <w:p w14:paraId="5CA05498" w14:textId="77777777" w:rsidR="008C338D" w:rsidRDefault="008C33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D93">
          <w:rPr>
            <w:noProof/>
          </w:rPr>
          <w:t>2</w:t>
        </w:r>
        <w:r>
          <w:fldChar w:fldCharType="end"/>
        </w:r>
      </w:p>
    </w:sdtContent>
  </w:sdt>
  <w:p w14:paraId="0DDA45A8" w14:textId="77777777" w:rsidR="008C338D" w:rsidRDefault="008C33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7037E" w14:textId="77777777" w:rsidR="00126DCC" w:rsidRDefault="00126DCC" w:rsidP="008C338D">
      <w:pPr>
        <w:spacing w:after="0" w:line="240" w:lineRule="auto"/>
      </w:pPr>
      <w:r>
        <w:separator/>
      </w:r>
    </w:p>
  </w:footnote>
  <w:footnote w:type="continuationSeparator" w:id="0">
    <w:p w14:paraId="307B985D" w14:textId="77777777" w:rsidR="00126DCC" w:rsidRDefault="00126DCC" w:rsidP="008C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53F1"/>
    <w:multiLevelType w:val="hybridMultilevel"/>
    <w:tmpl w:val="A57E86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46B95"/>
    <w:multiLevelType w:val="hybridMultilevel"/>
    <w:tmpl w:val="3B22F72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8E2872"/>
    <w:multiLevelType w:val="hybridMultilevel"/>
    <w:tmpl w:val="65C82300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68D4A5A"/>
    <w:multiLevelType w:val="hybridMultilevel"/>
    <w:tmpl w:val="5576DF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36E48"/>
    <w:multiLevelType w:val="hybridMultilevel"/>
    <w:tmpl w:val="026EA75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6172EA"/>
    <w:multiLevelType w:val="hybridMultilevel"/>
    <w:tmpl w:val="B8004C84"/>
    <w:lvl w:ilvl="0" w:tplc="37D8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63FDF"/>
    <w:multiLevelType w:val="hybridMultilevel"/>
    <w:tmpl w:val="554C9636"/>
    <w:lvl w:ilvl="0" w:tplc="D85CF0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B66E4"/>
    <w:multiLevelType w:val="hybridMultilevel"/>
    <w:tmpl w:val="38846766"/>
    <w:lvl w:ilvl="0" w:tplc="3C0CE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1DA8"/>
    <w:multiLevelType w:val="hybridMultilevel"/>
    <w:tmpl w:val="A8B81624"/>
    <w:lvl w:ilvl="0" w:tplc="0F7A0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27C04AF"/>
    <w:multiLevelType w:val="hybridMultilevel"/>
    <w:tmpl w:val="2340B76C"/>
    <w:lvl w:ilvl="0" w:tplc="B5D4FF9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36C023C"/>
    <w:multiLevelType w:val="hybridMultilevel"/>
    <w:tmpl w:val="8BEE8E16"/>
    <w:lvl w:ilvl="0" w:tplc="5184A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7126C7"/>
    <w:multiLevelType w:val="hybridMultilevel"/>
    <w:tmpl w:val="B5063D22"/>
    <w:lvl w:ilvl="0" w:tplc="18CA4D02">
      <w:start w:val="3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A00D14"/>
    <w:multiLevelType w:val="multilevel"/>
    <w:tmpl w:val="64DA940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Symbol" w:hint="default"/>
        <w:b/>
        <w:bCs/>
        <w:sz w:val="18"/>
        <w:szCs w:val="18"/>
      </w:rPr>
    </w:lvl>
    <w:lvl w:ilvl="1">
      <w:start w:val="2"/>
      <w:numFmt w:val="decimal"/>
      <w:lvlText w:val="8.%2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Symbo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Symbo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Symbo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Symbo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Symbo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Symbo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Symbol" w:hint="default"/>
        <w:b/>
        <w:bCs/>
        <w:sz w:val="18"/>
        <w:szCs w:val="18"/>
      </w:rPr>
    </w:lvl>
  </w:abstractNum>
  <w:abstractNum w:abstractNumId="14">
    <w:nsid w:val="43EE4649"/>
    <w:multiLevelType w:val="hybridMultilevel"/>
    <w:tmpl w:val="313C180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>
    <w:nsid w:val="50867C0A"/>
    <w:multiLevelType w:val="hybridMultilevel"/>
    <w:tmpl w:val="AAF62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E18A5"/>
    <w:multiLevelType w:val="hybridMultilevel"/>
    <w:tmpl w:val="65C82300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6D56228"/>
    <w:multiLevelType w:val="hybridMultilevel"/>
    <w:tmpl w:val="BE1CC836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2824188"/>
    <w:multiLevelType w:val="hybridMultilevel"/>
    <w:tmpl w:val="65C82300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771114AC"/>
    <w:multiLevelType w:val="hybridMultilevel"/>
    <w:tmpl w:val="83FCED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4"/>
  </w:num>
  <w:num w:numId="5">
    <w:abstractNumId w:val="20"/>
  </w:num>
  <w:num w:numId="6">
    <w:abstractNumId w:val="1"/>
  </w:num>
  <w:num w:numId="7">
    <w:abstractNumId w:val="0"/>
  </w:num>
  <w:num w:numId="8">
    <w:abstractNumId w:val="4"/>
  </w:num>
  <w:num w:numId="9">
    <w:abstractNumId w:val="18"/>
  </w:num>
  <w:num w:numId="10">
    <w:abstractNumId w:val="11"/>
  </w:num>
  <w:num w:numId="11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6"/>
  </w:num>
  <w:num w:numId="18">
    <w:abstractNumId w:val="5"/>
  </w:num>
  <w:num w:numId="19">
    <w:abstractNumId w:val="17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C2"/>
    <w:rsid w:val="0001161C"/>
    <w:rsid w:val="000317A3"/>
    <w:rsid w:val="00057F3D"/>
    <w:rsid w:val="0007438D"/>
    <w:rsid w:val="000A45D9"/>
    <w:rsid w:val="000A779D"/>
    <w:rsid w:val="000C3FB8"/>
    <w:rsid w:val="000F0CC1"/>
    <w:rsid w:val="000F35DD"/>
    <w:rsid w:val="00106359"/>
    <w:rsid w:val="00126DCC"/>
    <w:rsid w:val="00154153"/>
    <w:rsid w:val="0016420E"/>
    <w:rsid w:val="001761E9"/>
    <w:rsid w:val="0018258D"/>
    <w:rsid w:val="001A6D46"/>
    <w:rsid w:val="001D6499"/>
    <w:rsid w:val="00212847"/>
    <w:rsid w:val="002157D6"/>
    <w:rsid w:val="00264079"/>
    <w:rsid w:val="002A1CE5"/>
    <w:rsid w:val="00311D26"/>
    <w:rsid w:val="00332EC3"/>
    <w:rsid w:val="003B206A"/>
    <w:rsid w:val="003C2044"/>
    <w:rsid w:val="003D7057"/>
    <w:rsid w:val="00453E40"/>
    <w:rsid w:val="00454A87"/>
    <w:rsid w:val="00456073"/>
    <w:rsid w:val="00467D15"/>
    <w:rsid w:val="00471427"/>
    <w:rsid w:val="00477CC2"/>
    <w:rsid w:val="004E4F2C"/>
    <w:rsid w:val="004F3002"/>
    <w:rsid w:val="004F605B"/>
    <w:rsid w:val="00560A83"/>
    <w:rsid w:val="00566F79"/>
    <w:rsid w:val="00590ADC"/>
    <w:rsid w:val="0060005F"/>
    <w:rsid w:val="006109BE"/>
    <w:rsid w:val="00620A8E"/>
    <w:rsid w:val="006539A9"/>
    <w:rsid w:val="0065635E"/>
    <w:rsid w:val="00686FCD"/>
    <w:rsid w:val="006B7198"/>
    <w:rsid w:val="006C1F2C"/>
    <w:rsid w:val="006C5A0C"/>
    <w:rsid w:val="006D1B3C"/>
    <w:rsid w:val="006D1D93"/>
    <w:rsid w:val="006F609A"/>
    <w:rsid w:val="00707124"/>
    <w:rsid w:val="00732ABA"/>
    <w:rsid w:val="00734AC1"/>
    <w:rsid w:val="0075546B"/>
    <w:rsid w:val="00783B50"/>
    <w:rsid w:val="00786558"/>
    <w:rsid w:val="00794EAA"/>
    <w:rsid w:val="007F32B0"/>
    <w:rsid w:val="00816B54"/>
    <w:rsid w:val="008335DA"/>
    <w:rsid w:val="008375ED"/>
    <w:rsid w:val="00860DC7"/>
    <w:rsid w:val="00876A42"/>
    <w:rsid w:val="00881699"/>
    <w:rsid w:val="008964B9"/>
    <w:rsid w:val="008C338D"/>
    <w:rsid w:val="008F0308"/>
    <w:rsid w:val="00983B7C"/>
    <w:rsid w:val="009A79B0"/>
    <w:rsid w:val="009D24F8"/>
    <w:rsid w:val="009E4125"/>
    <w:rsid w:val="00A23BF0"/>
    <w:rsid w:val="00A758D9"/>
    <w:rsid w:val="00A81300"/>
    <w:rsid w:val="00AF5A66"/>
    <w:rsid w:val="00B278BC"/>
    <w:rsid w:val="00BA54BB"/>
    <w:rsid w:val="00BB4A53"/>
    <w:rsid w:val="00BC7233"/>
    <w:rsid w:val="00BD5145"/>
    <w:rsid w:val="00BD65E6"/>
    <w:rsid w:val="00C163FA"/>
    <w:rsid w:val="00C42420"/>
    <w:rsid w:val="00C51C9C"/>
    <w:rsid w:val="00C619AC"/>
    <w:rsid w:val="00C6201D"/>
    <w:rsid w:val="00C862AD"/>
    <w:rsid w:val="00CA567E"/>
    <w:rsid w:val="00CB4006"/>
    <w:rsid w:val="00CC390F"/>
    <w:rsid w:val="00CC4224"/>
    <w:rsid w:val="00CD331A"/>
    <w:rsid w:val="00D04E9B"/>
    <w:rsid w:val="00D11E27"/>
    <w:rsid w:val="00D11EE2"/>
    <w:rsid w:val="00D1776E"/>
    <w:rsid w:val="00D43164"/>
    <w:rsid w:val="00D50AAB"/>
    <w:rsid w:val="00D95AE8"/>
    <w:rsid w:val="00DC31A5"/>
    <w:rsid w:val="00DC6F11"/>
    <w:rsid w:val="00DC7A30"/>
    <w:rsid w:val="00DF5D35"/>
    <w:rsid w:val="00E16D0B"/>
    <w:rsid w:val="00E17D4D"/>
    <w:rsid w:val="00E20926"/>
    <w:rsid w:val="00E27549"/>
    <w:rsid w:val="00E33B43"/>
    <w:rsid w:val="00E40FD5"/>
    <w:rsid w:val="00E6149D"/>
    <w:rsid w:val="00E82352"/>
    <w:rsid w:val="00E83068"/>
    <w:rsid w:val="00E838B8"/>
    <w:rsid w:val="00E9365F"/>
    <w:rsid w:val="00ED1B34"/>
    <w:rsid w:val="00ED74AD"/>
    <w:rsid w:val="00EE2313"/>
    <w:rsid w:val="00EF182A"/>
    <w:rsid w:val="00F22381"/>
    <w:rsid w:val="00F60A85"/>
    <w:rsid w:val="00F6114B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4888"/>
  <w15:docId w15:val="{7BED9EDA-6EF2-4229-B1F0-2D2A2C3E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77CC2"/>
    <w:rPr>
      <w:b/>
      <w:bCs/>
    </w:rPr>
  </w:style>
  <w:style w:type="paragraph" w:styleId="Odstavecseseznamem">
    <w:name w:val="List Paragraph"/>
    <w:basedOn w:val="Normln"/>
    <w:uiPriority w:val="34"/>
    <w:qFormat/>
    <w:rsid w:val="00477C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38D"/>
  </w:style>
  <w:style w:type="paragraph" w:styleId="Zpat">
    <w:name w:val="footer"/>
    <w:basedOn w:val="Normln"/>
    <w:link w:val="ZpatChar"/>
    <w:uiPriority w:val="99"/>
    <w:unhideWhenUsed/>
    <w:rsid w:val="008C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38D"/>
  </w:style>
  <w:style w:type="paragraph" w:styleId="Normlnweb">
    <w:name w:val="Normal (Web)"/>
    <w:basedOn w:val="Normln"/>
    <w:uiPriority w:val="99"/>
    <w:semiHidden/>
    <w:unhideWhenUsed/>
    <w:rsid w:val="001A6D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A6D4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A6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ev">
    <w:name w:val="Title"/>
    <w:basedOn w:val="Normln"/>
    <w:next w:val="Podtitul"/>
    <w:link w:val="NzevChar"/>
    <w:uiPriority w:val="99"/>
    <w:qFormat/>
    <w:rsid w:val="00BD514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rsid w:val="00BD514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51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D51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E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2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F5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5D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5D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5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5D3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7D15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A5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01B3-5569-4B0A-8217-6E3408FE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1751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Starmannova</dc:creator>
  <cp:lastModifiedBy>Janouchová Miroslava</cp:lastModifiedBy>
  <cp:revision>22</cp:revision>
  <dcterms:created xsi:type="dcterms:W3CDTF">2020-09-16T09:49:00Z</dcterms:created>
  <dcterms:modified xsi:type="dcterms:W3CDTF">2020-10-22T13:10:00Z</dcterms:modified>
</cp:coreProperties>
</file>