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ezmezer"/>
        <w:jc w:val="right"/>
        <w:rPr>
          <w:rFonts w:cs="Arial"/>
          <w:caps/>
          <w:szCs w:val="22"/>
        </w:rPr>
      </w:pPr>
      <w:proofErr w:type="gramStart"/>
      <w:r>
        <w:rPr>
          <w:rFonts w:cs="Arial"/>
        </w:rPr>
        <w:t>č.j.</w:t>
      </w:r>
      <w:proofErr w:type="gramEnd"/>
      <w:r>
        <w:rPr>
          <w:rFonts w:cs="Arial"/>
          <w:caps/>
          <w:szCs w:val="22"/>
        </w:rPr>
        <w:t xml:space="preserve"> 7288/SFDI/310126/16256/2020</w:t>
      </w:r>
    </w:p>
    <w:p>
      <w:pPr>
        <w:jc w:val="right"/>
        <w:rPr>
          <w:rFonts w:cs="Arial"/>
          <w:caps/>
          <w:sz w:val="22"/>
        </w:rPr>
      </w:pPr>
      <w:r>
        <w:rPr>
          <w:rFonts w:cs="Arial"/>
          <w:caps/>
          <w:sz w:val="22"/>
        </w:rPr>
        <w:t>CES SFDI 32/2020</w:t>
      </w:r>
    </w:p>
    <w:p>
      <w:pPr>
        <w:pStyle w:val="Nzevsml"/>
        <w:rPr>
          <w:rFonts w:ascii="Arial" w:hAnsi="Arial" w:cs="Arial"/>
          <w:b/>
          <w:color w:val="auto"/>
          <w:sz w:val="32"/>
          <w:szCs w:val="40"/>
        </w:rPr>
      </w:pPr>
      <w:r>
        <w:rPr>
          <w:rFonts w:ascii="Arial" w:hAnsi="Arial" w:cs="Arial"/>
          <w:b/>
          <w:color w:val="auto"/>
          <w:sz w:val="32"/>
          <w:szCs w:val="40"/>
        </w:rPr>
        <w:t>SMLOUVA O DÍLO</w:t>
      </w:r>
    </w:p>
    <w:p>
      <w:pPr>
        <w:pStyle w:val="Nzevsmlpedmt"/>
        <w:rPr>
          <w:sz w:val="32"/>
          <w:szCs w:val="32"/>
        </w:rPr>
      </w:pPr>
      <w:r>
        <w:rPr>
          <w:rFonts w:ascii="Arial" w:hAnsi="Arial" w:cs="Arial"/>
          <w:b/>
          <w:sz w:val="32"/>
          <w:szCs w:val="32"/>
        </w:rPr>
        <w:t>Propagační předměty 2020</w:t>
      </w:r>
    </w:p>
    <w:p>
      <w:pPr>
        <w:pStyle w:val="Typsml"/>
        <w:rPr>
          <w:szCs w:val="20"/>
        </w:rPr>
      </w:pPr>
      <w:r>
        <w:rPr>
          <w:sz w:val="22"/>
          <w:szCs w:val="20"/>
        </w:rPr>
        <w:t>uzavřená podle § 2586 a násl. OZ mezi Stranami, kterými jsou:</w:t>
      </w:r>
    </w:p>
    <w:tbl>
      <w:tblPr>
        <w:tblW w:w="9071" w:type="dxa"/>
        <w:tblCellMar>
          <w:top w:w="57" w:type="dxa"/>
          <w:left w:w="0" w:type="dxa"/>
          <w:bottom w:w="57" w:type="dxa"/>
          <w:right w:w="0" w:type="dxa"/>
        </w:tblCellMar>
        <w:tblLook w:val="04A0" w:firstRow="1" w:lastRow="0" w:firstColumn="1" w:lastColumn="0" w:noHBand="0" w:noVBand="1"/>
      </w:tblPr>
      <w:tblGrid>
        <w:gridCol w:w="2835"/>
        <w:gridCol w:w="6236"/>
      </w:tblGrid>
      <w:tr>
        <w:trPr>
          <w:trHeight w:val="20"/>
        </w:trPr>
        <w:tc>
          <w:tcPr>
            <w:tcW w:w="2835" w:type="dxa"/>
          </w:tcPr>
          <w:p>
            <w:pPr>
              <w:pStyle w:val="Strana"/>
              <w:rPr>
                <w:rFonts w:ascii="Arial" w:hAnsi="Arial" w:cs="Arial"/>
                <w:b/>
                <w:sz w:val="24"/>
              </w:rPr>
            </w:pPr>
            <w:r>
              <w:rPr>
                <w:rFonts w:ascii="Arial" w:hAnsi="Arial" w:cs="Arial"/>
                <w:b/>
                <w:sz w:val="24"/>
              </w:rPr>
              <w:t>OBJEDNATEL:</w:t>
            </w:r>
          </w:p>
        </w:tc>
        <w:tc>
          <w:tcPr>
            <w:tcW w:w="6236" w:type="dxa"/>
          </w:tcPr>
          <w:p>
            <w:pPr>
              <w:pStyle w:val="Strana"/>
              <w:rPr>
                <w:rFonts w:ascii="Arial" w:hAnsi="Arial" w:cs="Arial"/>
                <w:b/>
                <w:sz w:val="24"/>
              </w:rPr>
            </w:pPr>
            <w:r>
              <w:rPr>
                <w:rFonts w:ascii="Arial" w:hAnsi="Arial" w:cs="Arial"/>
                <w:b/>
                <w:sz w:val="24"/>
              </w:rPr>
              <w:t>Státní fond dopravní infrastruktury</w:t>
            </w:r>
          </w:p>
        </w:tc>
      </w:tr>
      <w:tr>
        <w:trPr>
          <w:trHeight w:val="20"/>
        </w:trPr>
        <w:tc>
          <w:tcPr>
            <w:tcW w:w="2835" w:type="dxa"/>
          </w:tcPr>
          <w:p>
            <w:pPr>
              <w:pStyle w:val="Tab"/>
              <w:spacing w:line="240" w:lineRule="auto"/>
              <w:rPr>
                <w:sz w:val="22"/>
              </w:rPr>
            </w:pPr>
            <w:r>
              <w:rPr>
                <w:sz w:val="22"/>
              </w:rPr>
              <w:t>Sídlo:</w:t>
            </w:r>
          </w:p>
        </w:tc>
        <w:tc>
          <w:tcPr>
            <w:tcW w:w="6236" w:type="dxa"/>
          </w:tcPr>
          <w:p>
            <w:pPr>
              <w:pStyle w:val="Tab"/>
              <w:spacing w:line="240" w:lineRule="auto"/>
              <w:rPr>
                <w:sz w:val="22"/>
              </w:rPr>
            </w:pPr>
            <w:r>
              <w:rPr>
                <w:sz w:val="22"/>
              </w:rPr>
              <w:t>Sokolovská 1955/278, 190 00 Praha 9</w:t>
            </w:r>
          </w:p>
        </w:tc>
      </w:tr>
      <w:tr>
        <w:trPr>
          <w:trHeight w:val="20"/>
        </w:trPr>
        <w:tc>
          <w:tcPr>
            <w:tcW w:w="2835" w:type="dxa"/>
          </w:tcPr>
          <w:p>
            <w:pPr>
              <w:pStyle w:val="Tab"/>
              <w:spacing w:line="240" w:lineRule="auto"/>
              <w:rPr>
                <w:sz w:val="22"/>
              </w:rPr>
            </w:pPr>
            <w:r>
              <w:rPr>
                <w:sz w:val="22"/>
              </w:rPr>
              <w:t>IČO:</w:t>
            </w:r>
          </w:p>
        </w:tc>
        <w:tc>
          <w:tcPr>
            <w:tcW w:w="6236" w:type="dxa"/>
          </w:tcPr>
          <w:p>
            <w:pPr>
              <w:pStyle w:val="Tab"/>
              <w:spacing w:line="240" w:lineRule="auto"/>
              <w:rPr>
                <w:sz w:val="22"/>
              </w:rPr>
            </w:pPr>
            <w:r>
              <w:rPr>
                <w:sz w:val="22"/>
              </w:rPr>
              <w:t>70856508</w:t>
            </w:r>
          </w:p>
        </w:tc>
      </w:tr>
      <w:tr>
        <w:trPr>
          <w:trHeight w:val="20"/>
        </w:trPr>
        <w:tc>
          <w:tcPr>
            <w:tcW w:w="2835" w:type="dxa"/>
          </w:tcPr>
          <w:p>
            <w:pPr>
              <w:pStyle w:val="Tab"/>
              <w:spacing w:line="240" w:lineRule="auto"/>
              <w:rPr>
                <w:sz w:val="22"/>
              </w:rPr>
            </w:pPr>
            <w:r>
              <w:rPr>
                <w:sz w:val="22"/>
              </w:rPr>
              <w:t>DIČ:</w:t>
            </w:r>
          </w:p>
        </w:tc>
        <w:tc>
          <w:tcPr>
            <w:tcW w:w="6236" w:type="dxa"/>
          </w:tcPr>
          <w:p>
            <w:pPr>
              <w:pStyle w:val="Tab"/>
              <w:spacing w:line="240" w:lineRule="auto"/>
              <w:rPr>
                <w:sz w:val="22"/>
              </w:rPr>
            </w:pPr>
            <w:r>
              <w:rPr>
                <w:sz w:val="22"/>
              </w:rPr>
              <w:t>CZ70856508</w:t>
            </w:r>
          </w:p>
        </w:tc>
      </w:tr>
      <w:tr>
        <w:trPr>
          <w:trHeight w:val="20"/>
        </w:trPr>
        <w:tc>
          <w:tcPr>
            <w:tcW w:w="2835" w:type="dxa"/>
          </w:tcPr>
          <w:p>
            <w:pPr>
              <w:pStyle w:val="Tab"/>
              <w:spacing w:line="240" w:lineRule="auto"/>
              <w:rPr>
                <w:sz w:val="22"/>
              </w:rPr>
            </w:pPr>
            <w:r>
              <w:rPr>
                <w:sz w:val="22"/>
              </w:rPr>
              <w:t>Osoba oprávněná k podpisu Smlouvy</w:t>
            </w:r>
          </w:p>
        </w:tc>
        <w:tc>
          <w:tcPr>
            <w:tcW w:w="6236" w:type="dxa"/>
          </w:tcPr>
          <w:p>
            <w:pPr>
              <w:pStyle w:val="Tab"/>
              <w:spacing w:line="240" w:lineRule="auto"/>
              <w:rPr>
                <w:sz w:val="22"/>
              </w:rPr>
            </w:pPr>
          </w:p>
          <w:p>
            <w:pPr>
              <w:pStyle w:val="Tab"/>
              <w:spacing w:line="240" w:lineRule="auto"/>
              <w:rPr>
                <w:sz w:val="22"/>
              </w:rPr>
            </w:pPr>
            <w:r>
              <w:rPr>
                <w:sz w:val="22"/>
              </w:rPr>
              <w:t>Ing. Zbyněk Hořelica, ředitel</w:t>
            </w:r>
          </w:p>
        </w:tc>
      </w:tr>
      <w:tr>
        <w:trPr>
          <w:trHeight w:val="20"/>
        </w:trPr>
        <w:tc>
          <w:tcPr>
            <w:tcW w:w="2835" w:type="dxa"/>
          </w:tcPr>
          <w:p>
            <w:pPr>
              <w:pStyle w:val="Tab"/>
              <w:spacing w:line="240" w:lineRule="auto"/>
              <w:rPr>
                <w:sz w:val="22"/>
              </w:rPr>
            </w:pPr>
            <w:r>
              <w:rPr>
                <w:sz w:val="22"/>
              </w:rPr>
              <w:t>Bankovní spojení:</w:t>
            </w:r>
          </w:p>
        </w:tc>
        <w:tc>
          <w:tcPr>
            <w:tcW w:w="6236" w:type="dxa"/>
          </w:tcPr>
          <w:p>
            <w:pPr>
              <w:pStyle w:val="Tab"/>
              <w:spacing w:line="240" w:lineRule="auto"/>
              <w:rPr>
                <w:sz w:val="22"/>
              </w:rPr>
            </w:pPr>
            <w:proofErr w:type="spellStart"/>
            <w:r>
              <w:rPr>
                <w:sz w:val="22"/>
              </w:rPr>
              <w:t>xxx</w:t>
            </w:r>
            <w:proofErr w:type="spellEnd"/>
          </w:p>
        </w:tc>
      </w:tr>
      <w:tr>
        <w:trPr>
          <w:trHeight w:val="20"/>
        </w:trPr>
        <w:tc>
          <w:tcPr>
            <w:tcW w:w="2835" w:type="dxa"/>
          </w:tcPr>
          <w:p>
            <w:pPr>
              <w:pStyle w:val="Tab"/>
              <w:spacing w:line="240" w:lineRule="auto"/>
              <w:rPr>
                <w:sz w:val="22"/>
              </w:rPr>
            </w:pPr>
            <w:r>
              <w:rPr>
                <w:sz w:val="22"/>
              </w:rPr>
              <w:t>Číslo účtu:</w:t>
            </w:r>
          </w:p>
        </w:tc>
        <w:tc>
          <w:tcPr>
            <w:tcW w:w="6236" w:type="dxa"/>
          </w:tcPr>
          <w:p>
            <w:pPr>
              <w:pStyle w:val="Tab"/>
              <w:spacing w:line="240" w:lineRule="auto"/>
              <w:rPr>
                <w:sz w:val="22"/>
              </w:rPr>
            </w:pPr>
            <w:proofErr w:type="spellStart"/>
            <w:r>
              <w:rPr>
                <w:sz w:val="22"/>
              </w:rPr>
              <w:t>xxx</w:t>
            </w:r>
            <w:proofErr w:type="spellEnd"/>
          </w:p>
        </w:tc>
      </w:tr>
      <w:tr>
        <w:trPr>
          <w:trHeight w:val="20"/>
        </w:trPr>
        <w:tc>
          <w:tcPr>
            <w:tcW w:w="2835" w:type="dxa"/>
          </w:tcPr>
          <w:p>
            <w:pPr>
              <w:pStyle w:val="Tab"/>
              <w:spacing w:line="240" w:lineRule="auto"/>
              <w:rPr>
                <w:sz w:val="22"/>
              </w:rPr>
            </w:pPr>
            <w:r>
              <w:rPr>
                <w:sz w:val="22"/>
              </w:rPr>
              <w:t>Kontaktní osoby:</w:t>
            </w:r>
          </w:p>
          <w:p>
            <w:pPr>
              <w:pStyle w:val="Tab"/>
              <w:spacing w:line="240" w:lineRule="auto"/>
              <w:rPr>
                <w:sz w:val="22"/>
              </w:rPr>
            </w:pPr>
          </w:p>
          <w:p>
            <w:pPr>
              <w:pStyle w:val="Tab"/>
              <w:spacing w:line="240" w:lineRule="auto"/>
              <w:rPr>
                <w:sz w:val="22"/>
              </w:rPr>
            </w:pPr>
          </w:p>
          <w:p>
            <w:pPr>
              <w:pStyle w:val="Tab"/>
              <w:spacing w:line="240" w:lineRule="auto"/>
              <w:rPr>
                <w:sz w:val="22"/>
              </w:rPr>
            </w:pPr>
          </w:p>
          <w:p>
            <w:pPr>
              <w:pStyle w:val="Tab"/>
              <w:spacing w:line="240" w:lineRule="auto"/>
              <w:rPr>
                <w:sz w:val="22"/>
              </w:rPr>
            </w:pPr>
          </w:p>
          <w:p>
            <w:pPr>
              <w:pStyle w:val="Tab"/>
              <w:rPr>
                <w:sz w:val="22"/>
              </w:rPr>
            </w:pPr>
            <w:r>
              <w:rPr>
                <w:sz w:val="22"/>
              </w:rPr>
              <w:t>a</w:t>
            </w:r>
          </w:p>
          <w:p>
            <w:pPr>
              <w:pStyle w:val="Tab"/>
              <w:spacing w:line="240" w:lineRule="auto"/>
            </w:pPr>
          </w:p>
        </w:tc>
        <w:tc>
          <w:tcPr>
            <w:tcW w:w="6236" w:type="dxa"/>
          </w:tcPr>
          <w:p>
            <w:pPr>
              <w:pStyle w:val="Tab"/>
              <w:spacing w:line="240" w:lineRule="auto"/>
              <w:rPr>
                <w:sz w:val="22"/>
              </w:rPr>
            </w:pPr>
            <w:r>
              <w:rPr>
                <w:sz w:val="22"/>
              </w:rPr>
              <w:t xml:space="preserve">Ing. Petra Grabmüllerová: tel. +420 097 234 </w:t>
            </w:r>
          </w:p>
          <w:p>
            <w:pPr>
              <w:pStyle w:val="Tab"/>
              <w:spacing w:line="240" w:lineRule="auto"/>
              <w:rPr>
                <w:rFonts w:eastAsia="Calibri" w:cs="Arial"/>
                <w:sz w:val="22"/>
              </w:rPr>
            </w:pPr>
            <w:r>
              <w:rPr>
                <w:sz w:val="22"/>
              </w:rPr>
              <w:t xml:space="preserve">e-mail: </w:t>
            </w:r>
            <w:hyperlink r:id="rId9" w:history="1">
              <w:r>
                <w:rPr>
                  <w:rStyle w:val="Hypertextovodkaz"/>
                  <w:rFonts w:eastAsia="Calibri" w:cs="Arial"/>
                  <w:sz w:val="22"/>
                </w:rPr>
                <w:t>petra.grabmullerova@sfdi.cz</w:t>
              </w:r>
            </w:hyperlink>
          </w:p>
          <w:p>
            <w:pPr>
              <w:pStyle w:val="Tab"/>
              <w:spacing w:before="120" w:line="240" w:lineRule="auto"/>
              <w:rPr>
                <w:sz w:val="22"/>
              </w:rPr>
            </w:pPr>
            <w:r>
              <w:rPr>
                <w:sz w:val="22"/>
              </w:rPr>
              <w:t>Ing. Blanka Petrovská, tel. +420 266 097 561</w:t>
            </w:r>
          </w:p>
          <w:p>
            <w:pPr>
              <w:pStyle w:val="Tab"/>
              <w:spacing w:line="240" w:lineRule="auto"/>
              <w:rPr>
                <w:sz w:val="22"/>
              </w:rPr>
            </w:pPr>
            <w:r>
              <w:rPr>
                <w:sz w:val="22"/>
              </w:rPr>
              <w:t xml:space="preserve">e-mail: </w:t>
            </w:r>
            <w:hyperlink r:id="rId10" w:history="1">
              <w:r>
                <w:rPr>
                  <w:rStyle w:val="Hypertextovodkaz"/>
                  <w:sz w:val="22"/>
                </w:rPr>
                <w:t>blanka.petrovska@sfdi.cz</w:t>
              </w:r>
            </w:hyperlink>
          </w:p>
          <w:p>
            <w:pPr>
              <w:pStyle w:val="Tab"/>
              <w:spacing w:line="240" w:lineRule="auto"/>
              <w:rPr>
                <w:sz w:val="22"/>
              </w:rPr>
            </w:pPr>
          </w:p>
          <w:p>
            <w:pPr>
              <w:pStyle w:val="Tab"/>
              <w:spacing w:line="240" w:lineRule="auto"/>
            </w:pPr>
          </w:p>
          <w:p>
            <w:pPr>
              <w:pStyle w:val="Tab"/>
              <w:spacing w:line="240" w:lineRule="auto"/>
            </w:pPr>
          </w:p>
        </w:tc>
      </w:tr>
      <w:tr>
        <w:trPr>
          <w:trHeight w:val="20"/>
        </w:trPr>
        <w:tc>
          <w:tcPr>
            <w:tcW w:w="2835" w:type="dxa"/>
          </w:tcPr>
          <w:p>
            <w:pPr>
              <w:pStyle w:val="Strana"/>
              <w:rPr>
                <w:rFonts w:ascii="Arial" w:hAnsi="Arial" w:cs="Arial"/>
                <w:b/>
                <w:sz w:val="24"/>
              </w:rPr>
            </w:pPr>
            <w:r>
              <w:rPr>
                <w:rFonts w:ascii="Arial" w:hAnsi="Arial" w:cs="Arial"/>
                <w:b/>
                <w:sz w:val="24"/>
              </w:rPr>
              <w:t>ZHOTOVITEL:</w:t>
            </w:r>
          </w:p>
        </w:tc>
        <w:tc>
          <w:tcPr>
            <w:tcW w:w="6236" w:type="dxa"/>
          </w:tcPr>
          <w:p>
            <w:pPr>
              <w:pStyle w:val="Strana"/>
              <w:rPr>
                <w:rFonts w:ascii="Arial" w:hAnsi="Arial" w:cs="Arial"/>
                <w:b/>
                <w:sz w:val="22"/>
                <w:szCs w:val="22"/>
              </w:rPr>
            </w:pPr>
            <w:r>
              <w:rPr>
                <w:rFonts w:ascii="Arial" w:hAnsi="Arial" w:cs="Arial"/>
                <w:b/>
                <w:sz w:val="24"/>
              </w:rPr>
              <w:t>REKLAMA CENTRUM, spol. s r.o.</w:t>
            </w:r>
          </w:p>
        </w:tc>
      </w:tr>
      <w:tr>
        <w:trPr>
          <w:trHeight w:val="20"/>
        </w:trPr>
        <w:tc>
          <w:tcPr>
            <w:tcW w:w="2835" w:type="dxa"/>
          </w:tcPr>
          <w:p>
            <w:pPr>
              <w:pStyle w:val="Tab"/>
              <w:spacing w:line="240" w:lineRule="auto"/>
              <w:rPr>
                <w:sz w:val="22"/>
                <w:szCs w:val="20"/>
              </w:rPr>
            </w:pPr>
            <w:r>
              <w:rPr>
                <w:sz w:val="22"/>
                <w:szCs w:val="20"/>
              </w:rPr>
              <w:t>Sídlo:</w:t>
            </w:r>
          </w:p>
        </w:tc>
        <w:tc>
          <w:tcPr>
            <w:tcW w:w="6236" w:type="dxa"/>
          </w:tcPr>
          <w:p>
            <w:pPr>
              <w:pStyle w:val="Tab"/>
              <w:rPr>
                <w:sz w:val="22"/>
                <w:szCs w:val="20"/>
              </w:rPr>
            </w:pPr>
            <w:r>
              <w:rPr>
                <w:sz w:val="22"/>
                <w:szCs w:val="20"/>
              </w:rPr>
              <w:t xml:space="preserve">Kardašovská 394/2, </w:t>
            </w:r>
            <w:proofErr w:type="gramStart"/>
            <w:r>
              <w:rPr>
                <w:sz w:val="22"/>
                <w:szCs w:val="20"/>
              </w:rPr>
              <w:t>19800  Praha</w:t>
            </w:r>
            <w:proofErr w:type="gramEnd"/>
            <w:r>
              <w:rPr>
                <w:sz w:val="22"/>
                <w:szCs w:val="20"/>
              </w:rPr>
              <w:t xml:space="preserve"> 9</w:t>
            </w:r>
          </w:p>
        </w:tc>
      </w:tr>
      <w:tr>
        <w:trPr>
          <w:trHeight w:val="20"/>
        </w:trPr>
        <w:tc>
          <w:tcPr>
            <w:tcW w:w="2835" w:type="dxa"/>
          </w:tcPr>
          <w:p>
            <w:pPr>
              <w:pStyle w:val="Tab"/>
              <w:spacing w:line="240" w:lineRule="auto"/>
              <w:rPr>
                <w:sz w:val="22"/>
                <w:szCs w:val="20"/>
              </w:rPr>
            </w:pPr>
            <w:r>
              <w:rPr>
                <w:sz w:val="22"/>
                <w:szCs w:val="20"/>
              </w:rPr>
              <w:t>Zápis v obchodním rejstříku:</w:t>
            </w:r>
          </w:p>
        </w:tc>
        <w:tc>
          <w:tcPr>
            <w:tcW w:w="6236" w:type="dxa"/>
          </w:tcPr>
          <w:p>
            <w:pPr>
              <w:pStyle w:val="Tab"/>
              <w:rPr>
                <w:sz w:val="22"/>
                <w:szCs w:val="20"/>
              </w:rPr>
            </w:pPr>
            <w:proofErr w:type="gramStart"/>
            <w:r>
              <w:rPr>
                <w:sz w:val="22"/>
                <w:szCs w:val="20"/>
              </w:rPr>
              <w:t>vedeném</w:t>
            </w:r>
            <w:proofErr w:type="gramEnd"/>
            <w:r>
              <w:rPr>
                <w:sz w:val="22"/>
                <w:szCs w:val="20"/>
              </w:rPr>
              <w:t xml:space="preserve"> Městským soudem v Praze oddíl C, vložka 2375</w:t>
            </w:r>
          </w:p>
        </w:tc>
      </w:tr>
      <w:tr>
        <w:trPr>
          <w:trHeight w:val="20"/>
        </w:trPr>
        <w:tc>
          <w:tcPr>
            <w:tcW w:w="2835" w:type="dxa"/>
          </w:tcPr>
          <w:p>
            <w:pPr>
              <w:pStyle w:val="Tab"/>
              <w:spacing w:line="240" w:lineRule="auto"/>
              <w:rPr>
                <w:sz w:val="22"/>
                <w:szCs w:val="20"/>
              </w:rPr>
            </w:pPr>
            <w:r>
              <w:rPr>
                <w:sz w:val="22"/>
                <w:szCs w:val="20"/>
              </w:rPr>
              <w:t>IČO:</w:t>
            </w:r>
          </w:p>
        </w:tc>
        <w:tc>
          <w:tcPr>
            <w:tcW w:w="6236" w:type="dxa"/>
          </w:tcPr>
          <w:p>
            <w:pPr>
              <w:pStyle w:val="Tab"/>
              <w:rPr>
                <w:sz w:val="22"/>
                <w:szCs w:val="20"/>
              </w:rPr>
            </w:pPr>
            <w:r>
              <w:rPr>
                <w:sz w:val="22"/>
                <w:szCs w:val="20"/>
              </w:rPr>
              <w:t>17047692</w:t>
            </w:r>
          </w:p>
        </w:tc>
      </w:tr>
      <w:tr>
        <w:trPr>
          <w:trHeight w:val="20"/>
        </w:trPr>
        <w:tc>
          <w:tcPr>
            <w:tcW w:w="2835" w:type="dxa"/>
          </w:tcPr>
          <w:p>
            <w:pPr>
              <w:pStyle w:val="Tab"/>
              <w:spacing w:line="240" w:lineRule="auto"/>
              <w:rPr>
                <w:sz w:val="22"/>
                <w:szCs w:val="20"/>
              </w:rPr>
            </w:pPr>
            <w:r>
              <w:rPr>
                <w:sz w:val="22"/>
                <w:szCs w:val="20"/>
              </w:rPr>
              <w:t>DIČ:</w:t>
            </w:r>
          </w:p>
        </w:tc>
        <w:tc>
          <w:tcPr>
            <w:tcW w:w="6236" w:type="dxa"/>
          </w:tcPr>
          <w:p>
            <w:pPr>
              <w:pStyle w:val="Tab"/>
              <w:rPr>
                <w:sz w:val="22"/>
                <w:szCs w:val="20"/>
              </w:rPr>
            </w:pPr>
            <w:r>
              <w:rPr>
                <w:sz w:val="22"/>
                <w:szCs w:val="20"/>
              </w:rPr>
              <w:t>CZ17047692</w:t>
            </w:r>
          </w:p>
        </w:tc>
      </w:tr>
      <w:tr>
        <w:trPr>
          <w:trHeight w:val="20"/>
        </w:trPr>
        <w:tc>
          <w:tcPr>
            <w:tcW w:w="2835" w:type="dxa"/>
          </w:tcPr>
          <w:p>
            <w:pPr>
              <w:pStyle w:val="Tab"/>
              <w:spacing w:line="240" w:lineRule="auto"/>
              <w:rPr>
                <w:sz w:val="22"/>
                <w:szCs w:val="20"/>
              </w:rPr>
            </w:pPr>
            <w:r>
              <w:rPr>
                <w:sz w:val="22"/>
                <w:szCs w:val="20"/>
              </w:rPr>
              <w:t>Osoba oprávněná k podpisu Smlouvy:</w:t>
            </w:r>
          </w:p>
        </w:tc>
        <w:tc>
          <w:tcPr>
            <w:tcW w:w="6236" w:type="dxa"/>
          </w:tcPr>
          <w:p>
            <w:pPr>
              <w:pStyle w:val="Tab"/>
              <w:rPr>
                <w:sz w:val="22"/>
                <w:szCs w:val="20"/>
                <w:highlight w:val="yellow"/>
              </w:rPr>
            </w:pPr>
          </w:p>
          <w:p>
            <w:pPr>
              <w:pStyle w:val="Tab"/>
              <w:rPr>
                <w:sz w:val="22"/>
                <w:szCs w:val="20"/>
              </w:rPr>
            </w:pPr>
            <w:r>
              <w:rPr>
                <w:sz w:val="22"/>
                <w:szCs w:val="20"/>
              </w:rPr>
              <w:t>Marek Pivka, jednatel</w:t>
            </w:r>
          </w:p>
        </w:tc>
      </w:tr>
      <w:tr>
        <w:trPr>
          <w:trHeight w:val="20"/>
        </w:trPr>
        <w:tc>
          <w:tcPr>
            <w:tcW w:w="2835" w:type="dxa"/>
          </w:tcPr>
          <w:p>
            <w:pPr>
              <w:pStyle w:val="Tab"/>
              <w:spacing w:line="240" w:lineRule="auto"/>
              <w:rPr>
                <w:sz w:val="22"/>
                <w:szCs w:val="20"/>
              </w:rPr>
            </w:pPr>
            <w:r>
              <w:rPr>
                <w:sz w:val="22"/>
                <w:szCs w:val="20"/>
              </w:rPr>
              <w:t>Bankovní spojení:</w:t>
            </w:r>
          </w:p>
        </w:tc>
        <w:tc>
          <w:tcPr>
            <w:tcW w:w="6236" w:type="dxa"/>
          </w:tcPr>
          <w:p>
            <w:pPr>
              <w:pStyle w:val="Tab"/>
              <w:rPr>
                <w:sz w:val="22"/>
                <w:szCs w:val="20"/>
              </w:rPr>
            </w:pPr>
            <w:proofErr w:type="spellStart"/>
            <w:r>
              <w:rPr>
                <w:sz w:val="22"/>
                <w:szCs w:val="20"/>
              </w:rPr>
              <w:t>xxx</w:t>
            </w:r>
            <w:proofErr w:type="spellEnd"/>
          </w:p>
        </w:tc>
      </w:tr>
      <w:tr>
        <w:trPr>
          <w:trHeight w:val="20"/>
        </w:trPr>
        <w:tc>
          <w:tcPr>
            <w:tcW w:w="2835" w:type="dxa"/>
          </w:tcPr>
          <w:p>
            <w:pPr>
              <w:pStyle w:val="Tab"/>
              <w:spacing w:line="240" w:lineRule="auto"/>
              <w:rPr>
                <w:sz w:val="22"/>
                <w:szCs w:val="20"/>
              </w:rPr>
            </w:pPr>
            <w:r>
              <w:rPr>
                <w:sz w:val="22"/>
                <w:szCs w:val="20"/>
              </w:rPr>
              <w:t>Číslo účtu:</w:t>
            </w:r>
          </w:p>
          <w:p>
            <w:pPr>
              <w:pStyle w:val="Tab"/>
              <w:spacing w:before="120" w:line="240" w:lineRule="auto"/>
              <w:rPr>
                <w:sz w:val="22"/>
                <w:szCs w:val="20"/>
              </w:rPr>
            </w:pPr>
            <w:r>
              <w:rPr>
                <w:sz w:val="22"/>
              </w:rPr>
              <w:t>Kontaktní osoby:</w:t>
            </w:r>
          </w:p>
        </w:tc>
        <w:tc>
          <w:tcPr>
            <w:tcW w:w="6236" w:type="dxa"/>
          </w:tcPr>
          <w:p>
            <w:pPr>
              <w:pStyle w:val="Tab"/>
              <w:rPr>
                <w:sz w:val="22"/>
                <w:szCs w:val="20"/>
              </w:rPr>
            </w:pPr>
            <w:proofErr w:type="spellStart"/>
            <w:r>
              <w:rPr>
                <w:sz w:val="22"/>
                <w:szCs w:val="20"/>
              </w:rPr>
              <w:t>xxx</w:t>
            </w:r>
            <w:proofErr w:type="spellEnd"/>
          </w:p>
          <w:p>
            <w:pPr>
              <w:pStyle w:val="Tab"/>
              <w:spacing w:before="120"/>
              <w:rPr>
                <w:sz w:val="22"/>
                <w:szCs w:val="20"/>
              </w:rPr>
            </w:pPr>
            <w:proofErr w:type="spellStart"/>
            <w:r>
              <w:rPr>
                <w:sz w:val="22"/>
                <w:szCs w:val="20"/>
              </w:rPr>
              <w:t>xxx</w:t>
            </w:r>
            <w:proofErr w:type="spellEnd"/>
            <w:r>
              <w:rPr>
                <w:sz w:val="22"/>
                <w:szCs w:val="20"/>
              </w:rPr>
              <w:t xml:space="preserve">, </w:t>
            </w:r>
          </w:p>
          <w:p>
            <w:pPr>
              <w:pStyle w:val="Tab"/>
              <w:spacing w:before="120"/>
              <w:rPr>
                <w:sz w:val="22"/>
                <w:szCs w:val="20"/>
              </w:rPr>
            </w:pPr>
            <w:proofErr w:type="spellStart"/>
            <w:r>
              <w:rPr>
                <w:sz w:val="22"/>
                <w:szCs w:val="20"/>
              </w:rPr>
              <w:t>xxx</w:t>
            </w:r>
            <w:bookmarkStart w:id="0" w:name="_GoBack"/>
            <w:bookmarkEnd w:id="0"/>
            <w:proofErr w:type="spellEnd"/>
          </w:p>
          <w:p>
            <w:pPr>
              <w:pStyle w:val="Tab"/>
              <w:spacing w:before="120"/>
              <w:rPr>
                <w:sz w:val="22"/>
                <w:szCs w:val="20"/>
              </w:rPr>
            </w:pPr>
          </w:p>
          <w:p>
            <w:pPr>
              <w:pStyle w:val="Tab"/>
              <w:spacing w:before="120"/>
              <w:rPr>
                <w:sz w:val="22"/>
                <w:szCs w:val="20"/>
              </w:rPr>
            </w:pPr>
          </w:p>
        </w:tc>
      </w:tr>
    </w:tbl>
    <w:p>
      <w:pPr>
        <w:pStyle w:val="l"/>
        <w:rPr>
          <w:rFonts w:ascii="Arial" w:hAnsi="Arial" w:cs="Arial"/>
          <w:sz w:val="24"/>
        </w:rPr>
      </w:pPr>
      <w:r>
        <w:rPr>
          <w:rFonts w:ascii="Arial" w:hAnsi="Arial" w:cs="Arial"/>
          <w:sz w:val="24"/>
        </w:rPr>
        <w:lastRenderedPageBreak/>
        <w:t>ÚVODNÍ UJEDNÁNÍ</w:t>
      </w:r>
    </w:p>
    <w:p>
      <w:pPr>
        <w:pStyle w:val="PodOdst"/>
        <w:ind w:left="0"/>
        <w:rPr>
          <w:sz w:val="22"/>
        </w:rPr>
      </w:pPr>
      <w:r>
        <w:rPr>
          <w:sz w:val="22"/>
        </w:rPr>
        <w:t>Strany uzavřely Smlouvu, neboť Objednatel v Zadávacím řízení vybral Zhotovitele k uzavření Smlouvy na Veřejnou zakázku.</w:t>
      </w:r>
    </w:p>
    <w:p>
      <w:pPr>
        <w:pStyle w:val="l"/>
        <w:rPr>
          <w:rFonts w:ascii="Arial" w:hAnsi="Arial" w:cs="Arial"/>
          <w:sz w:val="24"/>
        </w:rPr>
      </w:pPr>
      <w:r>
        <w:rPr>
          <w:rFonts w:ascii="Arial" w:hAnsi="Arial" w:cs="Arial"/>
          <w:sz w:val="24"/>
        </w:rPr>
        <w:t>DEFINICE, VÝKLAD A PŘÍLOHY</w:t>
      </w:r>
    </w:p>
    <w:p>
      <w:pPr>
        <w:pStyle w:val="Odst"/>
        <w:keepNext/>
        <w:rPr>
          <w:sz w:val="22"/>
        </w:rPr>
      </w:pPr>
      <w:bookmarkStart w:id="1" w:name="_Ref42178032"/>
      <w:r>
        <w:rPr>
          <w:sz w:val="22"/>
        </w:rPr>
        <w:t>Ve Smlouvě mají níže uvedené pojmy a zkratky následující význam:</w:t>
      </w:r>
      <w:bookmarkEnd w:id="1"/>
    </w:p>
    <w:p>
      <w:pPr>
        <w:pStyle w:val="Psm"/>
        <w:numPr>
          <w:ilvl w:val="0"/>
          <w:numId w:val="49"/>
        </w:numPr>
        <w:rPr>
          <w:b/>
          <w:i/>
          <w:sz w:val="22"/>
        </w:rPr>
      </w:pPr>
      <w:r>
        <w:rPr>
          <w:b/>
          <w:sz w:val="22"/>
          <w:szCs w:val="22"/>
        </w:rPr>
        <w:t xml:space="preserve">Dodávka </w:t>
      </w:r>
      <w:r>
        <w:rPr>
          <w:sz w:val="22"/>
          <w:szCs w:val="22"/>
        </w:rPr>
        <w:t>je jeden i veškeré, dle smyslu a použití v textu, propagační předměty opatřené příslušným požadovaným logem dle čl. 3 odst. 3.1 Smlouvy;</w:t>
      </w:r>
    </w:p>
    <w:p>
      <w:pPr>
        <w:pStyle w:val="Psm"/>
        <w:numPr>
          <w:ilvl w:val="0"/>
          <w:numId w:val="49"/>
        </w:numPr>
        <w:rPr>
          <w:sz w:val="22"/>
        </w:rPr>
      </w:pPr>
      <w:r>
        <w:rPr>
          <w:b/>
          <w:sz w:val="22"/>
        </w:rPr>
        <w:t>DPH</w:t>
      </w:r>
      <w:r>
        <w:rPr>
          <w:sz w:val="22"/>
        </w:rPr>
        <w:t xml:space="preserve"> je daň z přidané hodnoty;</w:t>
      </w:r>
    </w:p>
    <w:p>
      <w:pPr>
        <w:pStyle w:val="Psm"/>
        <w:numPr>
          <w:ilvl w:val="0"/>
          <w:numId w:val="49"/>
        </w:numPr>
        <w:rPr>
          <w:sz w:val="22"/>
        </w:rPr>
      </w:pPr>
      <w:bookmarkStart w:id="2" w:name="_Ref42178034"/>
      <w:r>
        <w:rPr>
          <w:b/>
          <w:sz w:val="22"/>
        </w:rPr>
        <w:t>Elektronický podpis</w:t>
      </w:r>
      <w:r>
        <w:rPr>
          <w:sz w:val="22"/>
        </w:rPr>
        <w:t xml:space="preserve"> je platný uznávaný elektronický podpis ve smyslu zákona č. 297/2016 Sb., o službách vytvářejících důvěru pro elektronické transakce, ve znění pozdějších předpisů, patřící osobě oprávněné jednat za Stranu v nezbytném rozsahu;</w:t>
      </w:r>
      <w:bookmarkEnd w:id="2"/>
    </w:p>
    <w:p>
      <w:pPr>
        <w:pStyle w:val="Psm"/>
        <w:numPr>
          <w:ilvl w:val="0"/>
          <w:numId w:val="49"/>
        </w:numPr>
        <w:rPr>
          <w:sz w:val="22"/>
        </w:rPr>
      </w:pPr>
      <w:r>
        <w:rPr>
          <w:b/>
          <w:sz w:val="22"/>
        </w:rPr>
        <w:t>Objednatel</w:t>
      </w:r>
      <w:r>
        <w:rPr>
          <w:sz w:val="22"/>
        </w:rPr>
        <w:t xml:space="preserve"> má význam uvedený v úvodu Smlouvy;</w:t>
      </w:r>
    </w:p>
    <w:p>
      <w:pPr>
        <w:pStyle w:val="Odstavecseseznamem"/>
        <w:numPr>
          <w:ilvl w:val="0"/>
          <w:numId w:val="49"/>
        </w:numPr>
        <w:rPr>
          <w:b/>
          <w:sz w:val="22"/>
          <w:szCs w:val="20"/>
        </w:rPr>
      </w:pPr>
      <w:r>
        <w:rPr>
          <w:b/>
          <w:sz w:val="22"/>
          <w:szCs w:val="20"/>
        </w:rPr>
        <w:t xml:space="preserve">OZ </w:t>
      </w:r>
      <w:r>
        <w:rPr>
          <w:sz w:val="22"/>
          <w:szCs w:val="20"/>
        </w:rPr>
        <w:t>je zákon č. 89/2012 Sb., občanský zákoník, ve znění pozdějších předpisů;</w:t>
      </w:r>
    </w:p>
    <w:p>
      <w:pPr>
        <w:pStyle w:val="Psm"/>
        <w:numPr>
          <w:ilvl w:val="0"/>
          <w:numId w:val="49"/>
        </w:numPr>
        <w:rPr>
          <w:sz w:val="22"/>
        </w:rPr>
      </w:pPr>
      <w:r>
        <w:rPr>
          <w:b/>
          <w:sz w:val="22"/>
        </w:rPr>
        <w:t>Právní předpisy</w:t>
      </w:r>
      <w:r>
        <w:rPr>
          <w:sz w:val="22"/>
        </w:rPr>
        <w:t xml:space="preserve"> jsou obecně závazné právní předpisy České republiky a přímo použitelné právní předpisy Evropské unie v účinném znění;</w:t>
      </w:r>
    </w:p>
    <w:p>
      <w:pPr>
        <w:pStyle w:val="Psm"/>
        <w:numPr>
          <w:ilvl w:val="0"/>
          <w:numId w:val="49"/>
        </w:numPr>
        <w:rPr>
          <w:sz w:val="22"/>
        </w:rPr>
      </w:pPr>
      <w:r>
        <w:rPr>
          <w:b/>
          <w:sz w:val="22"/>
        </w:rPr>
        <w:t>Propagační předměty</w:t>
      </w:r>
      <w:r>
        <w:rPr>
          <w:sz w:val="22"/>
        </w:rPr>
        <w:t xml:space="preserve"> jsou předměty uvedené v příloze </w:t>
      </w:r>
      <w:r>
        <w:rPr>
          <w:i/>
          <w:sz w:val="22"/>
        </w:rPr>
        <w:t>Specifikace předmětu plnění</w:t>
      </w:r>
      <w:r>
        <w:rPr>
          <w:sz w:val="22"/>
        </w:rPr>
        <w:t xml:space="preserve"> této Smlouvy; </w:t>
      </w:r>
    </w:p>
    <w:p>
      <w:pPr>
        <w:pStyle w:val="Psm"/>
        <w:numPr>
          <w:ilvl w:val="0"/>
          <w:numId w:val="49"/>
        </w:numPr>
        <w:rPr>
          <w:sz w:val="22"/>
        </w:rPr>
      </w:pPr>
      <w:r>
        <w:rPr>
          <w:b/>
          <w:sz w:val="22"/>
        </w:rPr>
        <w:t>Smlouva</w:t>
      </w:r>
      <w:r>
        <w:rPr>
          <w:sz w:val="22"/>
        </w:rPr>
        <w:t xml:space="preserve"> je tato smlouva o dílo včetně všech jejích příloh a případných dodatků;</w:t>
      </w:r>
    </w:p>
    <w:p>
      <w:pPr>
        <w:pStyle w:val="Psm"/>
        <w:numPr>
          <w:ilvl w:val="0"/>
          <w:numId w:val="49"/>
        </w:numPr>
        <w:rPr>
          <w:sz w:val="22"/>
          <w:szCs w:val="22"/>
        </w:rPr>
      </w:pPr>
      <w:r>
        <w:rPr>
          <w:b/>
          <w:sz w:val="22"/>
          <w:szCs w:val="22"/>
        </w:rPr>
        <w:t>Specifikace předmětu plnění</w:t>
      </w:r>
      <w:r>
        <w:rPr>
          <w:sz w:val="22"/>
          <w:szCs w:val="22"/>
        </w:rPr>
        <w:t xml:space="preserve"> je dokument obsahující podrobný popis požadovaných propagačních předmětů vč. návrhu Objednatele na použitou techniku opatření těchto předmětů logem a s uvedením požadovaného množství jednotlivých propagačních předmětů; dokument je přílohou Smlouvy;</w:t>
      </w:r>
    </w:p>
    <w:p>
      <w:pPr>
        <w:pStyle w:val="Psm"/>
        <w:numPr>
          <w:ilvl w:val="0"/>
          <w:numId w:val="49"/>
        </w:numPr>
        <w:rPr>
          <w:sz w:val="22"/>
        </w:rPr>
      </w:pPr>
      <w:r>
        <w:rPr>
          <w:b/>
          <w:sz w:val="22"/>
          <w:szCs w:val="22"/>
        </w:rPr>
        <w:t>S</w:t>
      </w:r>
      <w:r>
        <w:rPr>
          <w:b/>
          <w:sz w:val="22"/>
        </w:rPr>
        <w:t>trana</w:t>
      </w:r>
      <w:r>
        <w:rPr>
          <w:sz w:val="22"/>
        </w:rPr>
        <w:t xml:space="preserve"> je Objednatel nebo Zhotovitel;</w:t>
      </w:r>
    </w:p>
    <w:p>
      <w:pPr>
        <w:pStyle w:val="Psm"/>
        <w:numPr>
          <w:ilvl w:val="0"/>
          <w:numId w:val="49"/>
        </w:numPr>
        <w:rPr>
          <w:sz w:val="22"/>
          <w:szCs w:val="22"/>
        </w:rPr>
      </w:pPr>
      <w:r>
        <w:rPr>
          <w:b/>
          <w:sz w:val="22"/>
          <w:szCs w:val="22"/>
        </w:rPr>
        <w:t>Veřejná zakázka</w:t>
      </w:r>
      <w:r>
        <w:rPr>
          <w:sz w:val="22"/>
          <w:szCs w:val="22"/>
        </w:rPr>
        <w:t xml:space="preserve"> je veřejná zakázka malého rozsahu „Propagační předměty 2020“, </w:t>
      </w:r>
      <w:proofErr w:type="gramStart"/>
      <w:r>
        <w:rPr>
          <w:sz w:val="22"/>
          <w:szCs w:val="22"/>
        </w:rPr>
        <w:t>č.j.</w:t>
      </w:r>
      <w:proofErr w:type="gramEnd"/>
      <w:r>
        <w:rPr>
          <w:sz w:val="22"/>
          <w:szCs w:val="22"/>
        </w:rPr>
        <w:t xml:space="preserve"> 7288/SFDI/310163/13127/2020; </w:t>
      </w:r>
    </w:p>
    <w:p>
      <w:pPr>
        <w:pStyle w:val="Psm"/>
        <w:numPr>
          <w:ilvl w:val="0"/>
          <w:numId w:val="49"/>
        </w:numPr>
        <w:rPr>
          <w:sz w:val="22"/>
          <w:szCs w:val="22"/>
        </w:rPr>
      </w:pPr>
      <w:r>
        <w:rPr>
          <w:b/>
          <w:sz w:val="22"/>
          <w:szCs w:val="22"/>
        </w:rPr>
        <w:t>Zadávací řízení</w:t>
      </w:r>
      <w:r>
        <w:rPr>
          <w:sz w:val="22"/>
          <w:szCs w:val="22"/>
        </w:rPr>
        <w:t xml:space="preserve"> je zadávací řízení Veřejné zakázky;</w:t>
      </w:r>
    </w:p>
    <w:p>
      <w:pPr>
        <w:pStyle w:val="Psm"/>
        <w:numPr>
          <w:ilvl w:val="0"/>
          <w:numId w:val="49"/>
        </w:numPr>
        <w:rPr>
          <w:sz w:val="22"/>
          <w:szCs w:val="22"/>
        </w:rPr>
      </w:pPr>
      <w:r>
        <w:rPr>
          <w:b/>
          <w:sz w:val="22"/>
          <w:szCs w:val="22"/>
        </w:rPr>
        <w:t>Zhotovitel</w:t>
      </w:r>
      <w:r>
        <w:rPr>
          <w:sz w:val="22"/>
          <w:szCs w:val="22"/>
        </w:rPr>
        <w:t xml:space="preserve"> má význam uvedený v úvodu Smlouvy;</w:t>
      </w:r>
    </w:p>
    <w:p>
      <w:pPr>
        <w:pStyle w:val="Psm"/>
        <w:numPr>
          <w:ilvl w:val="0"/>
          <w:numId w:val="49"/>
        </w:numPr>
        <w:rPr>
          <w:sz w:val="22"/>
        </w:rPr>
      </w:pPr>
      <w:r>
        <w:rPr>
          <w:b/>
          <w:sz w:val="22"/>
        </w:rPr>
        <w:t>ZRS</w:t>
      </w:r>
      <w:r>
        <w:rPr>
          <w:sz w:val="22"/>
        </w:rPr>
        <w:t xml:space="preserve"> je zákon č. 340/2015, o zvláštních podmínkách účinnosti některých smluv, uveřejňování těchto smluv a o registru smluv (zákon o registru smluv), ve znění pozdějších předpisů. </w:t>
      </w:r>
    </w:p>
    <w:p>
      <w:pPr>
        <w:pStyle w:val="l"/>
        <w:rPr>
          <w:rFonts w:ascii="Arial" w:hAnsi="Arial" w:cs="Arial"/>
          <w:sz w:val="24"/>
        </w:rPr>
      </w:pPr>
      <w:r>
        <w:rPr>
          <w:rFonts w:ascii="Arial" w:hAnsi="Arial" w:cs="Arial"/>
          <w:sz w:val="24"/>
        </w:rPr>
        <w:t>PŘEDMĚT SMLOUVY</w:t>
      </w:r>
    </w:p>
    <w:p>
      <w:pPr>
        <w:pStyle w:val="Odst"/>
        <w:spacing w:line="240" w:lineRule="auto"/>
        <w:rPr>
          <w:sz w:val="22"/>
        </w:rPr>
      </w:pPr>
      <w:r>
        <w:rPr>
          <w:sz w:val="22"/>
        </w:rPr>
        <w:t xml:space="preserve">Předmětem této Smlouvy je závazek Zhotovitele opatřit požadované Propagační předměty uvedené v příloze </w:t>
      </w:r>
      <w:r>
        <w:rPr>
          <w:i/>
          <w:sz w:val="22"/>
        </w:rPr>
        <w:t>Specifikace předmětu plnění</w:t>
      </w:r>
      <w:r>
        <w:rPr>
          <w:sz w:val="22"/>
        </w:rPr>
        <w:t xml:space="preserve"> této Smlouvy příslušnými logy dle přílohy </w:t>
      </w:r>
      <w:r>
        <w:rPr>
          <w:i/>
          <w:sz w:val="22"/>
        </w:rPr>
        <w:t xml:space="preserve">Seznam log </w:t>
      </w:r>
      <w:r>
        <w:rPr>
          <w:sz w:val="22"/>
        </w:rPr>
        <w:t xml:space="preserve">této Smlouvy, a dodat je Objednateli v rozsahu, kvalitě </w:t>
      </w:r>
      <w:r>
        <w:rPr>
          <w:sz w:val="22"/>
        </w:rPr>
        <w:lastRenderedPageBreak/>
        <w:t>a za podmínek stanovených v této Smlouvě a jejich přílohách, to vše na svůj náklad a nebezpečí.</w:t>
      </w:r>
    </w:p>
    <w:p>
      <w:pPr>
        <w:pStyle w:val="Odst"/>
        <w:spacing w:line="240" w:lineRule="auto"/>
        <w:rPr>
          <w:sz w:val="22"/>
        </w:rPr>
      </w:pPr>
      <w:r>
        <w:rPr>
          <w:sz w:val="22"/>
        </w:rPr>
        <w:t xml:space="preserve">Zhotovitelem dodané Propagační předměty musí odpovídat specifikaci uvedené v příloze </w:t>
      </w:r>
      <w:r>
        <w:rPr>
          <w:i/>
          <w:sz w:val="22"/>
        </w:rPr>
        <w:t>Specifikace předmětu plnění</w:t>
      </w:r>
      <w:r>
        <w:rPr>
          <w:sz w:val="22"/>
        </w:rPr>
        <w:t xml:space="preserve"> této Smlouvy.</w:t>
      </w:r>
    </w:p>
    <w:p>
      <w:pPr>
        <w:pStyle w:val="Odst"/>
        <w:spacing w:line="240" w:lineRule="auto"/>
        <w:rPr>
          <w:sz w:val="22"/>
        </w:rPr>
      </w:pPr>
      <w:r>
        <w:rPr>
          <w:sz w:val="22"/>
        </w:rPr>
        <w:t xml:space="preserve">Objednatel se zavazuje Dodávku převzít a zaplatit za ni cenu uvedenou v odst. 4.2 Smlouvy. </w:t>
      </w:r>
    </w:p>
    <w:p>
      <w:pPr>
        <w:pStyle w:val="l"/>
        <w:rPr>
          <w:rFonts w:ascii="Arial" w:hAnsi="Arial" w:cs="Arial"/>
          <w:sz w:val="24"/>
        </w:rPr>
      </w:pPr>
      <w:r>
        <w:rPr>
          <w:rFonts w:ascii="Arial" w:hAnsi="Arial" w:cs="Arial"/>
          <w:sz w:val="24"/>
        </w:rPr>
        <w:t>CENA A PLATEBNÍ PODMÍNKY</w:t>
      </w:r>
    </w:p>
    <w:p>
      <w:pPr>
        <w:pStyle w:val="Odst"/>
        <w:spacing w:line="240" w:lineRule="auto"/>
        <w:rPr>
          <w:sz w:val="22"/>
        </w:rPr>
      </w:pPr>
      <w:bookmarkStart w:id="3" w:name="_Ref42422223"/>
      <w:r>
        <w:rPr>
          <w:sz w:val="22"/>
        </w:rPr>
        <w:t xml:space="preserve">Cena Dodávky byla stanovena na základě cenové nabídky Zhotovitele podané v rámci Zadávacího řízení Veřejné zakázky. </w:t>
      </w:r>
    </w:p>
    <w:bookmarkEnd w:id="3"/>
    <w:p>
      <w:pPr>
        <w:pStyle w:val="Odst"/>
        <w:spacing w:line="240" w:lineRule="auto"/>
        <w:rPr>
          <w:sz w:val="22"/>
        </w:rPr>
      </w:pPr>
      <w:r>
        <w:rPr>
          <w:sz w:val="22"/>
        </w:rPr>
        <w:t xml:space="preserve">Cena Dodávky činí </w:t>
      </w:r>
      <w:r>
        <w:rPr>
          <w:rFonts w:eastAsia="Calibri" w:cs="Arial"/>
          <w:sz w:val="22"/>
          <w:szCs w:val="22"/>
        </w:rPr>
        <w:t xml:space="preserve">175 890 Kč bez DPH, tj. </w:t>
      </w:r>
      <w:r>
        <w:rPr>
          <w:rFonts w:eastAsia="Times New Roman" w:cs="Arial"/>
          <w:sz w:val="22"/>
          <w:szCs w:val="22"/>
          <w:lang w:bidi="en-US"/>
        </w:rPr>
        <w:t>212 826,90</w:t>
      </w:r>
      <w:r>
        <w:rPr>
          <w:rFonts w:eastAsia="Calibri" w:cs="Arial"/>
          <w:sz w:val="22"/>
          <w:szCs w:val="22"/>
        </w:rPr>
        <w:t xml:space="preserve"> Kč včetně DPH.</w:t>
      </w:r>
    </w:p>
    <w:p>
      <w:pPr>
        <w:pStyle w:val="Odst"/>
        <w:spacing w:line="240" w:lineRule="auto"/>
        <w:rPr>
          <w:sz w:val="22"/>
        </w:rPr>
      </w:pPr>
      <w:r>
        <w:rPr>
          <w:sz w:val="22"/>
        </w:rPr>
        <w:t>Cena Dodávky uvedená v předchozím odstavci je cenou konečnou a nepřekročitelnou zahrnující veškeré náklady Zhotovitele související s provedením Dodávky včetně obalů či dopravy do sídla Objednatele a včetně vypořádání autorských odměn dle odst. 6.7 Smlouvy.</w:t>
      </w:r>
    </w:p>
    <w:p>
      <w:pPr>
        <w:pStyle w:val="Odst"/>
        <w:spacing w:line="240" w:lineRule="auto"/>
        <w:rPr>
          <w:sz w:val="22"/>
        </w:rPr>
      </w:pPr>
      <w:bookmarkStart w:id="4" w:name="_Ref42422257"/>
      <w:r>
        <w:rPr>
          <w:sz w:val="22"/>
        </w:rPr>
        <w:t>Objednatel neposkytuje zálohy. Úhrada Dodávky bude provedena bezhotovostně po převzetí dokončené Dodávky Objednatelem na základě Zhotovitelem vystaveného daňového dokladu (faktury) na účet Zhotovitele uvedený v záhlaví Smlouvy. Faktura musí obsahovat všechny náležitosti daňového dokladu podle § 29 a násl. zákona č. 235/2004 Sb. o dani z přidané hodnoty, ve znění pozdějších předpisů.</w:t>
      </w:r>
    </w:p>
    <w:p>
      <w:pPr>
        <w:pStyle w:val="Odst"/>
        <w:spacing w:line="240" w:lineRule="auto"/>
        <w:rPr>
          <w:sz w:val="22"/>
        </w:rPr>
      </w:pPr>
      <w:r>
        <w:rPr>
          <w:sz w:val="22"/>
        </w:rPr>
        <w:t>Zhotovitel je povinen uvést na faktuře evidenční číslo této smlouvy (CES) přidělené Objednatelem a následující text: „</w:t>
      </w:r>
      <w:r>
        <w:rPr>
          <w:i/>
          <w:sz w:val="22"/>
        </w:rPr>
        <w:t>Zakázka je spolufinancována z prostředků Technické pomoci OP Doprava 2014 - 2020 v rámci projektu Technická pomoc ZS OPD 2016 – 2023 číslo CZ.04.4.125/0.0/0.0/15_005/0000002</w:t>
      </w:r>
      <w:r>
        <w:rPr>
          <w:sz w:val="22"/>
        </w:rPr>
        <w:t>“.</w:t>
      </w:r>
    </w:p>
    <w:p>
      <w:pPr>
        <w:pStyle w:val="Odst"/>
        <w:spacing w:line="240" w:lineRule="auto"/>
        <w:rPr>
          <w:sz w:val="22"/>
        </w:rPr>
      </w:pPr>
      <w:r>
        <w:rPr>
          <w:sz w:val="22"/>
        </w:rPr>
        <w:t xml:space="preserve">Objednatel uhradí fakturu do 14 kalendářních dnů ode dne jejího doručení. Splatnost faktury je dodržena, jestliže v poslední den lhůty splatnosti je fakturovaná částka odepsána z účtu Objednatele ve prospěch účtu Zhotovitele uvedenému v záhlaví Smlouvy. </w:t>
      </w:r>
    </w:p>
    <w:p>
      <w:pPr>
        <w:pStyle w:val="Odst"/>
        <w:spacing w:line="240" w:lineRule="auto"/>
        <w:rPr>
          <w:sz w:val="22"/>
        </w:rPr>
      </w:pPr>
      <w:r>
        <w:rPr>
          <w:sz w:val="22"/>
        </w:rPr>
        <w:t>Objednatel je oprávněn před uplynutím lhůty splatnosti vrátit fakturu, která neobsahuje požadované náležitosti řádného účetního a daňového dokladu ve smyslu příslušných Právních předpisů, není doložena požadovanými nebo úplnými doklady, nebo obsahuje nesprávné cenové údaje. Ve vrácené faktuře musí Objednatel vyznačit důvod vrácení faktury. Zhotovitel je povinen vystavit novou fakturu s tím, že oprávněným vrácením faktury přestává běžet původní lhůta splatnosti a běží nová lhůta 14 kalendářních dní ode dne prokazatelného doručení opravené a všemi náležitostmi opatřené faktury Objednateli.</w:t>
      </w:r>
    </w:p>
    <w:bookmarkEnd w:id="4"/>
    <w:p>
      <w:pPr>
        <w:pStyle w:val="l"/>
        <w:rPr>
          <w:rFonts w:ascii="Arial" w:hAnsi="Arial" w:cs="Arial"/>
          <w:sz w:val="24"/>
        </w:rPr>
      </w:pPr>
      <w:r>
        <w:rPr>
          <w:rFonts w:ascii="Arial" w:hAnsi="Arial" w:cs="Arial"/>
          <w:sz w:val="24"/>
        </w:rPr>
        <w:t>DOBA A MÍSTO PLNĚNÍ, PŘEDÁNÍ A PŘEVZETÍ DODÁVKY</w:t>
      </w:r>
    </w:p>
    <w:p>
      <w:pPr>
        <w:pStyle w:val="Odst"/>
        <w:spacing w:line="240" w:lineRule="auto"/>
        <w:rPr>
          <w:sz w:val="22"/>
        </w:rPr>
      </w:pPr>
      <w:r>
        <w:rPr>
          <w:sz w:val="22"/>
        </w:rPr>
        <w:t>Zhotovitel se zavazuje do 10 kalendářních dnů ode dne účinnosti Smlouvy předložit ke schválení Objednateli korekturu, tj. náhled grafického návrhu umístění log na jednotlivé Propagační předměty. Po schválení těchto grafických návrhů Objednatelem dle odst. 6.2 Smlouvy se Zhotovitel zavazuje provést a předat Dodávku ve lhůtě do 30 kalendářních dnů od data tohoto schválení, pokud nebylo písemně dohodnuto jinak.</w:t>
      </w:r>
    </w:p>
    <w:p>
      <w:pPr>
        <w:pStyle w:val="Odst"/>
        <w:spacing w:line="240" w:lineRule="auto"/>
        <w:rPr>
          <w:sz w:val="22"/>
        </w:rPr>
      </w:pPr>
      <w:r>
        <w:rPr>
          <w:sz w:val="22"/>
        </w:rPr>
        <w:t xml:space="preserve">V případě, že u některých propagačních předmětů nebude možno z technických důvodů použít příslušné logo nebo techniku navrženou Objednatelem, bude opatření předmětu logem po vzájemné dohodě upraveno a 30denní lhůta dle odst. 5.1 bude běžet až po schválení nového návrhu Objednatelem. Vzájemná komunikace bude pro </w:t>
      </w:r>
      <w:r>
        <w:rPr>
          <w:sz w:val="22"/>
        </w:rPr>
        <w:lastRenderedPageBreak/>
        <w:t>tento případ realizována prostřednictvím elektronické pošty kontaktních osob smluvních Stran.</w:t>
      </w:r>
    </w:p>
    <w:p>
      <w:pPr>
        <w:pStyle w:val="Odst"/>
        <w:spacing w:line="240" w:lineRule="auto"/>
        <w:rPr>
          <w:sz w:val="22"/>
        </w:rPr>
      </w:pPr>
      <w:r>
        <w:rPr>
          <w:sz w:val="22"/>
        </w:rPr>
        <w:t xml:space="preserve">Zhotovitel je povinen Objednatele písemně uvědomit prostřednictvím elektronické pošty na e-mailovou adresu </w:t>
      </w:r>
      <w:hyperlink r:id="rId11" w:history="1">
        <w:r>
          <w:rPr>
            <w:rStyle w:val="Hypertextovodkaz"/>
            <w:sz w:val="22"/>
          </w:rPr>
          <w:t>vz@sfdi.cz</w:t>
        </w:r>
      </w:hyperlink>
      <w:r>
        <w:rPr>
          <w:sz w:val="22"/>
        </w:rPr>
        <w:t>, že požadovaná Dodávka je připravena k dodání a současně navrhnout termín dodání do místa plnění, a to nejméně 3 pracovní dny před navrhovaným termínem. Souhlas s dodáním Objednatel potvrdí Zhotoviteli prostřednictvím elektronické pošty. Dodání Dodávky bez předchozího souhlasu Objednatele dle tohoto ustanovení nemusí být ze strany Objednatele akceptováno.</w:t>
      </w:r>
    </w:p>
    <w:p>
      <w:pPr>
        <w:pStyle w:val="Odst"/>
        <w:spacing w:line="240" w:lineRule="auto"/>
        <w:rPr>
          <w:sz w:val="22"/>
        </w:rPr>
      </w:pPr>
      <w:r>
        <w:rPr>
          <w:sz w:val="22"/>
        </w:rPr>
        <w:t>Místem plnění je sídlo Objednatele.</w:t>
      </w:r>
    </w:p>
    <w:p>
      <w:pPr>
        <w:pStyle w:val="Odst"/>
        <w:spacing w:line="240" w:lineRule="auto"/>
        <w:rPr>
          <w:sz w:val="22"/>
        </w:rPr>
      </w:pPr>
      <w:r>
        <w:rPr>
          <w:sz w:val="22"/>
        </w:rPr>
        <w:t xml:space="preserve">Osobou odpovědnou za převzetí Dodávky v místě plnění je kontaktní osoba uvedená v záhlaví Smlouvy, a to Ing. Blanka Petrovská, (případně </w:t>
      </w:r>
      <w:r>
        <w:rPr>
          <w:rFonts w:eastAsia="Calibri" w:cs="Arial"/>
          <w:sz w:val="22"/>
          <w:szCs w:val="22"/>
        </w:rPr>
        <w:t>Ing. Petra Grabmüllerová)</w:t>
      </w:r>
      <w:r>
        <w:rPr>
          <w:sz w:val="22"/>
        </w:rPr>
        <w:t>.</w:t>
      </w:r>
    </w:p>
    <w:p>
      <w:pPr>
        <w:pStyle w:val="Odst"/>
        <w:spacing w:line="240" w:lineRule="auto"/>
        <w:rPr>
          <w:sz w:val="22"/>
        </w:rPr>
      </w:pPr>
      <w:r>
        <w:rPr>
          <w:sz w:val="22"/>
        </w:rPr>
        <w:t>Zhotovitel odevzdá a Objednatel převezme Dodávku v sídle Objednatele. Objednatel po kontrole provedení Dodávky potvrdí podpisem předávacího protokolu její převzetí, pokud zhotovená Dodávka bude bez zjevných vad a nedodělků. Pokud při předání Dodávky budou zjištěny vady a nedodělky, uvede se tato skutečnost v předávacím protokolu s uvedením lhůty pro jejich odstranění dle odst. 7.2 Smlouvy. Do doby odstranění vad a nedodělků bránících v užívání Dodávky nevzniká Zhotoviteli právo vystavit fakturu a Objednatel nemá povinnost uhradit cenu za provedení Dodávky. Po odstranění těchto vad a nedodělků Objednatel Dodávku převezme s doplněním odpovídajících formulací o bezvadnosti Dodávky do předávacího protokolu. Náklady Zhotovitele spojené s dodáním Dodávky jsou plně zahrnuty v ceně díla dle čl. 4 Smlouvy.</w:t>
      </w:r>
    </w:p>
    <w:p>
      <w:pPr>
        <w:pStyle w:val="Odst"/>
        <w:spacing w:line="240" w:lineRule="auto"/>
        <w:rPr>
          <w:sz w:val="22"/>
        </w:rPr>
      </w:pPr>
      <w:r>
        <w:rPr>
          <w:sz w:val="22"/>
        </w:rPr>
        <w:t>Majetková práva k dodávce přechází ze Zhotovitele na Objednatele okamžikem protokolního předání a převzetí Dodávky dle Smlouvy a Objednatel může s Dodávkou volně nakládat dle svého uvážení.</w:t>
      </w:r>
    </w:p>
    <w:p>
      <w:pPr>
        <w:pStyle w:val="l"/>
        <w:rPr>
          <w:rFonts w:ascii="Arial" w:hAnsi="Arial" w:cs="Arial"/>
          <w:sz w:val="24"/>
        </w:rPr>
      </w:pPr>
      <w:r>
        <w:rPr>
          <w:rFonts w:ascii="Arial" w:hAnsi="Arial" w:cs="Arial"/>
          <w:sz w:val="24"/>
        </w:rPr>
        <w:t>PRÁVA A POVINNOSTI SMLUVNÍCH STRAN</w:t>
      </w:r>
    </w:p>
    <w:p>
      <w:pPr>
        <w:pStyle w:val="Odst"/>
        <w:spacing w:line="240" w:lineRule="auto"/>
        <w:rPr>
          <w:sz w:val="22"/>
        </w:rPr>
      </w:pPr>
      <w:bookmarkStart w:id="5" w:name="_Ref41990620"/>
      <w:bookmarkStart w:id="6" w:name="_Ref44570360"/>
      <w:r>
        <w:rPr>
          <w:sz w:val="22"/>
        </w:rPr>
        <w:t>Zhotovitel se zavazuje plnit Smlouvu vlastním jménem a na vlastní odpovědnost, a to s náležitou odbornou péčí a v souladu s Právními předpisy a touto Smlouvou.</w:t>
      </w:r>
    </w:p>
    <w:p>
      <w:pPr>
        <w:pStyle w:val="Odst"/>
        <w:spacing w:line="240" w:lineRule="auto"/>
        <w:rPr>
          <w:sz w:val="22"/>
        </w:rPr>
      </w:pPr>
      <w:r>
        <w:rPr>
          <w:sz w:val="22"/>
        </w:rPr>
        <w:t xml:space="preserve">Korekturu, tj. náhled na návrh grafického řešení umístění příslušných log na jednotlivých propagačních předmětech, zašle Zhotovitel ke schválení Objednateli v elektronické podobě na adresu </w:t>
      </w:r>
      <w:hyperlink r:id="rId12" w:history="1">
        <w:r>
          <w:rPr>
            <w:rStyle w:val="Hypertextovodkaz"/>
            <w:sz w:val="22"/>
          </w:rPr>
          <w:t>vz@sfdi.cz</w:t>
        </w:r>
      </w:hyperlink>
      <w:r>
        <w:rPr>
          <w:sz w:val="22"/>
        </w:rPr>
        <w:t xml:space="preserve">, a to do 10 kalendářních dnů ode dne účinnosti Smlouvy. V případě nesouhlasu Objednatele s grafickým návrhem, je Zhotovitel povinen provést úpravy dle požadavků Objednatele v termínu stanoveném Objednatelem. </w:t>
      </w:r>
    </w:p>
    <w:p>
      <w:pPr>
        <w:pStyle w:val="Odst"/>
        <w:spacing w:line="240" w:lineRule="auto"/>
        <w:rPr>
          <w:sz w:val="22"/>
        </w:rPr>
      </w:pPr>
      <w:r>
        <w:rPr>
          <w:sz w:val="22"/>
        </w:rPr>
        <w:t>Dodávka musí splňovat veškeré normy pro výrobu a uvedení na vnitřní trh, (viz norma EN ISO 20471:2013) a Směrnici Evropského parlamentu a Rady 2001/95/ES ze dne 3. prosince 2001 o obecné bezpečnosti výrobků, zákon č. 102/2001 Sb., o obecné bezpečnosti výrobků a o změně některých zákonů (zákon o obecné bezpečnosti výrobků), ve znění pozdějších předpisů a zároveň musí být zdravotně nezávadná a barevně stabilní. V případě propagačních předmětů určených dětem či určených pro styk s potravinami (např. hrnek) musí splňovat všechny požadavky dle zvláštních Právních předpisů</w:t>
      </w:r>
      <w:r>
        <w:rPr>
          <w:sz w:val="22"/>
          <w:vertAlign w:val="superscript"/>
        </w:rPr>
        <w:footnoteReference w:id="2"/>
      </w:r>
      <w:r>
        <w:rPr>
          <w:sz w:val="22"/>
        </w:rPr>
        <w:t xml:space="preserve">. Zároveň budou dodány všechny propagační předměty nové (tj. nepoužité) a bez poškození. </w:t>
      </w:r>
    </w:p>
    <w:p>
      <w:pPr>
        <w:pStyle w:val="Odst"/>
        <w:spacing w:line="240" w:lineRule="auto"/>
        <w:rPr>
          <w:sz w:val="22"/>
        </w:rPr>
      </w:pPr>
      <w:r>
        <w:rPr>
          <w:sz w:val="22"/>
        </w:rPr>
        <w:lastRenderedPageBreak/>
        <w:t xml:space="preserve">Zhotovitel zajistí trvalé označení propagačních předmětů příslušnými logy dle přílohy </w:t>
      </w:r>
      <w:r>
        <w:rPr>
          <w:i/>
          <w:sz w:val="22"/>
        </w:rPr>
        <w:t xml:space="preserve">Seznam log </w:t>
      </w:r>
      <w:r>
        <w:rPr>
          <w:sz w:val="22"/>
        </w:rPr>
        <w:t xml:space="preserve">této Smlouvy a zároveň v souladu s příslušnými </w:t>
      </w:r>
      <w:proofErr w:type="spellStart"/>
      <w:r>
        <w:rPr>
          <w:sz w:val="22"/>
        </w:rPr>
        <w:t>logomanuály</w:t>
      </w:r>
      <w:proofErr w:type="spellEnd"/>
      <w:r>
        <w:rPr>
          <w:sz w:val="22"/>
        </w:rPr>
        <w:t xml:space="preserve">, které jsou dostupné na internetové adrese </w:t>
      </w:r>
      <w:hyperlink r:id="rId13" w:history="1">
        <w:r>
          <w:rPr>
            <w:rStyle w:val="Hypertextovodkaz"/>
            <w:sz w:val="22"/>
          </w:rPr>
          <w:t>P:\kz.sfdi.cz\download\VZ pp-2020_logomanuály_OPD_EDAZ_SFDI.zip</w:t>
        </w:r>
      </w:hyperlink>
      <w:r>
        <w:t xml:space="preserve">. </w:t>
      </w:r>
      <w:r>
        <w:rPr>
          <w:sz w:val="22"/>
        </w:rPr>
        <w:t>Při použití loga OPD je potřeba dodržet současně i další povinné náležitosti dle článku 9 Nařízení Komise č. 1828/2006.</w:t>
      </w:r>
    </w:p>
    <w:p>
      <w:pPr>
        <w:pStyle w:val="Odst"/>
        <w:spacing w:line="240" w:lineRule="auto"/>
        <w:rPr>
          <w:sz w:val="22"/>
        </w:rPr>
      </w:pPr>
      <w:r>
        <w:rPr>
          <w:sz w:val="22"/>
        </w:rPr>
        <w:t xml:space="preserve">Zhotovitel prohlašuje, že u položek č. </w:t>
      </w:r>
      <w:r>
        <w:rPr>
          <w:b/>
          <w:sz w:val="22"/>
        </w:rPr>
        <w:t>12 a, b</w:t>
      </w:r>
      <w:r>
        <w:rPr>
          <w:sz w:val="22"/>
        </w:rPr>
        <w:t xml:space="preserve"> - Plastová klíčenka s LED světlem, č. </w:t>
      </w:r>
      <w:r>
        <w:rPr>
          <w:b/>
          <w:sz w:val="22"/>
        </w:rPr>
        <w:t>15 a, b</w:t>
      </w:r>
      <w:r>
        <w:rPr>
          <w:sz w:val="22"/>
        </w:rPr>
        <w:t xml:space="preserve"> - Baterka - hliníková svítilna a č. </w:t>
      </w:r>
      <w:r>
        <w:rPr>
          <w:b/>
          <w:sz w:val="22"/>
        </w:rPr>
        <w:t>22 a, b</w:t>
      </w:r>
      <w:r>
        <w:rPr>
          <w:sz w:val="22"/>
        </w:rPr>
        <w:t xml:space="preserve"> - Přívěsek auto s LED světlem dle přílohy </w:t>
      </w:r>
      <w:r>
        <w:rPr>
          <w:i/>
          <w:sz w:val="22"/>
        </w:rPr>
        <w:t>Specifikace předmětu plnění</w:t>
      </w:r>
      <w:r>
        <w:rPr>
          <w:sz w:val="22"/>
        </w:rPr>
        <w:t xml:space="preserve"> této Smlouvy jsou baterie součástí Dodávky.  </w:t>
      </w:r>
    </w:p>
    <w:p>
      <w:pPr>
        <w:pStyle w:val="Odst"/>
        <w:spacing w:line="240" w:lineRule="auto"/>
        <w:rPr>
          <w:sz w:val="22"/>
        </w:rPr>
      </w:pPr>
      <w:r>
        <w:rPr>
          <w:sz w:val="22"/>
        </w:rPr>
        <w:t xml:space="preserve">Objednatel se zavazuje předávat Zhotoviteli včasné, pravdivé a přehledné informace ve vazbě na případné dotazy či požadavky Zhotovitele v průběhu plnění Dodávky. </w:t>
      </w:r>
    </w:p>
    <w:p>
      <w:pPr>
        <w:pStyle w:val="Odst"/>
        <w:spacing w:line="240" w:lineRule="auto"/>
        <w:rPr>
          <w:sz w:val="22"/>
        </w:rPr>
      </w:pPr>
      <w:r>
        <w:rPr>
          <w:sz w:val="22"/>
        </w:rPr>
        <w:t>Objednatel je povinen informovat Zhotovitele o veškerých nových skutečnostech, jež by jakkoli mohly souviset a ovlivnit plnění závazků Zhotovitele a kvalitu jeho plnění.</w:t>
      </w:r>
    </w:p>
    <w:p>
      <w:pPr>
        <w:pStyle w:val="Odst"/>
        <w:spacing w:line="240" w:lineRule="auto"/>
        <w:rPr>
          <w:sz w:val="22"/>
        </w:rPr>
      </w:pPr>
      <w:r>
        <w:rPr>
          <w:sz w:val="22"/>
        </w:rPr>
        <w:t>Pokud v souvislosti s prováděním Dodávky budou využity grafické návrhy, které jsou autorskými díly ve smyslu zákona č. 121/2000 Sb., o právu autorském, o právech souvisejících s právem autorským a o změně některých zákonů (autorský zákon), ve znění pozdějších předpisů, je Zhotovitel povinen získat od jejich autorů veškerá potřebná licenční oprávnění k užití těchto autorských děl způsobem, jenž si vyžaduje plnění předmětu Smlouvy a dále získat časově a teritoriálně neomezena licenční práva umožňující Objednateli šíření rozmnoženin těchto autorských děl prostřednictvím propagačních předmětů, jejichž zhotovení a dodání je předmětem Smlouvy. Zhotovitel se zavazuje vypořádat s autory grafických návrhů veškeré autorské odměny v souvislosti s poskytnutými licencemi k užití těchto autorských děl při plnění Smlouvy a v souvislosti se šířením rozmnoženin těchto autorských děl Objednatelem. Pokud by v budoucnu v důsledku nedodržení této povinnosti Zhotovitelem vznikla Objednateli majetková újma, odpovídá za ní v celém rozsahu Zhotovitel, který se zavazuje takto vzniklou majetkovou újmu Objednateli uhradit.</w:t>
      </w:r>
    </w:p>
    <w:p>
      <w:pPr>
        <w:pStyle w:val="l"/>
        <w:rPr>
          <w:rFonts w:ascii="Arial" w:hAnsi="Arial" w:cs="Arial"/>
          <w:sz w:val="24"/>
        </w:rPr>
      </w:pPr>
      <w:bookmarkStart w:id="7" w:name="_Ref38025370"/>
      <w:bookmarkEnd w:id="5"/>
      <w:bookmarkEnd w:id="6"/>
      <w:r>
        <w:rPr>
          <w:rFonts w:ascii="Arial" w:hAnsi="Arial" w:cs="Arial"/>
          <w:sz w:val="24"/>
        </w:rPr>
        <w:t>VADY DODÁVKY, ZÁRUČNÍ DOBA</w:t>
      </w:r>
      <w:bookmarkEnd w:id="7"/>
    </w:p>
    <w:p>
      <w:pPr>
        <w:pStyle w:val="Odst"/>
        <w:spacing w:line="240" w:lineRule="auto"/>
        <w:rPr>
          <w:sz w:val="22"/>
        </w:rPr>
      </w:pPr>
      <w:r>
        <w:rPr>
          <w:sz w:val="22"/>
        </w:rPr>
        <w:t>Zhotovitel odpovídá Objednateli za stav Dodávky po dobu záruční doby; podmínkou záruky za jakost je dodržení návodu k použití ze strany Objednatele.</w:t>
      </w:r>
    </w:p>
    <w:p>
      <w:pPr>
        <w:pStyle w:val="Odst"/>
        <w:spacing w:line="240" w:lineRule="auto"/>
        <w:rPr>
          <w:sz w:val="22"/>
        </w:rPr>
      </w:pPr>
      <w:r>
        <w:rPr>
          <w:sz w:val="22"/>
        </w:rPr>
        <w:t>Záruční doba za jakost Dodávky činí 24 měsíců ode dne převzetí Dodávky Objednatelem. V případě, že jsou v dodacím listu označeny odpovědnou osobou Objednatele nějaké vady, je Zhotovitel povinen odstranit tyto vady do 14 pracovních dnů od dodání Dodávky. Záruční lhůta začne běžet ve vztahu k jednotlivým kusům propagačních předmětů až po odstranění vad Zhotovitelem a novém převzetí Objednatelem.</w:t>
      </w:r>
    </w:p>
    <w:p>
      <w:pPr>
        <w:pStyle w:val="Odst"/>
        <w:spacing w:line="240" w:lineRule="auto"/>
        <w:rPr>
          <w:sz w:val="22"/>
        </w:rPr>
      </w:pPr>
      <w:r>
        <w:rPr>
          <w:sz w:val="22"/>
        </w:rPr>
        <w:t>Oznámení o vadách může být učiněno jakoukoliv formou včetně telefonické; v tomto případě musí být do 1 pracovního dne následně potvrzené písemnou formou (a to i prostřednictvím e-mailu). Zhotovitel je povinen na svůj náklad odstranit vadu nebo poskytnout náhradní plnění, a to nejpozději do 14 kalendářních dnů od oznámení vady.</w:t>
      </w:r>
    </w:p>
    <w:p>
      <w:pPr>
        <w:pStyle w:val="Odst"/>
        <w:spacing w:line="240" w:lineRule="auto"/>
        <w:rPr>
          <w:sz w:val="22"/>
        </w:rPr>
      </w:pPr>
      <w:r>
        <w:rPr>
          <w:sz w:val="22"/>
        </w:rPr>
        <w:t>Pokud Zhotovitel neodstraní oznámené vady Dodávky, či její části, včas a řádně, má Objednatel právo vady odstranit sám nebo je dát odstranit; v obou případech na náklad Zhotovitele. V případě postupu Objednatel dle věty první zůstávají práva plynoucí ze záruky Objednateli zachována v plném rozsahu. Objednatel písemně vyzve Zhotovitele k úhradě takto vynaložených nákladů na odstranění vad a Zhotovitel se zavazuje uhradit takto vypočtené náklady na účet Objednatele uvedený v záhlaví Smlouvy, a to ve lhůtě 7 kalendářních dnů od doručení písemné výzvy.</w:t>
      </w:r>
    </w:p>
    <w:p>
      <w:pPr>
        <w:pStyle w:val="Odst"/>
        <w:spacing w:line="240" w:lineRule="auto"/>
        <w:rPr>
          <w:sz w:val="22"/>
        </w:rPr>
      </w:pPr>
      <w:r>
        <w:rPr>
          <w:sz w:val="22"/>
        </w:rPr>
        <w:lastRenderedPageBreak/>
        <w:t>Vedle práv stanovených v odst. 7.3 a 7.4 tohoto článku má Objednatel právo uplatňovat i nárok na náhradu případné majetkové újmy vzniklé v důsledku vad dodané Dodávky, či její části.</w:t>
      </w:r>
    </w:p>
    <w:p>
      <w:pPr>
        <w:pStyle w:val="Odst"/>
        <w:spacing w:line="240" w:lineRule="auto"/>
        <w:rPr>
          <w:sz w:val="22"/>
        </w:rPr>
      </w:pPr>
      <w:r>
        <w:rPr>
          <w:sz w:val="22"/>
        </w:rPr>
        <w:t>V případě 3x se opakující vady stejného charakteru u Dodávky, či její části, v záruční době má Objednatel právo vyžadovat výměnu vadné Dodávky, či její části, za bezvadné nebo odstoupit od Smlouvy.</w:t>
      </w:r>
    </w:p>
    <w:p>
      <w:pPr>
        <w:pStyle w:val="Odst"/>
        <w:spacing w:line="240" w:lineRule="auto"/>
        <w:rPr>
          <w:sz w:val="22"/>
        </w:rPr>
      </w:pPr>
      <w:r>
        <w:rPr>
          <w:sz w:val="22"/>
        </w:rPr>
        <w:t>Zhotovitel neodpovídá Objednateli za vady Dodávky vzniklé po jejím předání Objednateli, které byly způsobené mechanickým poškozením, živelnou pohromou, nebo neodborným zásahem ze strany Objednatele nebo třetí osoby.</w:t>
      </w:r>
    </w:p>
    <w:p>
      <w:pPr>
        <w:pStyle w:val="Odst"/>
        <w:spacing w:line="240" w:lineRule="auto"/>
        <w:rPr>
          <w:sz w:val="22"/>
        </w:rPr>
      </w:pPr>
      <w:r>
        <w:rPr>
          <w:sz w:val="22"/>
        </w:rPr>
        <w:t xml:space="preserve">Práva Objednatele z vadného plnění dle § 2099 a násl. OZ zůstávají ustanoveními o záruce za jakost nedotčena. </w:t>
      </w:r>
    </w:p>
    <w:p>
      <w:pPr>
        <w:pStyle w:val="l"/>
        <w:rPr>
          <w:rFonts w:ascii="Arial" w:hAnsi="Arial" w:cs="Arial"/>
          <w:sz w:val="24"/>
        </w:rPr>
      </w:pPr>
      <w:r>
        <w:rPr>
          <w:rFonts w:ascii="Arial" w:hAnsi="Arial" w:cs="Arial"/>
          <w:sz w:val="24"/>
        </w:rPr>
        <w:t>SMLUVNÍ SANKCE</w:t>
      </w:r>
    </w:p>
    <w:p>
      <w:pPr>
        <w:pStyle w:val="Odst"/>
        <w:spacing w:line="240" w:lineRule="auto"/>
        <w:rPr>
          <w:sz w:val="22"/>
        </w:rPr>
      </w:pPr>
      <w:bookmarkStart w:id="8" w:name="_Ref37937834"/>
      <w:r>
        <w:rPr>
          <w:sz w:val="22"/>
        </w:rPr>
        <w:t>V případě prodlení Zhotovitele s předáním Dodávky Objednateli z důvodu vzniklého na straně Zhotovitele, je Zhotovitel povinen zaplatit Objednateli smluvní pokutu ve výši 300 Kč za každý i započatý den prodlení.</w:t>
      </w:r>
    </w:p>
    <w:p>
      <w:pPr>
        <w:pStyle w:val="Odst"/>
        <w:spacing w:line="240" w:lineRule="auto"/>
        <w:rPr>
          <w:sz w:val="22"/>
        </w:rPr>
      </w:pPr>
      <w:r>
        <w:rPr>
          <w:sz w:val="22"/>
        </w:rPr>
        <w:t>V případě prodlení Objednatele se zaplacením faktury, je Objednatel povinen zaplatit Zhotoviteli úrok z prodlení v zákonné výši z dlužné částky za každý i započatý den prodlení.</w:t>
      </w:r>
    </w:p>
    <w:p>
      <w:pPr>
        <w:pStyle w:val="Odst"/>
        <w:spacing w:line="240" w:lineRule="auto"/>
        <w:rPr>
          <w:sz w:val="22"/>
        </w:rPr>
      </w:pPr>
      <w:r>
        <w:rPr>
          <w:sz w:val="22"/>
        </w:rPr>
        <w:t>Při nedodržení lhůty pro odstranění reklamované vady je Zhotovitel povinen zaplatit Objednateli smluvní pokutu ve výši 0,5 % z ceny reklamovaného zboží za každý i započatý den prodlení.</w:t>
      </w:r>
    </w:p>
    <w:p>
      <w:pPr>
        <w:pStyle w:val="Odst"/>
        <w:spacing w:line="240" w:lineRule="auto"/>
        <w:rPr>
          <w:sz w:val="22"/>
        </w:rPr>
      </w:pPr>
      <w:r>
        <w:rPr>
          <w:sz w:val="22"/>
        </w:rPr>
        <w:t xml:space="preserve">Smluvní pokutu nebo úrok z prodlení se povinná smluvní Strana zavazuje uhradit do 14 kalendářních dnů ode dne, kdy jí bude prokazatelně doručena písemná výzva k úhradě oprávněnou smluvní Stranou. </w:t>
      </w:r>
    </w:p>
    <w:bookmarkEnd w:id="8"/>
    <w:p>
      <w:pPr>
        <w:pStyle w:val="l"/>
        <w:rPr>
          <w:rFonts w:ascii="Arial" w:hAnsi="Arial" w:cs="Arial"/>
          <w:sz w:val="24"/>
        </w:rPr>
      </w:pPr>
      <w:r>
        <w:rPr>
          <w:rFonts w:ascii="Arial" w:hAnsi="Arial" w:cs="Arial"/>
          <w:sz w:val="24"/>
        </w:rPr>
        <w:t>ZÁVĚREČNÁ USTANOVENÍ</w:t>
      </w:r>
    </w:p>
    <w:p>
      <w:pPr>
        <w:pStyle w:val="Odst"/>
        <w:spacing w:line="240" w:lineRule="auto"/>
        <w:rPr>
          <w:sz w:val="22"/>
        </w:rPr>
      </w:pPr>
      <w:r>
        <w:rPr>
          <w:sz w:val="22"/>
        </w:rPr>
        <w:t>Každá ze smluvních Stran má právo od Smlouvy odstoupit za podmínek uvedených v OZ.</w:t>
      </w:r>
    </w:p>
    <w:p>
      <w:pPr>
        <w:pStyle w:val="Odst"/>
        <w:spacing w:line="240" w:lineRule="auto"/>
        <w:rPr>
          <w:sz w:val="22"/>
        </w:rPr>
      </w:pPr>
      <w:r>
        <w:rPr>
          <w:sz w:val="22"/>
        </w:rPr>
        <w:t>Účastníky bylo výslovně ujednáno, že vzájemné vztahy a právní vztahy Smlouvou neupravené se řídí obecně závaznými Právními předpisy.</w:t>
      </w:r>
    </w:p>
    <w:p>
      <w:pPr>
        <w:pStyle w:val="Odst"/>
        <w:spacing w:line="240" w:lineRule="auto"/>
        <w:rPr>
          <w:sz w:val="22"/>
        </w:rPr>
      </w:pPr>
      <w:r>
        <w:rPr>
          <w:sz w:val="22"/>
        </w:rPr>
        <w:t>Smlouvu lze měnit pouze vzestupně očíslovanými písemnými dodatky podepsanými statutárními zástupci obou smluvních stran.</w:t>
      </w:r>
    </w:p>
    <w:p>
      <w:pPr>
        <w:pStyle w:val="Odst"/>
        <w:spacing w:line="240" w:lineRule="auto"/>
        <w:rPr>
          <w:sz w:val="22"/>
        </w:rPr>
      </w:pPr>
      <w:r>
        <w:rPr>
          <w:sz w:val="22"/>
        </w:rPr>
        <w:t>Strany souhlasí s uveřejněním Smlouvy v souladu se ZRS. Strany nepovažují obsah Smlouvy za obchodní tajemství. Uveřejnění Smlouvy zajistí Objednatel.</w:t>
      </w:r>
    </w:p>
    <w:p>
      <w:pPr>
        <w:pStyle w:val="Odst"/>
        <w:spacing w:line="240" w:lineRule="auto"/>
        <w:rPr>
          <w:sz w:val="22"/>
        </w:rPr>
      </w:pPr>
      <w:r>
        <w:rPr>
          <w:sz w:val="22"/>
        </w:rPr>
        <w:t xml:space="preserve">Smlouva je uzavřena dnem připojení Elektronického podpisu poslední Strany k tomuto dokumentu a nabývá účinnost dnem uveřejnění Smlouvy v souladu se ZRS. </w:t>
      </w:r>
    </w:p>
    <w:p>
      <w:pPr>
        <w:pStyle w:val="Odst"/>
        <w:spacing w:line="240" w:lineRule="auto"/>
        <w:rPr>
          <w:sz w:val="22"/>
        </w:rPr>
      </w:pPr>
      <w:r>
        <w:rPr>
          <w:sz w:val="22"/>
        </w:rPr>
        <w:t xml:space="preserve">Uzavřením této Smlouvy každá Strana předává druhé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 13 nařízení Evropského parlamentu </w:t>
      </w:r>
      <w:r>
        <w:rPr>
          <w:sz w:val="22"/>
        </w:rPr>
        <w:lastRenderedPageBreak/>
        <w:t>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Vzor prohlášení o informování je ke stažení na webových stránkách: www.sfdi.cz/</w:t>
      </w:r>
      <w:proofErr w:type="spellStart"/>
      <w:r>
        <w:rPr>
          <w:sz w:val="22"/>
        </w:rPr>
        <w:t>gdpr</w:t>
      </w:r>
      <w:proofErr w:type="spellEnd"/>
      <w:r>
        <w:rPr>
          <w:sz w:val="22"/>
        </w:rPr>
        <w:t xml:space="preserve">. </w:t>
      </w:r>
    </w:p>
    <w:p>
      <w:pPr>
        <w:pStyle w:val="Odst"/>
        <w:spacing w:line="240" w:lineRule="auto"/>
        <w:rPr>
          <w:sz w:val="22"/>
        </w:rPr>
      </w:pPr>
      <w:r>
        <w:rPr>
          <w:sz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služeb hrazených z veřejných výdajů.</w:t>
      </w:r>
    </w:p>
    <w:p>
      <w:pPr>
        <w:pStyle w:val="Odst"/>
        <w:spacing w:line="240" w:lineRule="auto"/>
        <w:rPr>
          <w:sz w:val="22"/>
        </w:rPr>
      </w:pPr>
      <w:r>
        <w:rPr>
          <w:sz w:val="22"/>
        </w:rPr>
        <w:t>Účastníci Smlouvy prohlašují, že Smlouva vyjadřuje jejich svobodnou, vážnou, určitou a srozumitelnou vůli prostou omylu a tísně. Strany si Smlouvu přečetly, s jejím obsahem souhlasí, což stvrzují Elektronickými podpisy.</w:t>
      </w:r>
    </w:p>
    <w:p>
      <w:pPr>
        <w:pStyle w:val="Odst"/>
        <w:spacing w:line="240" w:lineRule="auto"/>
        <w:rPr>
          <w:sz w:val="22"/>
        </w:rPr>
      </w:pPr>
      <w:r>
        <w:rPr>
          <w:sz w:val="22"/>
        </w:rPr>
        <w:t>Smlouva byla vyhotovena a podepsána v elektronické podobě a každá Strana obdržela její elektronický originál.</w:t>
      </w:r>
    </w:p>
    <w:p>
      <w:pPr>
        <w:pStyle w:val="Odst"/>
        <w:spacing w:line="240" w:lineRule="auto"/>
        <w:rPr>
          <w:sz w:val="22"/>
        </w:rPr>
      </w:pPr>
      <w:r>
        <w:rPr>
          <w:sz w:val="22"/>
        </w:rPr>
        <w:t>Nedílnou součástí Smlouvy jsou následující přílohy:</w:t>
      </w:r>
    </w:p>
    <w:p>
      <w:pPr>
        <w:pStyle w:val="Odst"/>
        <w:numPr>
          <w:ilvl w:val="0"/>
          <w:numId w:val="0"/>
        </w:numPr>
        <w:spacing w:line="240" w:lineRule="auto"/>
        <w:ind w:left="567"/>
        <w:rPr>
          <w:sz w:val="22"/>
        </w:rPr>
      </w:pPr>
      <w:r>
        <w:rPr>
          <w:sz w:val="22"/>
        </w:rPr>
        <w:t xml:space="preserve">příloha </w:t>
      </w:r>
      <w:r>
        <w:rPr>
          <w:i/>
          <w:sz w:val="22"/>
        </w:rPr>
        <w:t>Specifikace předmětu plnění</w:t>
      </w:r>
    </w:p>
    <w:p>
      <w:pPr>
        <w:pStyle w:val="Odst"/>
        <w:numPr>
          <w:ilvl w:val="0"/>
          <w:numId w:val="0"/>
        </w:numPr>
        <w:spacing w:line="240" w:lineRule="auto"/>
        <w:ind w:left="567"/>
        <w:rPr>
          <w:sz w:val="22"/>
        </w:rPr>
      </w:pPr>
      <w:r>
        <w:rPr>
          <w:sz w:val="22"/>
        </w:rPr>
        <w:t>příloha</w:t>
      </w:r>
      <w:r>
        <w:rPr>
          <w:i/>
          <w:sz w:val="22"/>
        </w:rPr>
        <w:t xml:space="preserve"> Seznam log </w:t>
      </w:r>
    </w:p>
    <w:p>
      <w:pPr>
        <w:pStyle w:val="Odst"/>
        <w:numPr>
          <w:ilvl w:val="0"/>
          <w:numId w:val="0"/>
        </w:numPr>
        <w:ind w:left="567"/>
        <w:rPr>
          <w:sz w:val="22"/>
        </w:rPr>
      </w:pPr>
    </w:p>
    <w:p>
      <w:pPr>
        <w:pStyle w:val="Odst"/>
        <w:numPr>
          <w:ilvl w:val="0"/>
          <w:numId w:val="0"/>
        </w:numPr>
        <w:ind w:left="567"/>
        <w:rPr>
          <w:sz w:val="22"/>
        </w:rPr>
      </w:pPr>
    </w:p>
    <w:p>
      <w:pPr>
        <w:pStyle w:val="Odst"/>
        <w:numPr>
          <w:ilvl w:val="0"/>
          <w:numId w:val="0"/>
        </w:numPr>
        <w:ind w:left="567"/>
        <w:rPr>
          <w:sz w:val="22"/>
        </w:rPr>
      </w:pPr>
    </w:p>
    <w:p>
      <w:pPr>
        <w:pStyle w:val="Odst"/>
        <w:numPr>
          <w:ilvl w:val="0"/>
          <w:numId w:val="0"/>
        </w:numPr>
        <w:ind w:left="567"/>
        <w:rPr>
          <w:sz w:val="22"/>
        </w:rPr>
      </w:pPr>
    </w:p>
    <w:p>
      <w:pPr>
        <w:pStyle w:val="Odst"/>
        <w:numPr>
          <w:ilvl w:val="0"/>
          <w:numId w:val="0"/>
        </w:numPr>
        <w:ind w:left="567"/>
        <w:rPr>
          <w:sz w:val="22"/>
        </w:rPr>
      </w:pPr>
    </w:p>
    <w:p>
      <w:pPr>
        <w:rPr>
          <w:sz w:val="22"/>
        </w:rPr>
      </w:pPr>
    </w:p>
    <w:tbl>
      <w:tblPr>
        <w:tblW w:w="9072" w:type="dxa"/>
        <w:tblCellMar>
          <w:left w:w="0" w:type="dxa"/>
          <w:right w:w="0" w:type="dxa"/>
        </w:tblCellMar>
        <w:tblLook w:val="04A0" w:firstRow="1" w:lastRow="0" w:firstColumn="1" w:lastColumn="0" w:noHBand="0" w:noVBand="1"/>
      </w:tblPr>
      <w:tblGrid>
        <w:gridCol w:w="3969"/>
        <w:gridCol w:w="1134"/>
        <w:gridCol w:w="3969"/>
      </w:tblGrid>
      <w:tr>
        <w:trPr>
          <w:trHeight w:val="454"/>
        </w:trPr>
        <w:tc>
          <w:tcPr>
            <w:tcW w:w="3969" w:type="dxa"/>
          </w:tcPr>
          <w:p>
            <w:pPr>
              <w:keepNext/>
              <w:rPr>
                <w:b/>
                <w:bCs/>
                <w:sz w:val="22"/>
              </w:rPr>
            </w:pPr>
            <w:r>
              <w:rPr>
                <w:b/>
                <w:bCs/>
                <w:sz w:val="22"/>
              </w:rPr>
              <w:t>Za Objednatele:</w:t>
            </w:r>
          </w:p>
        </w:tc>
        <w:tc>
          <w:tcPr>
            <w:tcW w:w="1134" w:type="dxa"/>
          </w:tcPr>
          <w:p>
            <w:pPr>
              <w:keepNext/>
              <w:rPr>
                <w:b/>
                <w:bCs/>
                <w:sz w:val="22"/>
              </w:rPr>
            </w:pPr>
          </w:p>
        </w:tc>
        <w:tc>
          <w:tcPr>
            <w:tcW w:w="3969" w:type="dxa"/>
          </w:tcPr>
          <w:p>
            <w:pPr>
              <w:keepNext/>
              <w:rPr>
                <w:b/>
                <w:bCs/>
                <w:sz w:val="22"/>
              </w:rPr>
            </w:pPr>
            <w:r>
              <w:rPr>
                <w:b/>
                <w:bCs/>
                <w:sz w:val="22"/>
              </w:rPr>
              <w:t>Za Zhotovitele:</w:t>
            </w:r>
          </w:p>
        </w:tc>
      </w:tr>
      <w:tr>
        <w:trPr>
          <w:trHeight w:val="907"/>
        </w:trPr>
        <w:tc>
          <w:tcPr>
            <w:tcW w:w="3969" w:type="dxa"/>
          </w:tcPr>
          <w:p>
            <w:pPr>
              <w:keepNext/>
              <w:rPr>
                <w:sz w:val="22"/>
              </w:rPr>
            </w:pPr>
          </w:p>
        </w:tc>
        <w:tc>
          <w:tcPr>
            <w:tcW w:w="1134" w:type="dxa"/>
          </w:tcPr>
          <w:p>
            <w:pPr>
              <w:keepNext/>
              <w:rPr>
                <w:sz w:val="22"/>
              </w:rPr>
            </w:pPr>
          </w:p>
        </w:tc>
        <w:tc>
          <w:tcPr>
            <w:tcW w:w="3969" w:type="dxa"/>
          </w:tcPr>
          <w:p>
            <w:pPr>
              <w:keepNext/>
              <w:rPr>
                <w:sz w:val="22"/>
              </w:rPr>
            </w:pPr>
          </w:p>
        </w:tc>
      </w:tr>
      <w:tr>
        <w:trPr>
          <w:trHeight w:val="454"/>
        </w:trPr>
        <w:tc>
          <w:tcPr>
            <w:tcW w:w="3969" w:type="dxa"/>
          </w:tcPr>
          <w:p>
            <w:pPr>
              <w:keepNext/>
              <w:rPr>
                <w:sz w:val="22"/>
                <w:highlight w:val="green"/>
              </w:rPr>
            </w:pPr>
            <w:r>
              <w:rPr>
                <w:rFonts w:cs="Arial"/>
                <w:b/>
                <w:sz w:val="22"/>
              </w:rPr>
              <w:t>Ing. Zbyněk Hořelica</w:t>
            </w:r>
          </w:p>
        </w:tc>
        <w:tc>
          <w:tcPr>
            <w:tcW w:w="1134" w:type="dxa"/>
          </w:tcPr>
          <w:p>
            <w:pPr>
              <w:keepNext/>
              <w:rPr>
                <w:b/>
                <w:sz w:val="22"/>
              </w:rPr>
            </w:pPr>
          </w:p>
        </w:tc>
        <w:tc>
          <w:tcPr>
            <w:tcW w:w="3969" w:type="dxa"/>
          </w:tcPr>
          <w:p>
            <w:pPr>
              <w:keepNext/>
              <w:rPr>
                <w:b/>
                <w:sz w:val="22"/>
              </w:rPr>
            </w:pPr>
            <w:r>
              <w:rPr>
                <w:b/>
                <w:sz w:val="22"/>
              </w:rPr>
              <w:t>Marek Pivka</w:t>
            </w:r>
          </w:p>
        </w:tc>
      </w:tr>
      <w:tr>
        <w:trPr>
          <w:trHeight w:val="454"/>
        </w:trPr>
        <w:tc>
          <w:tcPr>
            <w:tcW w:w="3969" w:type="dxa"/>
          </w:tcPr>
          <w:p>
            <w:pPr>
              <w:keepNext/>
              <w:rPr>
                <w:sz w:val="22"/>
                <w:highlight w:val="green"/>
              </w:rPr>
            </w:pPr>
            <w:r>
              <w:rPr>
                <w:rFonts w:cs="Arial"/>
                <w:sz w:val="22"/>
              </w:rPr>
              <w:t>ředitel</w:t>
            </w:r>
          </w:p>
        </w:tc>
        <w:tc>
          <w:tcPr>
            <w:tcW w:w="1134" w:type="dxa"/>
          </w:tcPr>
          <w:p>
            <w:pPr>
              <w:keepNext/>
              <w:rPr>
                <w:sz w:val="22"/>
              </w:rPr>
            </w:pPr>
          </w:p>
        </w:tc>
        <w:tc>
          <w:tcPr>
            <w:tcW w:w="3969" w:type="dxa"/>
          </w:tcPr>
          <w:p>
            <w:pPr>
              <w:keepNext/>
              <w:rPr>
                <w:sz w:val="22"/>
              </w:rPr>
            </w:pPr>
            <w:r>
              <w:rPr>
                <w:sz w:val="22"/>
              </w:rPr>
              <w:t>jednatel</w:t>
            </w:r>
          </w:p>
        </w:tc>
      </w:tr>
      <w:tr>
        <w:trPr>
          <w:trHeight w:val="454"/>
        </w:trPr>
        <w:tc>
          <w:tcPr>
            <w:tcW w:w="3969" w:type="dxa"/>
          </w:tcPr>
          <w:p>
            <w:pPr>
              <w:keepNext/>
              <w:rPr>
                <w:b/>
                <w:bCs/>
                <w:sz w:val="22"/>
                <w:highlight w:val="green"/>
              </w:rPr>
            </w:pPr>
            <w:r>
              <w:rPr>
                <w:b/>
                <w:bCs/>
                <w:sz w:val="22"/>
              </w:rPr>
              <w:t>Státní fond dopravní infrastruktury</w:t>
            </w:r>
          </w:p>
        </w:tc>
        <w:tc>
          <w:tcPr>
            <w:tcW w:w="1134" w:type="dxa"/>
          </w:tcPr>
          <w:p>
            <w:pPr>
              <w:keepNext/>
              <w:rPr>
                <w:b/>
                <w:bCs/>
                <w:sz w:val="22"/>
              </w:rPr>
            </w:pPr>
          </w:p>
        </w:tc>
        <w:tc>
          <w:tcPr>
            <w:tcW w:w="3969" w:type="dxa"/>
          </w:tcPr>
          <w:p>
            <w:pPr>
              <w:keepNext/>
              <w:rPr>
                <w:b/>
                <w:bCs/>
                <w:sz w:val="22"/>
              </w:rPr>
            </w:pPr>
            <w:r>
              <w:rPr>
                <w:b/>
                <w:bCs/>
                <w:sz w:val="22"/>
              </w:rPr>
              <w:t>REKLAMA CENTRUM, spol. s r.o.</w:t>
            </w:r>
          </w:p>
        </w:tc>
      </w:tr>
    </w:tbl>
    <w:p>
      <w:pPr>
        <w:rPr>
          <w:sz w:val="22"/>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322"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A03ECA" w15:done="0"/>
  <w15:commentEx w15:paraId="3CC75004" w15:paraIdParent="3DA03ECA" w15:done="0"/>
  <w15:commentEx w15:paraId="3DA03ECB" w15:done="0"/>
  <w15:commentEx w15:paraId="0FCB8A26" w15:paraIdParent="3DA03ECB" w15:done="0"/>
  <w15:commentEx w15:paraId="5853A525" w15:done="0"/>
  <w15:commentEx w15:paraId="1BF34F17" w15:paraIdParent="5853A525" w15:done="0"/>
  <w15:commentEx w15:paraId="602DE63E" w15:done="0"/>
  <w15:commentEx w15:paraId="3DA03ED0" w15:done="0"/>
  <w15:commentEx w15:paraId="497F4415" w15:paraIdParent="3DA03ED0" w15:done="0"/>
  <w15:commentEx w15:paraId="3DA03ED3" w15:done="0"/>
  <w15:commentEx w15:paraId="3712231D" w15:paraIdParent="3DA03ED3" w15:done="0"/>
  <w15:commentEx w15:paraId="3DA03ED4" w15:done="0"/>
  <w15:commentEx w15:paraId="28FE691B" w15:paraIdParent="3DA03ED4" w15:done="0"/>
  <w15:commentEx w15:paraId="3DA03ED5" w15:done="0"/>
  <w15:commentEx w15:paraId="3DA03ED6" w15:done="0"/>
  <w15:commentEx w15:paraId="01441B04" w15:paraIdParent="3DA03ED6" w15:done="0"/>
  <w15:commentEx w15:paraId="3DA03ED7" w15:done="0"/>
  <w15:commentEx w15:paraId="3DA03EDC" w15:done="0"/>
  <w15:commentEx w15:paraId="3DA03EDD" w15:done="0"/>
  <w15:commentEx w15:paraId="3DA03EDE" w15:done="0"/>
  <w15:commentEx w15:paraId="7AFC4278" w15:paraIdParent="3DA03EDE" w15:done="0"/>
  <w15:commentEx w15:paraId="3DA03EF3" w15:done="0"/>
  <w15:commentEx w15:paraId="3DA03EF4" w15:done="0"/>
  <w15:commentEx w15:paraId="3DA03EF5" w15:done="0"/>
  <w15:commentEx w15:paraId="7C80B022" w15:paraIdParent="3DA03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2A75" w16cex:dateUtc="2020-07-02T07:42:00Z"/>
  <w16cex:commentExtensible w16cex:durableId="22A82B9B" w16cex:dateUtc="2020-07-02T07:47:00Z"/>
  <w16cex:commentExtensible w16cex:durableId="22A818E5" w16cex:dateUtc="2020-07-02T06:27:00Z"/>
  <w16cex:commentExtensible w16cex:durableId="22A81A6E" w16cex:dateUtc="2020-07-02T06:33:00Z"/>
  <w16cex:commentExtensible w16cex:durableId="22A82F35" w16cex:dateUtc="2020-07-02T08:02:00Z"/>
  <w16cex:commentExtensible w16cex:durableId="22A82FF5" w16cex:dateUtc="2020-07-02T08:05:00Z"/>
  <w16cex:commentExtensible w16cex:durableId="22A8314D" w16cex:dateUtc="2020-07-02T08:11:00Z"/>
  <w16cex:commentExtensible w16cex:durableId="22A81E65" w16cex:dateUtc="2020-07-02T06:50:00Z"/>
  <w16cex:commentExtensible w16cex:durableId="22A82580" w16cex:dateUtc="2020-07-02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A03ECA" w16cid:durableId="22A6DBC5"/>
  <w16cid:commentId w16cid:paraId="3CC75004" w16cid:durableId="22A82A75"/>
  <w16cid:commentId w16cid:paraId="3DA03ECB" w16cid:durableId="22A6DBC6"/>
  <w16cid:commentId w16cid:paraId="0FCB8A26" w16cid:durableId="22A82B9B"/>
  <w16cid:commentId w16cid:paraId="5853A525" w16cid:durableId="22A6DBC7"/>
  <w16cid:commentId w16cid:paraId="1BF34F17" w16cid:durableId="22A818E5"/>
  <w16cid:commentId w16cid:paraId="602DE63E" w16cid:durableId="22A6DBC8"/>
  <w16cid:commentId w16cid:paraId="3DA03ED0" w16cid:durableId="22A6DBCA"/>
  <w16cid:commentId w16cid:paraId="497F4415" w16cid:durableId="22A81A6E"/>
  <w16cid:commentId w16cid:paraId="3DA03ED3" w16cid:durableId="22A6DBCB"/>
  <w16cid:commentId w16cid:paraId="3712231D" w16cid:durableId="22A82F35"/>
  <w16cid:commentId w16cid:paraId="3DA03ED4" w16cid:durableId="22A6DBCC"/>
  <w16cid:commentId w16cid:paraId="28FE691B" w16cid:durableId="22A82FF5"/>
  <w16cid:commentId w16cid:paraId="3DA03ED5" w16cid:durableId="22A6DBCD"/>
  <w16cid:commentId w16cid:paraId="3DA03ED6" w16cid:durableId="22A6DBCE"/>
  <w16cid:commentId w16cid:paraId="01441B04" w16cid:durableId="22A8314D"/>
  <w16cid:commentId w16cid:paraId="3DA03ED7" w16cid:durableId="22A6DBCF"/>
  <w16cid:commentId w16cid:paraId="3DA03EDC" w16cid:durableId="22A6DBD0"/>
  <w16cid:commentId w16cid:paraId="3DA03EDD" w16cid:durableId="22A6DBD1"/>
  <w16cid:commentId w16cid:paraId="3DA03EDE" w16cid:durableId="22A6DBD2"/>
  <w16cid:commentId w16cid:paraId="7AFC4278" w16cid:durableId="22A81E65"/>
  <w16cid:commentId w16cid:paraId="3DA03EF3" w16cid:durableId="22A6DBDD"/>
  <w16cid:commentId w16cid:paraId="3DA03EF4" w16cid:durableId="22A6DBDE"/>
  <w16cid:commentId w16cid:paraId="3DA03EF5" w16cid:durableId="22A6DBDF"/>
  <w16cid:commentId w16cid:paraId="7C80B022" w16cid:durableId="22A82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929377"/>
      <w:docPartObj>
        <w:docPartGallery w:val="Page Numbers (Bottom of Page)"/>
        <w:docPartUnique/>
      </w:docPartObj>
    </w:sdtPr>
    <w:sdtContent>
      <w:p>
        <w:pPr>
          <w:pStyle w:val="Zpat"/>
          <w:jc w:val="right"/>
        </w:pPr>
        <w:r>
          <w:fldChar w:fldCharType="begin"/>
        </w:r>
        <w:r>
          <w:instrText>PAGE   \* MERGEFORMAT</w:instrText>
        </w:r>
        <w:r>
          <w:fldChar w:fldCharType="separate"/>
        </w:r>
        <w:r>
          <w:rPr>
            <w:noProof/>
          </w:rPr>
          <w:t>7</w:t>
        </w:r>
        <w:r>
          <w:fldChar w:fldCharType="end"/>
        </w:r>
      </w:p>
    </w:sdtContent>
  </w:sdt>
  <w:p>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424342"/>
      <w:docPartObj>
        <w:docPartGallery w:val="Page Numbers (Bottom of Page)"/>
        <w:docPartUnique/>
      </w:docPartObj>
    </w:sdtPr>
    <w:sdtContent>
      <w:sdt>
        <w:sdtPr>
          <w:id w:val="-515764823"/>
          <w:docPartObj>
            <w:docPartGallery w:val="Page Numbers (Top of Page)"/>
            <w:docPartUnique/>
          </w:docPartObj>
        </w:sdtPr>
        <w:sdtContent>
          <w:p>
            <w:pPr>
              <w:pStyle w:val="Zpat"/>
            </w:pPr>
            <w:r>
              <w:tab/>
              <w:t xml:space="preserve">Strana </w:t>
            </w:r>
            <w:r>
              <w:fldChar w:fldCharType="begin"/>
            </w:r>
            <w:r>
              <w:instrText>PAGE</w:instrText>
            </w:r>
            <w:r>
              <w:fldChar w:fldCharType="separate"/>
            </w:r>
            <w:r>
              <w:rPr>
                <w:noProof/>
              </w:rPr>
              <w:t>1</w:t>
            </w:r>
            <w:r>
              <w:fldChar w:fldCharType="end"/>
            </w:r>
            <w: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Textpoznpodarou"/>
        <w:rPr>
          <w:sz w:val="22"/>
        </w:rPr>
      </w:pPr>
      <w:r>
        <w:rPr>
          <w:rStyle w:val="Znakapoznpodarou"/>
          <w:rFonts w:cs="Arial"/>
          <w:sz w:val="16"/>
          <w:szCs w:val="16"/>
        </w:rPr>
        <w:footnoteRef/>
      </w:r>
      <w:r>
        <w:rPr>
          <w:rFonts w:ascii="Arial" w:hAnsi="Arial" w:cs="Arial"/>
          <w:sz w:val="16"/>
          <w:szCs w:val="16"/>
        </w:rPr>
        <w:t xml:space="preserve"> Např. vyhláška Ministerstva zdravotnictví č. 38/2001 Sb., o hygienických požadavcích na výrobky určené pro styk s potravinami a pokrmy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r>
      <w:rPr>
        <w:noProof/>
        <w:lang w:eastAsia="cs-CZ"/>
      </w:rPr>
      <w:drawing>
        <wp:inline distT="0" distB="0" distL="0" distR="0">
          <wp:extent cx="5755005" cy="9207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9207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2B33"/>
    <w:multiLevelType w:val="hybridMultilevel"/>
    <w:tmpl w:val="F9F264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nsid w:val="1AC47E03"/>
    <w:multiLevelType w:val="hybridMultilevel"/>
    <w:tmpl w:val="1DB6595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nsid w:val="28161B96"/>
    <w:multiLevelType w:val="multilevel"/>
    <w:tmpl w:val="D0366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6406673"/>
    <w:multiLevelType w:val="multilevel"/>
    <w:tmpl w:val="C72A500A"/>
    <w:lvl w:ilvl="0">
      <w:start w:val="2"/>
      <w:numFmt w:val="decimal"/>
      <w:lvlText w:val="%1"/>
      <w:lvlJc w:val="left"/>
      <w:pPr>
        <w:ind w:left="360" w:hanging="360"/>
      </w:pPr>
      <w:rPr>
        <w:rFonts w:hint="default"/>
      </w:rPr>
    </w:lvl>
    <w:lvl w:ilvl="1">
      <w:start w:val="1"/>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F51EA7"/>
    <w:multiLevelType w:val="multilevel"/>
    <w:tmpl w:val="8A9879E6"/>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nsid w:val="3A687452"/>
    <w:multiLevelType w:val="multilevel"/>
    <w:tmpl w:val="530E9032"/>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536A38"/>
    <w:multiLevelType w:val="multilevel"/>
    <w:tmpl w:val="83F006FE"/>
    <w:lvl w:ilvl="0">
      <w:start w:val="1"/>
      <w:numFmt w:val="decimal"/>
      <w:lvlText w:val="%1."/>
      <w:lvlJc w:val="right"/>
      <w:pPr>
        <w:ind w:left="284" w:hanging="284"/>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A3C7067"/>
    <w:multiLevelType w:val="multilevel"/>
    <w:tmpl w:val="46E647AC"/>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2"/>
  </w:num>
  <w:num w:numId="3">
    <w:abstractNumId w:val="6"/>
  </w:num>
  <w:num w:numId="4">
    <w:abstractNumId w:val="7"/>
  </w:num>
  <w:num w:numId="5">
    <w:abstractNumId w:val="4"/>
  </w:num>
  <w:num w:numId="6">
    <w:abstractNumId w:val="7"/>
  </w:num>
  <w:num w:numId="7">
    <w:abstractNumId w:val="5"/>
  </w:num>
  <w:num w:numId="8">
    <w:abstractNumId w:val="3"/>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1"/>
  </w:num>
  <w:num w:numId="50">
    <w:abstractNumId w:val="7"/>
  </w:num>
  <w:num w:numId="51">
    <w:abstractNumId w:val="7"/>
  </w:num>
  <w:num w:numId="52">
    <w:abstractNumId w:val="0"/>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lip Svoboda">
    <w15:presenceInfo w15:providerId="Windows Live" w15:userId="bb275fd3b74f63bc"/>
  </w15:person>
  <w15:person w15:author="petra.grabmullerova">
    <w15:presenceInfo w15:providerId="AD" w15:userId="S::petra.grabmullerova_sfdi.cz#ext#@4econsult.onmicrosoft.com::434b809c-2f20-421a-a0b0-aab0c0356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formsDesig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4"/>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4"/>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4"/>
      </w:numPr>
      <w:jc w:val="both"/>
    </w:pPr>
    <w:rPr>
      <w:szCs w:val="20"/>
    </w:rPr>
  </w:style>
  <w:style w:type="character" w:customStyle="1" w:styleId="PsmChar">
    <w:name w:val="Písm. Char"/>
    <w:basedOn w:val="Standardnpsmoodstavce"/>
    <w:link w:val="Psm"/>
    <w:uiPriority w:val="5"/>
    <w:rPr>
      <w:rFonts w:ascii="Arial" w:hAnsi="Arial"/>
      <w:sz w:val="20"/>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4"/>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UnresolvedMention">
    <w:name w:val="Unresolved Mention"/>
    <w:basedOn w:val="Standardnpsmoodstavce"/>
    <w:uiPriority w:val="99"/>
    <w:semiHidden/>
    <w:unhideWhenUsed/>
    <w:rPr>
      <w:color w:val="605E5C"/>
      <w:shd w:val="clear" w:color="auto" w:fill="E1DFDD"/>
    </w:rPr>
  </w:style>
  <w:style w:type="paragraph" w:styleId="Bezmezer">
    <w:name w:val="No Spacing"/>
    <w:link w:val="BezmezerChar"/>
    <w:uiPriority w:val="1"/>
    <w:qFormat/>
    <w:pPr>
      <w:spacing w:after="0" w:line="240" w:lineRule="auto"/>
    </w:pPr>
    <w:rPr>
      <w:rFonts w:ascii="Arial" w:eastAsia="Times New Roman" w:hAnsi="Arial" w:cs="Times New Roman"/>
      <w:szCs w:val="24"/>
      <w:lang w:eastAsia="cs-CZ"/>
    </w:rPr>
  </w:style>
  <w:style w:type="character" w:customStyle="1" w:styleId="BezmezerChar">
    <w:name w:val="Bez mezer Char"/>
    <w:link w:val="Bezmezer"/>
    <w:uiPriority w:val="1"/>
    <w:rPr>
      <w:rFonts w:ascii="Arial" w:eastAsia="Times New Roman" w:hAnsi="Arial" w:cs="Times New Roman"/>
      <w:szCs w:val="24"/>
      <w:lang w:eastAsia="cs-CZ"/>
    </w:rPr>
  </w:style>
  <w:style w:type="paragraph" w:customStyle="1" w:styleId="Nadpis1IMP">
    <w:name w:val="Nadpis 1_IMP"/>
    <w:basedOn w:val="Normln"/>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basedOn w:val="Normln"/>
    <w:uiPriority w:val="99"/>
    <w:pPr>
      <w:ind w:left="720"/>
      <w:contextualSpacing/>
    </w:pPr>
  </w:style>
  <w:style w:type="paragraph" w:styleId="Textpoznpodarou">
    <w:name w:val="footnote text"/>
    <w:basedOn w:val="Normln"/>
    <w:link w:val="TextpoznpodarouChar"/>
    <w:uiPriority w:val="99"/>
    <w:semiHidden/>
    <w:unhideWhenUsed/>
    <w:pPr>
      <w:spacing w:after="0" w:line="240" w:lineRule="auto"/>
      <w:ind w:left="431" w:hanging="431"/>
      <w:jc w:val="both"/>
    </w:pPr>
    <w:rPr>
      <w:rFonts w:ascii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4"/>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4"/>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4"/>
      </w:numPr>
      <w:jc w:val="both"/>
    </w:pPr>
    <w:rPr>
      <w:szCs w:val="20"/>
    </w:rPr>
  </w:style>
  <w:style w:type="character" w:customStyle="1" w:styleId="PsmChar">
    <w:name w:val="Písm. Char"/>
    <w:basedOn w:val="Standardnpsmoodstavce"/>
    <w:link w:val="Psm"/>
    <w:uiPriority w:val="5"/>
    <w:rPr>
      <w:rFonts w:ascii="Arial" w:hAnsi="Arial"/>
      <w:sz w:val="20"/>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4"/>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UnresolvedMention">
    <w:name w:val="Unresolved Mention"/>
    <w:basedOn w:val="Standardnpsmoodstavce"/>
    <w:uiPriority w:val="99"/>
    <w:semiHidden/>
    <w:unhideWhenUsed/>
    <w:rPr>
      <w:color w:val="605E5C"/>
      <w:shd w:val="clear" w:color="auto" w:fill="E1DFDD"/>
    </w:rPr>
  </w:style>
  <w:style w:type="paragraph" w:styleId="Bezmezer">
    <w:name w:val="No Spacing"/>
    <w:link w:val="BezmezerChar"/>
    <w:uiPriority w:val="1"/>
    <w:qFormat/>
    <w:pPr>
      <w:spacing w:after="0" w:line="240" w:lineRule="auto"/>
    </w:pPr>
    <w:rPr>
      <w:rFonts w:ascii="Arial" w:eastAsia="Times New Roman" w:hAnsi="Arial" w:cs="Times New Roman"/>
      <w:szCs w:val="24"/>
      <w:lang w:eastAsia="cs-CZ"/>
    </w:rPr>
  </w:style>
  <w:style w:type="character" w:customStyle="1" w:styleId="BezmezerChar">
    <w:name w:val="Bez mezer Char"/>
    <w:link w:val="Bezmezer"/>
    <w:uiPriority w:val="1"/>
    <w:rPr>
      <w:rFonts w:ascii="Arial" w:eastAsia="Times New Roman" w:hAnsi="Arial" w:cs="Times New Roman"/>
      <w:szCs w:val="24"/>
      <w:lang w:eastAsia="cs-CZ"/>
    </w:rPr>
  </w:style>
  <w:style w:type="paragraph" w:customStyle="1" w:styleId="Nadpis1IMP">
    <w:name w:val="Nadpis 1_IMP"/>
    <w:basedOn w:val="Normln"/>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basedOn w:val="Normln"/>
    <w:uiPriority w:val="99"/>
    <w:pPr>
      <w:ind w:left="720"/>
      <w:contextualSpacing/>
    </w:pPr>
  </w:style>
  <w:style w:type="paragraph" w:styleId="Textpoznpodarou">
    <w:name w:val="footnote text"/>
    <w:basedOn w:val="Normln"/>
    <w:link w:val="TextpoznpodarouChar"/>
    <w:uiPriority w:val="99"/>
    <w:semiHidden/>
    <w:unhideWhenUsed/>
    <w:pPr>
      <w:spacing w:after="0" w:line="240" w:lineRule="auto"/>
      <w:ind w:left="431" w:hanging="431"/>
      <w:jc w:val="both"/>
    </w:pPr>
    <w:rPr>
      <w:rFonts w:ascii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P:\kz.sfdi.cz\download\VZ%20pp-2020_logomanu&#225;ly_OPD_EDAZ_SFDI.zip"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sczvz@sfdi.cz"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czvz@sfdi.cz"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mailto:blanka.petrovska@sfdi.cz"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petra.grabmullerova@sfdi.c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1412-CDEC-4A49-9C46-CF8BA900D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14842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17323</CharactersWithSpaces>
  <SharedDoc>false</SharedDoc>
  <HLinks>
    <vt:vector size="12" baseType="variant">
      <vt:variant>
        <vt:i4>8323191</vt:i4>
      </vt:variant>
      <vt:variant>
        <vt:i4>51</vt:i4>
      </vt:variant>
      <vt:variant>
        <vt:i4>0</vt:i4>
      </vt:variant>
      <vt:variant>
        <vt:i4>5</vt:i4>
      </vt:variant>
      <vt:variant>
        <vt:lpwstr>http://www.sfdi.cz/gdpr</vt:lpwstr>
      </vt:variant>
      <vt:variant>
        <vt:lpwstr/>
      </vt:variant>
      <vt:variant>
        <vt:i4>3866735</vt:i4>
      </vt:variant>
      <vt:variant>
        <vt:i4>0</vt:i4>
      </vt:variant>
      <vt:variant>
        <vt:i4>0</vt:i4>
      </vt:variant>
      <vt:variant>
        <vt:i4>5</vt:i4>
      </vt:variant>
      <vt:variant>
        <vt:lpwstr>https://www.sfdi.cz/pravidla-metodiky-a-ceniky/cenove-databaze/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2020-10-16T10:35:00Z</dcterms:created>
  <dcterms:modified xsi:type="dcterms:W3CDTF">2020-10-16T10:35:00Z</dcterms:modified>
</cp:coreProperties>
</file>