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F6" w:rsidRDefault="0070633B">
      <w:pPr>
        <w:spacing w:after="0" w:line="259" w:lineRule="auto"/>
        <w:ind w:left="10" w:right="235" w:hanging="10"/>
        <w:jc w:val="left"/>
      </w:pPr>
      <w:bookmarkStart w:id="0" w:name="_GoBack"/>
      <w:bookmarkEnd w:id="0"/>
      <w:r>
        <w:rPr>
          <w:noProof/>
        </w:rPr>
        <w:drawing>
          <wp:anchor distT="0" distB="0" distL="114300" distR="114300" simplePos="0" relativeHeight="251658240" behindDoc="0" locked="0" layoutInCell="1" allowOverlap="0">
            <wp:simplePos x="0" y="0"/>
            <wp:positionH relativeFrom="column">
              <wp:posOffset>5782056</wp:posOffset>
            </wp:positionH>
            <wp:positionV relativeFrom="paragraph">
              <wp:posOffset>-158420</wp:posOffset>
            </wp:positionV>
            <wp:extent cx="826008" cy="399345"/>
            <wp:effectExtent l="0" t="0" r="0" b="0"/>
            <wp:wrapSquare wrapText="bothSides"/>
            <wp:docPr id="5500" name="Picture 5500"/>
            <wp:cNvGraphicFramePr/>
            <a:graphic xmlns:a="http://schemas.openxmlformats.org/drawingml/2006/main">
              <a:graphicData uri="http://schemas.openxmlformats.org/drawingml/2006/picture">
                <pic:pic xmlns:pic="http://schemas.openxmlformats.org/drawingml/2006/picture">
                  <pic:nvPicPr>
                    <pic:cNvPr id="5500" name="Picture 5500"/>
                    <pic:cNvPicPr/>
                  </pic:nvPicPr>
                  <pic:blipFill>
                    <a:blip r:embed="rId5"/>
                    <a:stretch>
                      <a:fillRect/>
                    </a:stretch>
                  </pic:blipFill>
                  <pic:spPr>
                    <a:xfrm>
                      <a:off x="0" y="0"/>
                      <a:ext cx="826008" cy="39934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-289559</wp:posOffset>
            </wp:positionH>
            <wp:positionV relativeFrom="paragraph">
              <wp:posOffset>-130984</wp:posOffset>
            </wp:positionV>
            <wp:extent cx="777240" cy="484701"/>
            <wp:effectExtent l="0" t="0" r="0" b="0"/>
            <wp:wrapSquare wrapText="bothSides"/>
            <wp:docPr id="5503" name="Picture 5503"/>
            <wp:cNvGraphicFramePr/>
            <a:graphic xmlns:a="http://schemas.openxmlformats.org/drawingml/2006/main">
              <a:graphicData uri="http://schemas.openxmlformats.org/drawingml/2006/picture">
                <pic:pic xmlns:pic="http://schemas.openxmlformats.org/drawingml/2006/picture">
                  <pic:nvPicPr>
                    <pic:cNvPr id="5503" name="Picture 5503"/>
                    <pic:cNvPicPr/>
                  </pic:nvPicPr>
                  <pic:blipFill>
                    <a:blip r:embed="rId6"/>
                    <a:stretch>
                      <a:fillRect/>
                    </a:stretch>
                  </pic:blipFill>
                  <pic:spPr>
                    <a:xfrm>
                      <a:off x="0" y="0"/>
                      <a:ext cx="777240" cy="484701"/>
                    </a:xfrm>
                    <a:prstGeom prst="rect">
                      <a:avLst/>
                    </a:prstGeom>
                  </pic:spPr>
                </pic:pic>
              </a:graphicData>
            </a:graphic>
          </wp:anchor>
        </w:drawing>
      </w:r>
      <w:proofErr w:type="spellStart"/>
      <w:r>
        <w:rPr>
          <w:sz w:val="36"/>
        </w:rPr>
        <w:t>Wood</w:t>
      </w:r>
      <w:proofErr w:type="spellEnd"/>
      <w:r>
        <w:rPr>
          <w:sz w:val="36"/>
        </w:rPr>
        <w:t xml:space="preserve"> &amp; </w:t>
      </w:r>
      <w:proofErr w:type="spellStart"/>
      <w:r>
        <w:rPr>
          <w:sz w:val="36"/>
        </w:rPr>
        <w:t>Paper</w:t>
      </w:r>
      <w:proofErr w:type="spellEnd"/>
    </w:p>
    <w:p w:rsidR="000A33F6" w:rsidRDefault="0070633B">
      <w:pPr>
        <w:spacing w:after="0" w:line="259" w:lineRule="auto"/>
        <w:ind w:left="0" w:right="682"/>
        <w:jc w:val="right"/>
      </w:pPr>
      <w:r>
        <w:rPr>
          <w:sz w:val="18"/>
        </w:rPr>
        <w:t>27516</w:t>
      </w:r>
    </w:p>
    <w:tbl>
      <w:tblPr>
        <w:tblStyle w:val="TableGrid"/>
        <w:tblW w:w="10363" w:type="dxa"/>
        <w:tblInd w:w="48" w:type="dxa"/>
        <w:tblCellMar>
          <w:top w:w="2" w:type="dxa"/>
        </w:tblCellMar>
        <w:tblLook w:val="04A0" w:firstRow="1" w:lastRow="0" w:firstColumn="1" w:lastColumn="0" w:noHBand="0" w:noVBand="1"/>
      </w:tblPr>
      <w:tblGrid>
        <w:gridCol w:w="1291"/>
        <w:gridCol w:w="3874"/>
        <w:gridCol w:w="1291"/>
        <w:gridCol w:w="3907"/>
      </w:tblGrid>
      <w:tr w:rsidR="000A33F6">
        <w:trPr>
          <w:trHeight w:val="634"/>
        </w:trPr>
        <w:tc>
          <w:tcPr>
            <w:tcW w:w="10363" w:type="dxa"/>
            <w:gridSpan w:val="4"/>
            <w:tcBorders>
              <w:top w:val="nil"/>
              <w:left w:val="nil"/>
              <w:bottom w:val="nil"/>
              <w:right w:val="nil"/>
            </w:tcBorders>
          </w:tcPr>
          <w:p w:rsidR="000A33F6" w:rsidRDefault="0070633B">
            <w:pPr>
              <w:tabs>
                <w:tab w:val="center" w:pos="6835"/>
              </w:tabs>
              <w:spacing w:after="0" w:line="259" w:lineRule="auto"/>
              <w:ind w:left="0"/>
              <w:jc w:val="left"/>
            </w:pPr>
            <w:r>
              <w:rPr>
                <w:sz w:val="20"/>
                <w:u w:val="single" w:color="000000"/>
              </w:rPr>
              <w:t>Kupní smlouva č. LW20-425</w:t>
            </w:r>
            <w:r>
              <w:rPr>
                <w:sz w:val="20"/>
                <w:u w:val="single" w:color="000000"/>
              </w:rPr>
              <w:tab/>
              <w:t>$ 2079 a násl. zákona č. 89/2012 Sb. občanského zákoníku. v účinném znění</w:t>
            </w:r>
          </w:p>
        </w:tc>
      </w:tr>
      <w:tr w:rsidR="000A33F6">
        <w:trPr>
          <w:trHeight w:val="186"/>
        </w:trPr>
        <w:tc>
          <w:tcPr>
            <w:tcW w:w="1291" w:type="dxa"/>
            <w:tcBorders>
              <w:top w:val="nil"/>
              <w:left w:val="nil"/>
              <w:bottom w:val="nil"/>
              <w:right w:val="nil"/>
            </w:tcBorders>
          </w:tcPr>
          <w:p w:rsidR="000A33F6" w:rsidRDefault="0070633B">
            <w:pPr>
              <w:spacing w:after="0" w:line="259" w:lineRule="auto"/>
              <w:ind w:left="5"/>
              <w:jc w:val="left"/>
            </w:pPr>
            <w:r>
              <w:rPr>
                <w:sz w:val="20"/>
                <w:u w:val="single" w:color="000000"/>
              </w:rPr>
              <w:t>Kupující</w:t>
            </w:r>
            <w:r>
              <w:rPr>
                <w:sz w:val="20"/>
              </w:rPr>
              <w:t>:</w:t>
            </w:r>
          </w:p>
        </w:tc>
        <w:tc>
          <w:tcPr>
            <w:tcW w:w="3874" w:type="dxa"/>
            <w:tcBorders>
              <w:top w:val="nil"/>
              <w:left w:val="nil"/>
              <w:bottom w:val="nil"/>
              <w:right w:val="nil"/>
            </w:tcBorders>
          </w:tcPr>
          <w:p w:rsidR="000A33F6" w:rsidRDefault="0070633B">
            <w:pPr>
              <w:spacing w:after="0" w:line="259" w:lineRule="auto"/>
              <w:ind w:left="0"/>
              <w:jc w:val="left"/>
            </w:pPr>
            <w:r>
              <w:rPr>
                <w:sz w:val="22"/>
              </w:rPr>
              <w:t>WOOD &amp; PAPER a.s.</w:t>
            </w:r>
          </w:p>
        </w:tc>
        <w:tc>
          <w:tcPr>
            <w:tcW w:w="1291" w:type="dxa"/>
            <w:tcBorders>
              <w:top w:val="nil"/>
              <w:left w:val="nil"/>
              <w:bottom w:val="nil"/>
              <w:right w:val="nil"/>
            </w:tcBorders>
          </w:tcPr>
          <w:p w:rsidR="000A33F6" w:rsidRDefault="0070633B">
            <w:pPr>
              <w:spacing w:after="0" w:line="259" w:lineRule="auto"/>
              <w:ind w:left="5"/>
              <w:jc w:val="left"/>
            </w:pPr>
            <w:r>
              <w:rPr>
                <w:sz w:val="20"/>
                <w:u w:val="single" w:color="000000"/>
              </w:rPr>
              <w:t>Prodávající</w:t>
            </w:r>
            <w:r>
              <w:rPr>
                <w:sz w:val="20"/>
              </w:rPr>
              <w:t>:</w:t>
            </w:r>
          </w:p>
        </w:tc>
        <w:tc>
          <w:tcPr>
            <w:tcW w:w="3907" w:type="dxa"/>
            <w:tcBorders>
              <w:top w:val="nil"/>
              <w:left w:val="nil"/>
              <w:bottom w:val="nil"/>
              <w:right w:val="nil"/>
            </w:tcBorders>
          </w:tcPr>
          <w:p w:rsidR="000A33F6" w:rsidRDefault="0070633B">
            <w:pPr>
              <w:spacing w:after="0" w:line="259" w:lineRule="auto"/>
              <w:ind w:left="43"/>
              <w:jc w:val="left"/>
            </w:pPr>
            <w:proofErr w:type="spellStart"/>
            <w:r>
              <w:rPr>
                <w:sz w:val="20"/>
              </w:rPr>
              <w:t>Ceská</w:t>
            </w:r>
            <w:proofErr w:type="spellEnd"/>
            <w:r>
              <w:rPr>
                <w:sz w:val="20"/>
              </w:rPr>
              <w:t xml:space="preserve"> lesnická akademie Trutnov</w:t>
            </w:r>
          </w:p>
        </w:tc>
      </w:tr>
      <w:tr w:rsidR="000A33F6">
        <w:trPr>
          <w:trHeight w:val="451"/>
        </w:trPr>
        <w:tc>
          <w:tcPr>
            <w:tcW w:w="1291" w:type="dxa"/>
            <w:tcBorders>
              <w:top w:val="nil"/>
              <w:left w:val="nil"/>
              <w:bottom w:val="nil"/>
              <w:right w:val="nil"/>
            </w:tcBorders>
            <w:vAlign w:val="center"/>
          </w:tcPr>
          <w:p w:rsidR="000A33F6" w:rsidRDefault="0070633B">
            <w:pPr>
              <w:spacing w:after="0" w:line="259" w:lineRule="auto"/>
              <w:ind w:left="0"/>
              <w:jc w:val="left"/>
            </w:pPr>
            <w:r>
              <w:rPr>
                <w:sz w:val="20"/>
              </w:rPr>
              <w:t>Zastoupený:</w:t>
            </w:r>
          </w:p>
        </w:tc>
        <w:tc>
          <w:tcPr>
            <w:tcW w:w="3874" w:type="dxa"/>
            <w:tcBorders>
              <w:top w:val="nil"/>
              <w:left w:val="nil"/>
              <w:bottom w:val="nil"/>
              <w:right w:val="nil"/>
            </w:tcBorders>
            <w:vAlign w:val="center"/>
          </w:tcPr>
          <w:p w:rsidR="000A33F6" w:rsidRDefault="0070633B">
            <w:pPr>
              <w:spacing w:after="0" w:line="259" w:lineRule="auto"/>
              <w:ind w:left="14"/>
              <w:jc w:val="left"/>
            </w:pPr>
            <w:r>
              <w:rPr>
                <w:sz w:val="20"/>
              </w:rPr>
              <w:t>Ing. Tomáš Pařík</w:t>
            </w:r>
          </w:p>
        </w:tc>
        <w:tc>
          <w:tcPr>
            <w:tcW w:w="1291" w:type="dxa"/>
            <w:tcBorders>
              <w:top w:val="nil"/>
              <w:left w:val="nil"/>
              <w:bottom w:val="nil"/>
              <w:right w:val="nil"/>
            </w:tcBorders>
            <w:vAlign w:val="center"/>
          </w:tcPr>
          <w:p w:rsidR="000A33F6" w:rsidRDefault="0070633B">
            <w:pPr>
              <w:spacing w:after="0" w:line="259" w:lineRule="auto"/>
              <w:ind w:left="0"/>
              <w:jc w:val="left"/>
            </w:pPr>
            <w:r>
              <w:rPr>
                <w:sz w:val="20"/>
              </w:rPr>
              <w:t>Zastoupený:</w:t>
            </w:r>
          </w:p>
        </w:tc>
        <w:tc>
          <w:tcPr>
            <w:tcW w:w="3907" w:type="dxa"/>
            <w:tcBorders>
              <w:top w:val="nil"/>
              <w:left w:val="nil"/>
              <w:bottom w:val="nil"/>
              <w:right w:val="nil"/>
            </w:tcBorders>
          </w:tcPr>
          <w:p w:rsidR="000A33F6" w:rsidRDefault="0070633B">
            <w:pPr>
              <w:spacing w:after="0" w:line="259" w:lineRule="auto"/>
              <w:ind w:left="53"/>
            </w:pPr>
            <w:r>
              <w:rPr>
                <w:sz w:val="18"/>
              </w:rPr>
              <w:t>Ing. Miloš Pochobradský, k jednání pověřen Ing. Jan</w:t>
            </w:r>
          </w:p>
          <w:p w:rsidR="000A33F6" w:rsidRDefault="0070633B">
            <w:pPr>
              <w:spacing w:after="0" w:line="259" w:lineRule="auto"/>
              <w:ind w:left="53"/>
              <w:jc w:val="left"/>
            </w:pPr>
            <w:r>
              <w:rPr>
                <w:sz w:val="20"/>
              </w:rPr>
              <w:t>Rousek</w:t>
            </w:r>
          </w:p>
        </w:tc>
      </w:tr>
      <w:tr w:rsidR="000A33F6">
        <w:trPr>
          <w:trHeight w:val="229"/>
        </w:trPr>
        <w:tc>
          <w:tcPr>
            <w:tcW w:w="1291" w:type="dxa"/>
            <w:tcBorders>
              <w:top w:val="nil"/>
              <w:left w:val="nil"/>
              <w:bottom w:val="nil"/>
              <w:right w:val="nil"/>
            </w:tcBorders>
          </w:tcPr>
          <w:p w:rsidR="000A33F6" w:rsidRDefault="0070633B">
            <w:pPr>
              <w:spacing w:after="0" w:line="259" w:lineRule="auto"/>
              <w:ind w:left="5"/>
              <w:jc w:val="left"/>
            </w:pPr>
            <w:r>
              <w:rPr>
                <w:sz w:val="20"/>
              </w:rPr>
              <w:t xml:space="preserve">Bank. </w:t>
            </w:r>
            <w:proofErr w:type="gramStart"/>
            <w:r>
              <w:rPr>
                <w:sz w:val="20"/>
              </w:rPr>
              <w:t>spojení</w:t>
            </w:r>
            <w:proofErr w:type="gramEnd"/>
            <w:r>
              <w:rPr>
                <w:sz w:val="20"/>
              </w:rPr>
              <w:t>:</w:t>
            </w:r>
          </w:p>
        </w:tc>
        <w:tc>
          <w:tcPr>
            <w:tcW w:w="3874" w:type="dxa"/>
            <w:tcBorders>
              <w:top w:val="nil"/>
              <w:left w:val="nil"/>
              <w:bottom w:val="nil"/>
              <w:right w:val="nil"/>
            </w:tcBorders>
          </w:tcPr>
          <w:p w:rsidR="000A33F6" w:rsidRDefault="0070633B">
            <w:pPr>
              <w:spacing w:after="0" w:line="259" w:lineRule="auto"/>
              <w:ind w:left="14"/>
              <w:jc w:val="left"/>
            </w:pPr>
            <w:proofErr w:type="spellStart"/>
            <w:r>
              <w:rPr>
                <w:sz w:val="18"/>
              </w:rPr>
              <w:t>Raiffeisenbank</w:t>
            </w:r>
            <w:proofErr w:type="spellEnd"/>
            <w:r>
              <w:rPr>
                <w:sz w:val="18"/>
              </w:rPr>
              <w:t xml:space="preserve">, a. s., </w:t>
            </w:r>
            <w:proofErr w:type="spellStart"/>
            <w:proofErr w:type="gramStart"/>
            <w:r>
              <w:rPr>
                <w:sz w:val="18"/>
              </w:rPr>
              <w:t>č.ú</w:t>
            </w:r>
            <w:proofErr w:type="spellEnd"/>
            <w:r>
              <w:rPr>
                <w:sz w:val="18"/>
              </w:rPr>
              <w:t>. 1011010196/5500</w:t>
            </w:r>
            <w:proofErr w:type="gramEnd"/>
          </w:p>
        </w:tc>
        <w:tc>
          <w:tcPr>
            <w:tcW w:w="1291" w:type="dxa"/>
            <w:tcBorders>
              <w:top w:val="nil"/>
              <w:left w:val="nil"/>
              <w:bottom w:val="nil"/>
              <w:right w:val="nil"/>
            </w:tcBorders>
          </w:tcPr>
          <w:p w:rsidR="000A33F6" w:rsidRDefault="0070633B">
            <w:pPr>
              <w:spacing w:after="0" w:line="259" w:lineRule="auto"/>
              <w:ind w:left="5"/>
              <w:jc w:val="left"/>
            </w:pPr>
            <w:r>
              <w:rPr>
                <w:sz w:val="20"/>
              </w:rPr>
              <w:t xml:space="preserve">Bank. </w:t>
            </w:r>
            <w:proofErr w:type="gramStart"/>
            <w:r>
              <w:rPr>
                <w:sz w:val="20"/>
              </w:rPr>
              <w:t>spojení</w:t>
            </w:r>
            <w:proofErr w:type="gramEnd"/>
            <w:r>
              <w:rPr>
                <w:sz w:val="20"/>
              </w:rPr>
              <w:t>:</w:t>
            </w:r>
          </w:p>
        </w:tc>
        <w:tc>
          <w:tcPr>
            <w:tcW w:w="3907" w:type="dxa"/>
            <w:tcBorders>
              <w:top w:val="nil"/>
              <w:left w:val="nil"/>
              <w:bottom w:val="nil"/>
              <w:right w:val="nil"/>
            </w:tcBorders>
          </w:tcPr>
          <w:p w:rsidR="000A33F6" w:rsidRDefault="0070633B">
            <w:pPr>
              <w:spacing w:after="0" w:line="259" w:lineRule="auto"/>
              <w:ind w:left="48"/>
              <w:jc w:val="left"/>
            </w:pPr>
            <w:r>
              <w:rPr>
                <w:sz w:val="14"/>
              </w:rPr>
              <w:t xml:space="preserve">ČSOB a.s., </w:t>
            </w:r>
            <w:proofErr w:type="spellStart"/>
            <w:proofErr w:type="gramStart"/>
            <w:r>
              <w:rPr>
                <w:sz w:val="14"/>
              </w:rPr>
              <w:t>č.ú</w:t>
            </w:r>
            <w:proofErr w:type="spellEnd"/>
            <w:r>
              <w:rPr>
                <w:sz w:val="14"/>
              </w:rPr>
              <w:t>. 218391577/0300</w:t>
            </w:r>
            <w:proofErr w:type="gramEnd"/>
          </w:p>
        </w:tc>
      </w:tr>
      <w:tr w:rsidR="000A33F6">
        <w:trPr>
          <w:trHeight w:val="226"/>
        </w:trPr>
        <w:tc>
          <w:tcPr>
            <w:tcW w:w="1291" w:type="dxa"/>
            <w:tcBorders>
              <w:top w:val="nil"/>
              <w:left w:val="nil"/>
              <w:bottom w:val="nil"/>
              <w:right w:val="nil"/>
            </w:tcBorders>
          </w:tcPr>
          <w:p w:rsidR="000A33F6" w:rsidRDefault="0070633B">
            <w:pPr>
              <w:spacing w:after="0" w:line="259" w:lineRule="auto"/>
              <w:ind w:left="5"/>
              <w:jc w:val="left"/>
            </w:pPr>
            <w:r>
              <w:rPr>
                <w:sz w:val="20"/>
              </w:rPr>
              <w:t>IČO/DIČ:</w:t>
            </w:r>
          </w:p>
        </w:tc>
        <w:tc>
          <w:tcPr>
            <w:tcW w:w="3874" w:type="dxa"/>
            <w:tcBorders>
              <w:top w:val="nil"/>
              <w:left w:val="nil"/>
              <w:bottom w:val="nil"/>
              <w:right w:val="nil"/>
            </w:tcBorders>
          </w:tcPr>
          <w:p w:rsidR="000A33F6" w:rsidRDefault="0070633B">
            <w:pPr>
              <w:spacing w:after="0" w:line="259" w:lineRule="auto"/>
              <w:ind w:left="10"/>
              <w:jc w:val="left"/>
            </w:pPr>
            <w:r>
              <w:rPr>
                <w:sz w:val="18"/>
              </w:rPr>
              <w:t>26229854/ CZ26229854</w:t>
            </w:r>
          </w:p>
        </w:tc>
        <w:tc>
          <w:tcPr>
            <w:tcW w:w="1291" w:type="dxa"/>
            <w:tcBorders>
              <w:top w:val="nil"/>
              <w:left w:val="nil"/>
              <w:bottom w:val="nil"/>
              <w:right w:val="nil"/>
            </w:tcBorders>
          </w:tcPr>
          <w:p w:rsidR="000A33F6" w:rsidRDefault="0070633B">
            <w:pPr>
              <w:spacing w:after="0" w:line="259" w:lineRule="auto"/>
              <w:ind w:left="5"/>
              <w:jc w:val="left"/>
            </w:pPr>
            <w:r>
              <w:rPr>
                <w:sz w:val="20"/>
              </w:rPr>
              <w:t>IČO/DIČ:</w:t>
            </w:r>
          </w:p>
        </w:tc>
        <w:tc>
          <w:tcPr>
            <w:tcW w:w="3907" w:type="dxa"/>
            <w:tcBorders>
              <w:top w:val="nil"/>
              <w:left w:val="nil"/>
              <w:bottom w:val="nil"/>
              <w:right w:val="nil"/>
            </w:tcBorders>
          </w:tcPr>
          <w:p w:rsidR="000A33F6" w:rsidRDefault="0070633B">
            <w:pPr>
              <w:spacing w:after="0" w:line="259" w:lineRule="auto"/>
              <w:ind w:left="48"/>
              <w:jc w:val="left"/>
            </w:pPr>
            <w:r>
              <w:rPr>
                <w:sz w:val="18"/>
              </w:rPr>
              <w:t>60153296 / CZ60153296</w:t>
            </w:r>
          </w:p>
        </w:tc>
      </w:tr>
      <w:tr w:rsidR="000A33F6">
        <w:trPr>
          <w:trHeight w:val="247"/>
        </w:trPr>
        <w:tc>
          <w:tcPr>
            <w:tcW w:w="1291" w:type="dxa"/>
            <w:tcBorders>
              <w:top w:val="nil"/>
              <w:left w:val="nil"/>
              <w:bottom w:val="nil"/>
              <w:right w:val="nil"/>
            </w:tcBorders>
          </w:tcPr>
          <w:p w:rsidR="000A33F6" w:rsidRDefault="0070633B">
            <w:pPr>
              <w:spacing w:after="0" w:line="259" w:lineRule="auto"/>
              <w:ind w:left="0"/>
              <w:jc w:val="left"/>
            </w:pPr>
            <w:r>
              <w:rPr>
                <w:sz w:val="20"/>
              </w:rPr>
              <w:t>Zápis v OR:</w:t>
            </w:r>
          </w:p>
        </w:tc>
        <w:tc>
          <w:tcPr>
            <w:tcW w:w="3874" w:type="dxa"/>
            <w:tcBorders>
              <w:top w:val="nil"/>
              <w:left w:val="nil"/>
              <w:bottom w:val="nil"/>
              <w:right w:val="nil"/>
            </w:tcBorders>
          </w:tcPr>
          <w:p w:rsidR="000A33F6" w:rsidRDefault="0070633B">
            <w:pPr>
              <w:spacing w:after="0" w:line="259" w:lineRule="auto"/>
              <w:ind w:left="19"/>
              <w:jc w:val="left"/>
            </w:pPr>
            <w:r>
              <w:rPr>
                <w:sz w:val="18"/>
              </w:rPr>
              <w:t xml:space="preserve">KS v Brně, odd. B, vložka 3439, </w:t>
            </w:r>
            <w:proofErr w:type="gramStart"/>
            <w:r>
              <w:rPr>
                <w:sz w:val="18"/>
              </w:rPr>
              <w:t>24.1 1.2000</w:t>
            </w:r>
            <w:proofErr w:type="gramEnd"/>
          </w:p>
        </w:tc>
        <w:tc>
          <w:tcPr>
            <w:tcW w:w="1291" w:type="dxa"/>
            <w:tcBorders>
              <w:top w:val="nil"/>
              <w:left w:val="nil"/>
              <w:bottom w:val="nil"/>
              <w:right w:val="nil"/>
            </w:tcBorders>
          </w:tcPr>
          <w:p w:rsidR="000A33F6" w:rsidRDefault="0070633B">
            <w:pPr>
              <w:spacing w:after="0" w:line="259" w:lineRule="auto"/>
              <w:ind w:left="0"/>
              <w:jc w:val="left"/>
            </w:pPr>
            <w:r>
              <w:rPr>
                <w:sz w:val="22"/>
              </w:rPr>
              <w:t>Zápis v OR:</w:t>
            </w:r>
          </w:p>
        </w:tc>
        <w:tc>
          <w:tcPr>
            <w:tcW w:w="3907" w:type="dxa"/>
            <w:tcBorders>
              <w:top w:val="nil"/>
              <w:left w:val="nil"/>
              <w:bottom w:val="nil"/>
              <w:right w:val="nil"/>
            </w:tcBorders>
          </w:tcPr>
          <w:p w:rsidR="000A33F6" w:rsidRDefault="000A33F6">
            <w:pPr>
              <w:spacing w:after="160" w:line="259" w:lineRule="auto"/>
              <w:ind w:left="0"/>
              <w:jc w:val="left"/>
            </w:pPr>
          </w:p>
        </w:tc>
      </w:tr>
      <w:tr w:rsidR="000A33F6">
        <w:trPr>
          <w:trHeight w:val="271"/>
        </w:trPr>
        <w:tc>
          <w:tcPr>
            <w:tcW w:w="1291" w:type="dxa"/>
            <w:tcBorders>
              <w:top w:val="nil"/>
              <w:left w:val="nil"/>
              <w:bottom w:val="nil"/>
              <w:right w:val="nil"/>
            </w:tcBorders>
          </w:tcPr>
          <w:p w:rsidR="000A33F6" w:rsidRDefault="0070633B">
            <w:pPr>
              <w:spacing w:after="0" w:line="259" w:lineRule="auto"/>
              <w:ind w:left="0"/>
              <w:jc w:val="left"/>
            </w:pPr>
            <w:r>
              <w:rPr>
                <w:sz w:val="20"/>
              </w:rPr>
              <w:t>Telefon/Fax:</w:t>
            </w:r>
          </w:p>
        </w:tc>
        <w:tc>
          <w:tcPr>
            <w:tcW w:w="3874" w:type="dxa"/>
            <w:tcBorders>
              <w:top w:val="nil"/>
              <w:left w:val="nil"/>
              <w:bottom w:val="nil"/>
              <w:right w:val="nil"/>
            </w:tcBorders>
          </w:tcPr>
          <w:p w:rsidR="000A33F6" w:rsidRDefault="0070633B">
            <w:pPr>
              <w:spacing w:after="0" w:line="259" w:lineRule="auto"/>
              <w:ind w:left="19"/>
              <w:jc w:val="left"/>
            </w:pPr>
            <w:r>
              <w:rPr>
                <w:sz w:val="18"/>
              </w:rPr>
              <w:t>+420-546 418 211/+420-546 418 214</w:t>
            </w:r>
          </w:p>
        </w:tc>
        <w:tc>
          <w:tcPr>
            <w:tcW w:w="1291" w:type="dxa"/>
            <w:tcBorders>
              <w:top w:val="nil"/>
              <w:left w:val="nil"/>
              <w:bottom w:val="nil"/>
              <w:right w:val="nil"/>
            </w:tcBorders>
          </w:tcPr>
          <w:p w:rsidR="000A33F6" w:rsidRDefault="0070633B">
            <w:pPr>
              <w:spacing w:after="0" w:line="259" w:lineRule="auto"/>
              <w:ind w:left="5"/>
              <w:jc w:val="left"/>
            </w:pPr>
            <w:r>
              <w:rPr>
                <w:sz w:val="20"/>
              </w:rPr>
              <w:t>Telefon/Fax:</w:t>
            </w:r>
          </w:p>
        </w:tc>
        <w:tc>
          <w:tcPr>
            <w:tcW w:w="3907" w:type="dxa"/>
            <w:tcBorders>
              <w:top w:val="nil"/>
              <w:left w:val="nil"/>
              <w:bottom w:val="nil"/>
              <w:right w:val="nil"/>
            </w:tcBorders>
          </w:tcPr>
          <w:p w:rsidR="000A33F6" w:rsidRDefault="000A33F6">
            <w:pPr>
              <w:spacing w:after="160" w:line="259" w:lineRule="auto"/>
              <w:ind w:left="0"/>
              <w:jc w:val="left"/>
            </w:pPr>
          </w:p>
        </w:tc>
      </w:tr>
      <w:tr w:rsidR="000A33F6">
        <w:trPr>
          <w:trHeight w:val="253"/>
        </w:trPr>
        <w:tc>
          <w:tcPr>
            <w:tcW w:w="1291" w:type="dxa"/>
            <w:tcBorders>
              <w:top w:val="nil"/>
              <w:left w:val="nil"/>
              <w:bottom w:val="nil"/>
              <w:right w:val="nil"/>
            </w:tcBorders>
          </w:tcPr>
          <w:p w:rsidR="000A33F6" w:rsidRDefault="0070633B">
            <w:pPr>
              <w:spacing w:after="0" w:line="259" w:lineRule="auto"/>
              <w:ind w:left="10"/>
              <w:jc w:val="left"/>
            </w:pPr>
            <w:proofErr w:type="gramStart"/>
            <w:r>
              <w:rPr>
                <w:sz w:val="20"/>
              </w:rPr>
              <w:t>E— mail</w:t>
            </w:r>
            <w:proofErr w:type="gramEnd"/>
            <w:r>
              <w:rPr>
                <w:sz w:val="20"/>
              </w:rPr>
              <w:t>:</w:t>
            </w:r>
          </w:p>
        </w:tc>
        <w:tc>
          <w:tcPr>
            <w:tcW w:w="3874" w:type="dxa"/>
            <w:tcBorders>
              <w:top w:val="nil"/>
              <w:left w:val="nil"/>
              <w:bottom w:val="nil"/>
              <w:right w:val="nil"/>
            </w:tcBorders>
          </w:tcPr>
          <w:p w:rsidR="000A33F6" w:rsidRDefault="0070633B">
            <w:pPr>
              <w:spacing w:after="0" w:line="259" w:lineRule="auto"/>
              <w:ind w:left="10"/>
              <w:jc w:val="left"/>
            </w:pPr>
            <w:r>
              <w:rPr>
                <w:sz w:val="18"/>
              </w:rPr>
              <w:t>jan.holesovsky@wood-paper.cz</w:t>
            </w:r>
          </w:p>
        </w:tc>
        <w:tc>
          <w:tcPr>
            <w:tcW w:w="1291" w:type="dxa"/>
            <w:tcBorders>
              <w:top w:val="nil"/>
              <w:left w:val="nil"/>
              <w:bottom w:val="nil"/>
              <w:right w:val="nil"/>
            </w:tcBorders>
          </w:tcPr>
          <w:p w:rsidR="000A33F6" w:rsidRDefault="0070633B">
            <w:pPr>
              <w:spacing w:after="0" w:line="259" w:lineRule="auto"/>
              <w:ind w:left="14"/>
              <w:jc w:val="left"/>
            </w:pPr>
            <w:proofErr w:type="gramStart"/>
            <w:r>
              <w:rPr>
                <w:sz w:val="20"/>
              </w:rPr>
              <w:t>E— mail</w:t>
            </w:r>
            <w:proofErr w:type="gramEnd"/>
            <w:r>
              <w:rPr>
                <w:sz w:val="20"/>
              </w:rPr>
              <w:t>:</w:t>
            </w:r>
          </w:p>
        </w:tc>
        <w:tc>
          <w:tcPr>
            <w:tcW w:w="3907" w:type="dxa"/>
            <w:tcBorders>
              <w:top w:val="nil"/>
              <w:left w:val="nil"/>
              <w:bottom w:val="nil"/>
              <w:right w:val="nil"/>
            </w:tcBorders>
          </w:tcPr>
          <w:p w:rsidR="000A33F6" w:rsidRDefault="0070633B">
            <w:pPr>
              <w:spacing w:after="0" w:line="259" w:lineRule="auto"/>
              <w:ind w:left="53"/>
              <w:jc w:val="left"/>
            </w:pPr>
            <w:r>
              <w:rPr>
                <w:sz w:val="18"/>
              </w:rPr>
              <w:t>kachlik@clatrutnov.cz</w:t>
            </w:r>
          </w:p>
        </w:tc>
      </w:tr>
      <w:tr w:rsidR="000A33F6">
        <w:trPr>
          <w:trHeight w:val="196"/>
        </w:trPr>
        <w:tc>
          <w:tcPr>
            <w:tcW w:w="1291" w:type="dxa"/>
            <w:tcBorders>
              <w:top w:val="nil"/>
              <w:left w:val="nil"/>
              <w:bottom w:val="nil"/>
              <w:right w:val="nil"/>
            </w:tcBorders>
          </w:tcPr>
          <w:p w:rsidR="000A33F6" w:rsidRDefault="0070633B">
            <w:pPr>
              <w:spacing w:after="0" w:line="259" w:lineRule="auto"/>
              <w:ind w:left="10"/>
              <w:jc w:val="left"/>
            </w:pPr>
            <w:r>
              <w:rPr>
                <w:sz w:val="20"/>
              </w:rPr>
              <w:t>Adresa:</w:t>
            </w:r>
          </w:p>
        </w:tc>
        <w:tc>
          <w:tcPr>
            <w:tcW w:w="3874" w:type="dxa"/>
            <w:tcBorders>
              <w:top w:val="nil"/>
              <w:left w:val="nil"/>
              <w:bottom w:val="nil"/>
              <w:right w:val="nil"/>
            </w:tcBorders>
          </w:tcPr>
          <w:p w:rsidR="000A33F6" w:rsidRDefault="0070633B">
            <w:pPr>
              <w:spacing w:after="0" w:line="259" w:lineRule="auto"/>
              <w:ind w:left="29"/>
              <w:jc w:val="left"/>
            </w:pPr>
            <w:r>
              <w:rPr>
                <w:sz w:val="20"/>
              </w:rPr>
              <w:t>Hlína 138, 664 91 Ivančice</w:t>
            </w:r>
          </w:p>
        </w:tc>
        <w:tc>
          <w:tcPr>
            <w:tcW w:w="1291" w:type="dxa"/>
            <w:tcBorders>
              <w:top w:val="nil"/>
              <w:left w:val="nil"/>
              <w:bottom w:val="nil"/>
              <w:right w:val="nil"/>
            </w:tcBorders>
          </w:tcPr>
          <w:p w:rsidR="000A33F6" w:rsidRDefault="0070633B">
            <w:pPr>
              <w:spacing w:after="0" w:line="259" w:lineRule="auto"/>
              <w:ind w:left="10"/>
              <w:jc w:val="left"/>
            </w:pPr>
            <w:r>
              <w:rPr>
                <w:sz w:val="20"/>
              </w:rPr>
              <w:t>Adresa:</w:t>
            </w:r>
          </w:p>
        </w:tc>
        <w:tc>
          <w:tcPr>
            <w:tcW w:w="3907" w:type="dxa"/>
            <w:tcBorders>
              <w:top w:val="nil"/>
              <w:left w:val="nil"/>
              <w:bottom w:val="nil"/>
              <w:right w:val="nil"/>
            </w:tcBorders>
          </w:tcPr>
          <w:p w:rsidR="000A33F6" w:rsidRDefault="0070633B">
            <w:pPr>
              <w:spacing w:after="0" w:line="259" w:lineRule="auto"/>
              <w:ind w:left="62"/>
              <w:jc w:val="left"/>
            </w:pPr>
            <w:r>
              <w:rPr>
                <w:sz w:val="18"/>
              </w:rPr>
              <w:t>Lesnická 9, 541 1 1 Trutnov, CZ</w:t>
            </w:r>
          </w:p>
        </w:tc>
      </w:tr>
    </w:tbl>
    <w:p w:rsidR="000A33F6" w:rsidRDefault="0070633B">
      <w:pPr>
        <w:numPr>
          <w:ilvl w:val="0"/>
          <w:numId w:val="1"/>
        </w:numPr>
        <w:spacing w:after="157" w:line="248" w:lineRule="auto"/>
        <w:ind w:hanging="274"/>
        <w:jc w:val="left"/>
      </w:pPr>
      <w:r>
        <w:rPr>
          <w:sz w:val="22"/>
        </w:rPr>
        <w:t>Předmět smlouvy: dodávky sortimentu jehličnatých kulatin z OM do LABE WOOD S.R.O. LITOMĚŘICKÁ, 411 08 Štětí, Česká Republika</w:t>
      </w:r>
    </w:p>
    <w:p w:rsidR="000A33F6" w:rsidRDefault="0070633B">
      <w:pPr>
        <w:spacing w:after="171" w:line="247" w:lineRule="auto"/>
        <w:ind w:left="72" w:hanging="5"/>
        <w:jc w:val="left"/>
      </w:pPr>
      <w:r>
        <w:rPr>
          <w:sz w:val="20"/>
        </w:rPr>
        <w:t>Smluvní strany této smlouvy se dohodly, že smlouvu považují oboustranně za splněnou dodáním 90% smluveného objemu.</w:t>
      </w:r>
    </w:p>
    <w:p w:rsidR="000A33F6" w:rsidRDefault="0070633B">
      <w:pPr>
        <w:numPr>
          <w:ilvl w:val="0"/>
          <w:numId w:val="1"/>
        </w:numPr>
        <w:spacing w:after="380" w:line="248" w:lineRule="auto"/>
        <w:ind w:hanging="274"/>
        <w:jc w:val="left"/>
      </w:pPr>
      <w:r>
        <w:rPr>
          <w:sz w:val="22"/>
        </w:rPr>
        <w:t>Země původu: CZ Lokalita</w:t>
      </w:r>
      <w:r>
        <w:rPr>
          <w:noProof/>
        </w:rPr>
        <w:drawing>
          <wp:inline distT="0" distB="0" distL="0" distR="0">
            <wp:extent cx="338328" cy="24388"/>
            <wp:effectExtent l="0" t="0" r="0" b="0"/>
            <wp:docPr id="23018" name="Picture 23018"/>
            <wp:cNvGraphicFramePr/>
            <a:graphic xmlns:a="http://schemas.openxmlformats.org/drawingml/2006/main">
              <a:graphicData uri="http://schemas.openxmlformats.org/drawingml/2006/picture">
                <pic:pic xmlns:pic="http://schemas.openxmlformats.org/drawingml/2006/picture">
                  <pic:nvPicPr>
                    <pic:cNvPr id="23018" name="Picture 23018"/>
                    <pic:cNvPicPr/>
                  </pic:nvPicPr>
                  <pic:blipFill>
                    <a:blip r:embed="rId7"/>
                    <a:stretch>
                      <a:fillRect/>
                    </a:stretch>
                  </pic:blipFill>
                  <pic:spPr>
                    <a:xfrm>
                      <a:off x="0" y="0"/>
                      <a:ext cx="338328" cy="24388"/>
                    </a:xfrm>
                    <a:prstGeom prst="rect">
                      <a:avLst/>
                    </a:prstGeom>
                  </pic:spPr>
                </pic:pic>
              </a:graphicData>
            </a:graphic>
          </wp:inline>
        </w:drawing>
      </w:r>
    </w:p>
    <w:p w:rsidR="000A33F6" w:rsidRDefault="0070633B">
      <w:pPr>
        <w:spacing w:after="434" w:line="247" w:lineRule="auto"/>
        <w:ind w:left="72" w:hanging="5"/>
        <w:jc w:val="left"/>
      </w:pPr>
      <w:r>
        <w:rPr>
          <w:sz w:val="20"/>
        </w:rPr>
        <w:t>Platnost smlouvy/čas plnění: 01 .08.2020 - 31 .12.2020./</w:t>
      </w:r>
      <w:proofErr w:type="gramStart"/>
      <w:r>
        <w:rPr>
          <w:sz w:val="20"/>
        </w:rPr>
        <w:t>01.08.2020</w:t>
      </w:r>
      <w:proofErr w:type="gramEnd"/>
      <w:r>
        <w:rPr>
          <w:sz w:val="20"/>
        </w:rPr>
        <w:t xml:space="preserve"> - 31 .12.2020.</w:t>
      </w:r>
    </w:p>
    <w:p w:rsidR="000A33F6" w:rsidRDefault="0070633B">
      <w:pPr>
        <w:spacing w:after="445" w:line="247" w:lineRule="auto"/>
        <w:ind w:left="72" w:hanging="5"/>
        <w:jc w:val="left"/>
      </w:pPr>
      <w:r>
        <w:rPr>
          <w:sz w:val="20"/>
        </w:rPr>
        <w:t xml:space="preserve">Pravidelnost dodávek: Prodávající se zavazuje k časově rovnoměrnému plnění množství na této smlouvě uvedeného, od začátku do konce času plnění. V opačném případě může být toto množství </w:t>
      </w:r>
      <w:proofErr w:type="spellStart"/>
      <w:r>
        <w:rPr>
          <w:sz w:val="20"/>
        </w:rPr>
        <w:t>alikvótně</w:t>
      </w:r>
      <w:proofErr w:type="spellEnd"/>
      <w:r>
        <w:rPr>
          <w:sz w:val="20"/>
        </w:rPr>
        <w:t xml:space="preserve"> pokráceno.</w:t>
      </w:r>
    </w:p>
    <w:p w:rsidR="000A33F6" w:rsidRDefault="0070633B">
      <w:pPr>
        <w:spacing w:after="10" w:line="248" w:lineRule="auto"/>
        <w:ind w:left="91" w:hanging="10"/>
        <w:jc w:val="left"/>
      </w:pPr>
      <w:r>
        <w:rPr>
          <w:noProof/>
        </w:rPr>
        <w:drawing>
          <wp:anchor distT="0" distB="0" distL="114300" distR="114300" simplePos="0" relativeHeight="251660288" behindDoc="0" locked="0" layoutInCell="1" allowOverlap="0">
            <wp:simplePos x="0" y="0"/>
            <wp:positionH relativeFrom="page">
              <wp:posOffset>7342632</wp:posOffset>
            </wp:positionH>
            <wp:positionV relativeFrom="page">
              <wp:posOffset>9251997</wp:posOffset>
            </wp:positionV>
            <wp:extent cx="21337" cy="24387"/>
            <wp:effectExtent l="0" t="0" r="0" b="0"/>
            <wp:wrapSquare wrapText="bothSides"/>
            <wp:docPr id="5362" name="Picture 5362"/>
            <wp:cNvGraphicFramePr/>
            <a:graphic xmlns:a="http://schemas.openxmlformats.org/drawingml/2006/main">
              <a:graphicData uri="http://schemas.openxmlformats.org/drawingml/2006/picture">
                <pic:pic xmlns:pic="http://schemas.openxmlformats.org/drawingml/2006/picture">
                  <pic:nvPicPr>
                    <pic:cNvPr id="5362" name="Picture 5362"/>
                    <pic:cNvPicPr/>
                  </pic:nvPicPr>
                  <pic:blipFill>
                    <a:blip r:embed="rId8"/>
                    <a:stretch>
                      <a:fillRect/>
                    </a:stretch>
                  </pic:blipFill>
                  <pic:spPr>
                    <a:xfrm>
                      <a:off x="0" y="0"/>
                      <a:ext cx="21337" cy="24387"/>
                    </a:xfrm>
                    <a:prstGeom prst="rect">
                      <a:avLst/>
                    </a:prstGeom>
                  </pic:spPr>
                </pic:pic>
              </a:graphicData>
            </a:graphic>
          </wp:anchor>
        </w:drawing>
      </w:r>
      <w:r>
        <w:rPr>
          <w:sz w:val="22"/>
        </w:rPr>
        <w:t>Kupní ceny bez DPH stanoveny na OM jsou platné pro srpen - září.</w:t>
      </w:r>
    </w:p>
    <w:tbl>
      <w:tblPr>
        <w:tblStyle w:val="TableGrid"/>
        <w:tblW w:w="9166" w:type="dxa"/>
        <w:tblInd w:w="394" w:type="dxa"/>
        <w:tblCellMar>
          <w:top w:w="41" w:type="dxa"/>
          <w:left w:w="48" w:type="dxa"/>
          <w:right w:w="161" w:type="dxa"/>
        </w:tblCellMar>
        <w:tblLook w:val="04A0" w:firstRow="1" w:lastRow="0" w:firstColumn="1" w:lastColumn="0" w:noHBand="0" w:noVBand="1"/>
      </w:tblPr>
      <w:tblGrid>
        <w:gridCol w:w="29"/>
        <w:gridCol w:w="3322"/>
        <w:gridCol w:w="21"/>
        <w:gridCol w:w="910"/>
        <w:gridCol w:w="994"/>
        <w:gridCol w:w="19"/>
        <w:gridCol w:w="732"/>
        <w:gridCol w:w="1115"/>
        <w:gridCol w:w="358"/>
        <w:gridCol w:w="506"/>
        <w:gridCol w:w="234"/>
        <w:gridCol w:w="926"/>
      </w:tblGrid>
      <w:tr w:rsidR="000A33F6">
        <w:trPr>
          <w:trHeight w:val="334"/>
        </w:trPr>
        <w:tc>
          <w:tcPr>
            <w:tcW w:w="3374" w:type="dxa"/>
            <w:gridSpan w:val="3"/>
            <w:vMerge w:val="restart"/>
            <w:tcBorders>
              <w:top w:val="single" w:sz="2" w:space="0" w:color="000000"/>
              <w:left w:val="single" w:sz="2" w:space="0" w:color="000000"/>
              <w:bottom w:val="single" w:sz="2" w:space="0" w:color="000000"/>
              <w:right w:val="single" w:sz="2" w:space="0" w:color="000000"/>
            </w:tcBorders>
          </w:tcPr>
          <w:p w:rsidR="000A33F6" w:rsidRDefault="000A33F6">
            <w:pPr>
              <w:spacing w:after="160" w:line="259" w:lineRule="auto"/>
              <w:ind w:left="0"/>
              <w:jc w:val="left"/>
            </w:pPr>
          </w:p>
        </w:tc>
        <w:tc>
          <w:tcPr>
            <w:tcW w:w="1904" w:type="dxa"/>
            <w:gridSpan w:val="2"/>
            <w:vMerge w:val="restart"/>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312" w:right="10" w:hanging="125"/>
            </w:pPr>
            <w:r>
              <w:rPr>
                <w:sz w:val="20"/>
              </w:rPr>
              <w:t>objem (m3) celkem s en • září2020</w:t>
            </w:r>
          </w:p>
        </w:tc>
        <w:tc>
          <w:tcPr>
            <w:tcW w:w="1867" w:type="dxa"/>
            <w:gridSpan w:val="3"/>
            <w:vMerge w:val="restart"/>
            <w:tcBorders>
              <w:top w:val="single" w:sz="2" w:space="0" w:color="000000"/>
              <w:left w:val="single" w:sz="2" w:space="0" w:color="000000"/>
              <w:bottom w:val="single" w:sz="2" w:space="0" w:color="000000"/>
              <w:right w:val="single" w:sz="2" w:space="0" w:color="000000"/>
            </w:tcBorders>
            <w:vAlign w:val="center"/>
          </w:tcPr>
          <w:p w:rsidR="000A33F6" w:rsidRDefault="0070633B">
            <w:pPr>
              <w:spacing w:after="0" w:line="259" w:lineRule="auto"/>
              <w:ind w:left="98"/>
              <w:jc w:val="center"/>
            </w:pPr>
            <w:r>
              <w:rPr>
                <w:sz w:val="20"/>
              </w:rPr>
              <w:t>Délky výřezů</w:t>
            </w:r>
          </w:p>
        </w:tc>
        <w:tc>
          <w:tcPr>
            <w:tcW w:w="2021" w:type="dxa"/>
            <w:gridSpan w:val="4"/>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122"/>
              <w:jc w:val="center"/>
            </w:pPr>
            <w:r>
              <w:rPr>
                <w:sz w:val="20"/>
              </w:rPr>
              <w:t>Způsob dopravy</w:t>
            </w:r>
          </w:p>
        </w:tc>
      </w:tr>
      <w:tr w:rsidR="000A33F6">
        <w:trPr>
          <w:trHeight w:val="391"/>
        </w:trPr>
        <w:tc>
          <w:tcPr>
            <w:tcW w:w="0" w:type="auto"/>
            <w:gridSpan w:val="3"/>
            <w:vMerge/>
            <w:tcBorders>
              <w:top w:val="nil"/>
              <w:left w:val="single" w:sz="2" w:space="0" w:color="000000"/>
              <w:bottom w:val="single" w:sz="2" w:space="0" w:color="000000"/>
              <w:right w:val="single" w:sz="2" w:space="0" w:color="000000"/>
            </w:tcBorders>
          </w:tcPr>
          <w:p w:rsidR="000A33F6" w:rsidRDefault="000A33F6">
            <w:pPr>
              <w:spacing w:after="160" w:line="259" w:lineRule="auto"/>
              <w:ind w:left="0"/>
              <w:jc w:val="left"/>
            </w:pPr>
          </w:p>
        </w:tc>
        <w:tc>
          <w:tcPr>
            <w:tcW w:w="0" w:type="auto"/>
            <w:gridSpan w:val="2"/>
            <w:vMerge/>
            <w:tcBorders>
              <w:top w:val="nil"/>
              <w:left w:val="single" w:sz="2" w:space="0" w:color="000000"/>
              <w:bottom w:val="single" w:sz="2" w:space="0" w:color="000000"/>
              <w:right w:val="single" w:sz="2" w:space="0" w:color="000000"/>
            </w:tcBorders>
          </w:tcPr>
          <w:p w:rsidR="000A33F6" w:rsidRDefault="000A33F6">
            <w:pPr>
              <w:spacing w:after="160" w:line="259" w:lineRule="auto"/>
              <w:ind w:left="0"/>
              <w:jc w:val="left"/>
            </w:pPr>
          </w:p>
        </w:tc>
        <w:tc>
          <w:tcPr>
            <w:tcW w:w="0" w:type="auto"/>
            <w:gridSpan w:val="3"/>
            <w:vMerge/>
            <w:tcBorders>
              <w:top w:val="nil"/>
              <w:left w:val="single" w:sz="2" w:space="0" w:color="000000"/>
              <w:bottom w:val="single" w:sz="2" w:space="0" w:color="000000"/>
              <w:right w:val="single" w:sz="2" w:space="0" w:color="000000"/>
            </w:tcBorders>
          </w:tcPr>
          <w:p w:rsidR="000A33F6" w:rsidRDefault="000A33F6">
            <w:pPr>
              <w:spacing w:after="160" w:line="259" w:lineRule="auto"/>
              <w:ind w:left="0"/>
              <w:jc w:val="left"/>
            </w:pPr>
          </w:p>
        </w:tc>
        <w:tc>
          <w:tcPr>
            <w:tcW w:w="864" w:type="dxa"/>
            <w:gridSpan w:val="2"/>
            <w:tcBorders>
              <w:top w:val="single" w:sz="2" w:space="0" w:color="000000"/>
              <w:left w:val="single" w:sz="2" w:space="0" w:color="000000"/>
              <w:bottom w:val="single" w:sz="2" w:space="0" w:color="000000"/>
              <w:right w:val="single" w:sz="2" w:space="0" w:color="000000"/>
            </w:tcBorders>
          </w:tcPr>
          <w:p w:rsidR="000A33F6" w:rsidRDefault="000A33F6">
            <w:pPr>
              <w:spacing w:after="160" w:line="259" w:lineRule="auto"/>
              <w:ind w:left="0"/>
              <w:jc w:val="left"/>
            </w:pPr>
          </w:p>
        </w:tc>
        <w:tc>
          <w:tcPr>
            <w:tcW w:w="1157" w:type="dxa"/>
            <w:gridSpan w:val="2"/>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112"/>
              <w:jc w:val="left"/>
            </w:pPr>
            <w:r>
              <w:rPr>
                <w:noProof/>
              </w:rPr>
              <w:drawing>
                <wp:inline distT="0" distB="0" distL="0" distR="0">
                  <wp:extent cx="530352" cy="170712"/>
                  <wp:effectExtent l="0" t="0" r="0" b="0"/>
                  <wp:docPr id="5119" name="Picture 5119"/>
                  <wp:cNvGraphicFramePr/>
                  <a:graphic xmlns:a="http://schemas.openxmlformats.org/drawingml/2006/main">
                    <a:graphicData uri="http://schemas.openxmlformats.org/drawingml/2006/picture">
                      <pic:pic xmlns:pic="http://schemas.openxmlformats.org/drawingml/2006/picture">
                        <pic:nvPicPr>
                          <pic:cNvPr id="5119" name="Picture 5119"/>
                          <pic:cNvPicPr/>
                        </pic:nvPicPr>
                        <pic:blipFill>
                          <a:blip r:embed="rId9"/>
                          <a:stretch>
                            <a:fillRect/>
                          </a:stretch>
                        </pic:blipFill>
                        <pic:spPr>
                          <a:xfrm>
                            <a:off x="0" y="0"/>
                            <a:ext cx="530352" cy="170712"/>
                          </a:xfrm>
                          <a:prstGeom prst="rect">
                            <a:avLst/>
                          </a:prstGeom>
                        </pic:spPr>
                      </pic:pic>
                    </a:graphicData>
                  </a:graphic>
                </wp:inline>
              </w:drawing>
            </w:r>
          </w:p>
        </w:tc>
      </w:tr>
      <w:tr w:rsidR="000A33F6">
        <w:trPr>
          <w:trHeight w:val="670"/>
        </w:trPr>
        <w:tc>
          <w:tcPr>
            <w:tcW w:w="3374" w:type="dxa"/>
            <w:gridSpan w:val="3"/>
            <w:tcBorders>
              <w:top w:val="single" w:sz="2" w:space="0" w:color="000000"/>
              <w:left w:val="single" w:sz="2" w:space="0" w:color="000000"/>
              <w:bottom w:val="single" w:sz="2" w:space="0" w:color="000000"/>
              <w:right w:val="single" w:sz="2" w:space="0" w:color="000000"/>
            </w:tcBorders>
            <w:vAlign w:val="center"/>
          </w:tcPr>
          <w:p w:rsidR="000A33F6" w:rsidRDefault="0070633B">
            <w:pPr>
              <w:spacing w:after="0" w:line="259" w:lineRule="auto"/>
              <w:ind w:left="0"/>
              <w:jc w:val="left"/>
            </w:pPr>
            <w:r>
              <w:rPr>
                <w:sz w:val="18"/>
              </w:rPr>
              <w:t>průmyslové výřezy jehličnaté SMRK, JEDLE</w:t>
            </w:r>
          </w:p>
        </w:tc>
        <w:tc>
          <w:tcPr>
            <w:tcW w:w="1904" w:type="dxa"/>
            <w:gridSpan w:val="2"/>
            <w:tcBorders>
              <w:top w:val="single" w:sz="2" w:space="0" w:color="000000"/>
              <w:left w:val="single" w:sz="2" w:space="0" w:color="000000"/>
              <w:bottom w:val="single" w:sz="2" w:space="0" w:color="000000"/>
              <w:right w:val="single" w:sz="2" w:space="0" w:color="000000"/>
            </w:tcBorders>
            <w:vAlign w:val="center"/>
          </w:tcPr>
          <w:p w:rsidR="000A33F6" w:rsidRDefault="0070633B">
            <w:pPr>
              <w:spacing w:after="0" w:line="259" w:lineRule="auto"/>
              <w:ind w:left="134"/>
              <w:jc w:val="center"/>
            </w:pPr>
            <w:r w:rsidRPr="0070633B">
              <w:rPr>
                <w:sz w:val="18"/>
                <w:highlight w:val="black"/>
              </w:rPr>
              <w:t>110</w:t>
            </w:r>
          </w:p>
        </w:tc>
        <w:tc>
          <w:tcPr>
            <w:tcW w:w="1867" w:type="dxa"/>
            <w:gridSpan w:val="3"/>
            <w:tcBorders>
              <w:top w:val="single" w:sz="2" w:space="0" w:color="000000"/>
              <w:left w:val="single" w:sz="2" w:space="0" w:color="000000"/>
              <w:bottom w:val="single" w:sz="2" w:space="0" w:color="000000"/>
              <w:right w:val="single" w:sz="2" w:space="0" w:color="000000"/>
            </w:tcBorders>
            <w:vAlign w:val="center"/>
          </w:tcPr>
          <w:p w:rsidR="000A33F6" w:rsidRDefault="0070633B">
            <w:pPr>
              <w:spacing w:after="0" w:line="259" w:lineRule="auto"/>
              <w:ind w:left="112"/>
              <w:jc w:val="center"/>
            </w:pPr>
            <w:r>
              <w:rPr>
                <w:sz w:val="20"/>
              </w:rPr>
              <w:t>pouze 4m</w:t>
            </w:r>
          </w:p>
        </w:tc>
        <w:tc>
          <w:tcPr>
            <w:tcW w:w="864" w:type="dxa"/>
            <w:gridSpan w:val="2"/>
            <w:tcBorders>
              <w:top w:val="single" w:sz="2" w:space="0" w:color="000000"/>
              <w:left w:val="single" w:sz="2" w:space="0" w:color="000000"/>
              <w:bottom w:val="single" w:sz="2" w:space="0" w:color="000000"/>
              <w:right w:val="single" w:sz="2" w:space="0" w:color="000000"/>
            </w:tcBorders>
            <w:vAlign w:val="center"/>
          </w:tcPr>
          <w:p w:rsidR="000A33F6" w:rsidRDefault="0070633B">
            <w:pPr>
              <w:spacing w:after="0" w:line="259" w:lineRule="auto"/>
              <w:ind w:left="112"/>
              <w:jc w:val="center"/>
            </w:pPr>
            <w:r w:rsidRPr="0070633B">
              <w:rPr>
                <w:sz w:val="20"/>
                <w:highlight w:val="black"/>
              </w:rPr>
              <w:t>100</w:t>
            </w:r>
          </w:p>
        </w:tc>
        <w:tc>
          <w:tcPr>
            <w:tcW w:w="1157" w:type="dxa"/>
            <w:gridSpan w:val="2"/>
            <w:tcBorders>
              <w:top w:val="single" w:sz="2" w:space="0" w:color="000000"/>
              <w:left w:val="single" w:sz="2" w:space="0" w:color="000000"/>
              <w:bottom w:val="single" w:sz="2" w:space="0" w:color="000000"/>
              <w:right w:val="single" w:sz="2" w:space="0" w:color="000000"/>
            </w:tcBorders>
          </w:tcPr>
          <w:p w:rsidR="000A33F6" w:rsidRDefault="000A33F6">
            <w:pPr>
              <w:spacing w:after="160" w:line="259" w:lineRule="auto"/>
              <w:ind w:left="0"/>
              <w:jc w:val="left"/>
            </w:pPr>
          </w:p>
        </w:tc>
      </w:tr>
      <w:tr w:rsidR="000A33F6">
        <w:tblPrEx>
          <w:tblCellMar>
            <w:top w:w="10" w:type="dxa"/>
            <w:left w:w="5" w:type="dxa"/>
            <w:right w:w="23" w:type="dxa"/>
          </w:tblCellMar>
        </w:tblPrEx>
        <w:trPr>
          <w:gridBefore w:val="1"/>
          <w:wBefore w:w="29" w:type="dxa"/>
          <w:trHeight w:val="530"/>
        </w:trPr>
        <w:tc>
          <w:tcPr>
            <w:tcW w:w="4255" w:type="dxa"/>
            <w:gridSpan w:val="3"/>
            <w:tcBorders>
              <w:top w:val="single" w:sz="2" w:space="0" w:color="000000"/>
              <w:left w:val="single" w:sz="2" w:space="0" w:color="000000"/>
              <w:bottom w:val="single" w:sz="2" w:space="0" w:color="000000"/>
              <w:right w:val="nil"/>
            </w:tcBorders>
            <w:vAlign w:val="center"/>
          </w:tcPr>
          <w:p w:rsidR="000A33F6" w:rsidRDefault="0070633B">
            <w:pPr>
              <w:spacing w:after="0" w:line="259" w:lineRule="auto"/>
              <w:ind w:left="1017"/>
              <w:jc w:val="left"/>
            </w:pPr>
            <w:r>
              <w:rPr>
                <w:sz w:val="18"/>
              </w:rPr>
              <w:t xml:space="preserve">Pilařská kulatina </w:t>
            </w:r>
            <w:proofErr w:type="gramStart"/>
            <w:r>
              <w:rPr>
                <w:sz w:val="18"/>
              </w:rPr>
              <w:t>SMRK,JEDLE</w:t>
            </w:r>
            <w:proofErr w:type="gramEnd"/>
          </w:p>
        </w:tc>
        <w:tc>
          <w:tcPr>
            <w:tcW w:w="3218" w:type="dxa"/>
            <w:gridSpan w:val="5"/>
            <w:tcBorders>
              <w:top w:val="single" w:sz="2" w:space="0" w:color="000000"/>
              <w:left w:val="nil"/>
              <w:bottom w:val="single" w:sz="2" w:space="0" w:color="000000"/>
              <w:right w:val="nil"/>
            </w:tcBorders>
            <w:vAlign w:val="center"/>
          </w:tcPr>
          <w:p w:rsidR="000A33F6" w:rsidRDefault="0070633B">
            <w:pPr>
              <w:spacing w:after="0" w:line="259" w:lineRule="auto"/>
              <w:ind w:left="401"/>
              <w:jc w:val="left"/>
            </w:pPr>
            <w:r>
              <w:rPr>
                <w:sz w:val="30"/>
              </w:rPr>
              <w:t xml:space="preserve">Labe </w:t>
            </w:r>
            <w:proofErr w:type="spellStart"/>
            <w:r>
              <w:rPr>
                <w:sz w:val="30"/>
              </w:rPr>
              <w:t>Wood</w:t>
            </w:r>
            <w:proofErr w:type="spellEnd"/>
          </w:p>
        </w:tc>
        <w:tc>
          <w:tcPr>
            <w:tcW w:w="1666" w:type="dxa"/>
            <w:gridSpan w:val="3"/>
            <w:tcBorders>
              <w:top w:val="single" w:sz="2" w:space="0" w:color="000000"/>
              <w:left w:val="nil"/>
              <w:bottom w:val="single" w:sz="2" w:space="0" w:color="000000"/>
              <w:right w:val="single" w:sz="2" w:space="0" w:color="000000"/>
            </w:tcBorders>
            <w:vAlign w:val="center"/>
          </w:tcPr>
          <w:p w:rsidR="000A33F6" w:rsidRDefault="0070633B">
            <w:pPr>
              <w:spacing w:after="0" w:line="259" w:lineRule="auto"/>
              <w:ind w:left="0"/>
              <w:jc w:val="left"/>
            </w:pPr>
            <w:r>
              <w:rPr>
                <w:sz w:val="18"/>
              </w:rPr>
              <w:t>-pouze výřezy 4m</w:t>
            </w:r>
          </w:p>
        </w:tc>
      </w:tr>
      <w:tr w:rsidR="000A33F6">
        <w:tblPrEx>
          <w:tblCellMar>
            <w:top w:w="10" w:type="dxa"/>
            <w:left w:w="5" w:type="dxa"/>
            <w:right w:w="23" w:type="dxa"/>
          </w:tblCellMar>
        </w:tblPrEx>
        <w:trPr>
          <w:gridBefore w:val="1"/>
          <w:wBefore w:w="29" w:type="dxa"/>
          <w:trHeight w:val="253"/>
        </w:trPr>
        <w:tc>
          <w:tcPr>
            <w:tcW w:w="3324" w:type="dxa"/>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0" w:right="62"/>
              <w:jc w:val="center"/>
            </w:pPr>
            <w:r>
              <w:rPr>
                <w:sz w:val="24"/>
              </w:rPr>
              <w:t>SMRK 4m</w:t>
            </w:r>
          </w:p>
        </w:tc>
        <w:tc>
          <w:tcPr>
            <w:tcW w:w="931" w:type="dxa"/>
            <w:gridSpan w:val="2"/>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32"/>
              <w:jc w:val="center"/>
            </w:pPr>
            <w:r>
              <w:rPr>
                <w:sz w:val="20"/>
              </w:rPr>
              <w:t>la</w:t>
            </w:r>
          </w:p>
        </w:tc>
        <w:tc>
          <w:tcPr>
            <w:tcW w:w="1013" w:type="dxa"/>
            <w:gridSpan w:val="2"/>
            <w:tcBorders>
              <w:top w:val="single" w:sz="2" w:space="0" w:color="000000"/>
              <w:left w:val="single" w:sz="2" w:space="0" w:color="000000"/>
              <w:bottom w:val="single" w:sz="2" w:space="0" w:color="000000"/>
              <w:right w:val="single" w:sz="2" w:space="0" w:color="000000"/>
            </w:tcBorders>
          </w:tcPr>
          <w:p w:rsidR="000A33F6" w:rsidRDefault="000A33F6">
            <w:pPr>
              <w:spacing w:after="160" w:line="259" w:lineRule="auto"/>
              <w:ind w:left="0"/>
              <w:jc w:val="left"/>
            </w:pPr>
          </w:p>
        </w:tc>
        <w:tc>
          <w:tcPr>
            <w:tcW w:w="732" w:type="dxa"/>
            <w:tcBorders>
              <w:top w:val="single" w:sz="2" w:space="0" w:color="000000"/>
              <w:left w:val="single" w:sz="2" w:space="0" w:color="000000"/>
              <w:bottom w:val="single" w:sz="2" w:space="0" w:color="000000"/>
              <w:right w:val="single" w:sz="2" w:space="0" w:color="000000"/>
            </w:tcBorders>
          </w:tcPr>
          <w:p w:rsidR="000A33F6" w:rsidRDefault="000A33F6">
            <w:pPr>
              <w:spacing w:after="160" w:line="259" w:lineRule="auto"/>
              <w:ind w:left="0"/>
              <w:jc w:val="left"/>
            </w:pPr>
          </w:p>
        </w:tc>
        <w:tc>
          <w:tcPr>
            <w:tcW w:w="1474" w:type="dxa"/>
            <w:gridSpan w:val="2"/>
            <w:tcBorders>
              <w:top w:val="single" w:sz="2" w:space="0" w:color="000000"/>
              <w:left w:val="single" w:sz="2" w:space="0" w:color="000000"/>
              <w:bottom w:val="single" w:sz="2" w:space="0" w:color="000000"/>
              <w:right w:val="single" w:sz="2" w:space="0" w:color="000000"/>
            </w:tcBorders>
          </w:tcPr>
          <w:p w:rsidR="000A33F6" w:rsidRDefault="000A33F6">
            <w:pPr>
              <w:spacing w:after="160" w:line="259" w:lineRule="auto"/>
              <w:ind w:left="0"/>
              <w:jc w:val="left"/>
            </w:pPr>
          </w:p>
        </w:tc>
        <w:tc>
          <w:tcPr>
            <w:tcW w:w="740" w:type="dxa"/>
            <w:gridSpan w:val="2"/>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192"/>
              <w:jc w:val="left"/>
            </w:pPr>
            <w:r>
              <w:rPr>
                <w:sz w:val="24"/>
              </w:rPr>
              <w:t xml:space="preserve">4b+ </w:t>
            </w:r>
          </w:p>
        </w:tc>
        <w:tc>
          <w:tcPr>
            <w:tcW w:w="926" w:type="dxa"/>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27"/>
              <w:jc w:val="center"/>
            </w:pPr>
            <w:r>
              <w:rPr>
                <w:sz w:val="18"/>
              </w:rPr>
              <w:t xml:space="preserve">ti. </w:t>
            </w:r>
            <w:proofErr w:type="gramStart"/>
            <w:r>
              <w:rPr>
                <w:sz w:val="18"/>
              </w:rPr>
              <w:t>stupeň</w:t>
            </w:r>
            <w:proofErr w:type="gramEnd"/>
          </w:p>
        </w:tc>
      </w:tr>
      <w:tr w:rsidR="000A33F6">
        <w:tblPrEx>
          <w:tblCellMar>
            <w:top w:w="10" w:type="dxa"/>
            <w:left w:w="5" w:type="dxa"/>
            <w:right w:w="23" w:type="dxa"/>
          </w:tblCellMar>
        </w:tblPrEx>
        <w:trPr>
          <w:gridBefore w:val="1"/>
          <w:wBefore w:w="29" w:type="dxa"/>
          <w:trHeight w:val="271"/>
        </w:trPr>
        <w:tc>
          <w:tcPr>
            <w:tcW w:w="3324" w:type="dxa"/>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19"/>
              <w:jc w:val="center"/>
            </w:pPr>
            <w:r>
              <w:rPr>
                <w:sz w:val="18"/>
              </w:rPr>
              <w:t>průměr bez kůry</w:t>
            </w:r>
          </w:p>
        </w:tc>
        <w:tc>
          <w:tcPr>
            <w:tcW w:w="931" w:type="dxa"/>
            <w:gridSpan w:val="2"/>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42"/>
              <w:jc w:val="center"/>
            </w:pPr>
            <w:r>
              <w:t>SMe17cm</w:t>
            </w:r>
          </w:p>
        </w:tc>
        <w:tc>
          <w:tcPr>
            <w:tcW w:w="1013" w:type="dxa"/>
            <w:gridSpan w:val="2"/>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108"/>
              <w:jc w:val="left"/>
            </w:pPr>
            <w:r>
              <w:rPr>
                <w:sz w:val="14"/>
              </w:rPr>
              <w:t xml:space="preserve">čep 17-19STP </w:t>
            </w:r>
          </w:p>
        </w:tc>
        <w:tc>
          <w:tcPr>
            <w:tcW w:w="732" w:type="dxa"/>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98"/>
              <w:jc w:val="left"/>
            </w:pPr>
            <w:r>
              <w:t>20-2űSTP</w:t>
            </w:r>
          </w:p>
        </w:tc>
        <w:tc>
          <w:tcPr>
            <w:tcW w:w="1474" w:type="dxa"/>
            <w:gridSpan w:val="2"/>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37"/>
              <w:jc w:val="center"/>
            </w:pPr>
            <w:r>
              <w:t>25-aaSTP</w:t>
            </w:r>
          </w:p>
        </w:tc>
        <w:tc>
          <w:tcPr>
            <w:tcW w:w="740" w:type="dxa"/>
            <w:gridSpan w:val="2"/>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96"/>
              <w:jc w:val="left"/>
            </w:pPr>
            <w:r>
              <w:rPr>
                <w:sz w:val="14"/>
              </w:rPr>
              <w:t xml:space="preserve">4 </w:t>
            </w:r>
            <w:proofErr w:type="spellStart"/>
            <w:r>
              <w:rPr>
                <w:sz w:val="14"/>
              </w:rPr>
              <w:t>S-ass•rp</w:t>
            </w:r>
            <w:proofErr w:type="spellEnd"/>
          </w:p>
        </w:tc>
        <w:tc>
          <w:tcPr>
            <w:tcW w:w="926" w:type="dxa"/>
            <w:tcBorders>
              <w:top w:val="single" w:sz="2" w:space="0" w:color="000000"/>
              <w:left w:val="single" w:sz="2" w:space="0" w:color="000000"/>
              <w:bottom w:val="single" w:sz="2" w:space="0" w:color="000000"/>
              <w:right w:val="single" w:sz="2" w:space="0" w:color="000000"/>
            </w:tcBorders>
          </w:tcPr>
          <w:p w:rsidR="000A33F6" w:rsidRDefault="000A33F6">
            <w:pPr>
              <w:spacing w:after="160" w:line="259" w:lineRule="auto"/>
              <w:ind w:left="0"/>
              <w:jc w:val="left"/>
            </w:pPr>
          </w:p>
        </w:tc>
      </w:tr>
      <w:tr w:rsidR="000A33F6">
        <w:tblPrEx>
          <w:tblCellMar>
            <w:top w:w="10" w:type="dxa"/>
            <w:left w:w="5" w:type="dxa"/>
            <w:right w:w="23" w:type="dxa"/>
          </w:tblCellMar>
        </w:tblPrEx>
        <w:trPr>
          <w:gridBefore w:val="1"/>
          <w:wBefore w:w="29" w:type="dxa"/>
          <w:trHeight w:val="281"/>
        </w:trPr>
        <w:tc>
          <w:tcPr>
            <w:tcW w:w="3324" w:type="dxa"/>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0" w:right="14"/>
              <w:jc w:val="center"/>
            </w:pPr>
            <w:r>
              <w:rPr>
                <w:sz w:val="24"/>
              </w:rPr>
              <w:t>AB C</w:t>
            </w:r>
          </w:p>
        </w:tc>
        <w:tc>
          <w:tcPr>
            <w:tcW w:w="931" w:type="dxa"/>
            <w:gridSpan w:val="2"/>
            <w:tcBorders>
              <w:top w:val="single" w:sz="2" w:space="0" w:color="000000"/>
              <w:left w:val="single" w:sz="2" w:space="0" w:color="000000"/>
              <w:bottom w:val="single" w:sz="2" w:space="0" w:color="000000"/>
              <w:right w:val="single" w:sz="2" w:space="0" w:color="000000"/>
            </w:tcBorders>
          </w:tcPr>
          <w:p w:rsidR="000A33F6" w:rsidRPr="0070633B" w:rsidRDefault="0070633B">
            <w:pPr>
              <w:spacing w:after="0" w:line="259" w:lineRule="auto"/>
              <w:ind w:left="56"/>
              <w:jc w:val="center"/>
              <w:rPr>
                <w:highlight w:val="black"/>
              </w:rPr>
            </w:pPr>
            <w:r w:rsidRPr="0070633B">
              <w:rPr>
                <w:sz w:val="24"/>
                <w:highlight w:val="black"/>
              </w:rPr>
              <w:t>50</w:t>
            </w:r>
          </w:p>
        </w:tc>
        <w:tc>
          <w:tcPr>
            <w:tcW w:w="1013" w:type="dxa"/>
            <w:gridSpan w:val="2"/>
            <w:tcBorders>
              <w:top w:val="single" w:sz="2" w:space="0" w:color="000000"/>
              <w:left w:val="single" w:sz="2" w:space="0" w:color="000000"/>
              <w:bottom w:val="single" w:sz="2" w:space="0" w:color="000000"/>
              <w:right w:val="single" w:sz="2" w:space="0" w:color="000000"/>
            </w:tcBorders>
          </w:tcPr>
          <w:p w:rsidR="000A33F6" w:rsidRPr="0070633B" w:rsidRDefault="0070633B">
            <w:pPr>
              <w:spacing w:after="0" w:line="259" w:lineRule="auto"/>
              <w:ind w:left="57"/>
              <w:jc w:val="center"/>
              <w:rPr>
                <w:highlight w:val="black"/>
              </w:rPr>
            </w:pPr>
            <w:r w:rsidRPr="0070633B">
              <w:rPr>
                <w:sz w:val="24"/>
                <w:highlight w:val="black"/>
              </w:rPr>
              <w:t>850</w:t>
            </w:r>
          </w:p>
        </w:tc>
        <w:tc>
          <w:tcPr>
            <w:tcW w:w="732" w:type="dxa"/>
            <w:tcBorders>
              <w:top w:val="single" w:sz="2" w:space="0" w:color="000000"/>
              <w:left w:val="single" w:sz="2" w:space="0" w:color="000000"/>
              <w:bottom w:val="single" w:sz="2" w:space="0" w:color="000000"/>
              <w:right w:val="single" w:sz="2" w:space="0" w:color="000000"/>
            </w:tcBorders>
          </w:tcPr>
          <w:p w:rsidR="000A33F6" w:rsidRPr="0070633B" w:rsidRDefault="0070633B">
            <w:pPr>
              <w:spacing w:after="0" w:line="259" w:lineRule="auto"/>
              <w:ind w:left="146"/>
              <w:jc w:val="left"/>
              <w:rPr>
                <w:highlight w:val="black"/>
              </w:rPr>
            </w:pPr>
            <w:r w:rsidRPr="0070633B">
              <w:rPr>
                <w:sz w:val="24"/>
                <w:highlight w:val="black"/>
              </w:rPr>
              <w:t>1250</w:t>
            </w:r>
          </w:p>
        </w:tc>
        <w:tc>
          <w:tcPr>
            <w:tcW w:w="1474" w:type="dxa"/>
            <w:gridSpan w:val="2"/>
            <w:tcBorders>
              <w:top w:val="single" w:sz="2" w:space="0" w:color="000000"/>
              <w:left w:val="single" w:sz="2" w:space="0" w:color="000000"/>
              <w:bottom w:val="single" w:sz="2" w:space="0" w:color="000000"/>
              <w:right w:val="single" w:sz="2" w:space="0" w:color="000000"/>
            </w:tcBorders>
          </w:tcPr>
          <w:p w:rsidR="000A33F6" w:rsidRPr="0070633B" w:rsidRDefault="0070633B">
            <w:pPr>
              <w:spacing w:after="0" w:line="259" w:lineRule="auto"/>
              <w:ind w:left="52"/>
              <w:jc w:val="center"/>
              <w:rPr>
                <w:highlight w:val="black"/>
              </w:rPr>
            </w:pPr>
            <w:r w:rsidRPr="0070633B">
              <w:rPr>
                <w:sz w:val="24"/>
                <w:highlight w:val="black"/>
              </w:rPr>
              <w:t>1400</w:t>
            </w:r>
          </w:p>
        </w:tc>
        <w:tc>
          <w:tcPr>
            <w:tcW w:w="740" w:type="dxa"/>
            <w:gridSpan w:val="2"/>
            <w:tcBorders>
              <w:top w:val="single" w:sz="2" w:space="0" w:color="000000"/>
              <w:left w:val="single" w:sz="2" w:space="0" w:color="000000"/>
              <w:bottom w:val="single" w:sz="2" w:space="0" w:color="000000"/>
              <w:right w:val="single" w:sz="2" w:space="0" w:color="000000"/>
            </w:tcBorders>
          </w:tcPr>
          <w:p w:rsidR="000A33F6" w:rsidRPr="0070633B" w:rsidRDefault="0070633B">
            <w:pPr>
              <w:spacing w:after="0" w:line="259" w:lineRule="auto"/>
              <w:ind w:left="37"/>
              <w:jc w:val="center"/>
              <w:rPr>
                <w:highlight w:val="black"/>
              </w:rPr>
            </w:pPr>
            <w:r w:rsidRPr="0070633B">
              <w:rPr>
                <w:sz w:val="24"/>
                <w:highlight w:val="black"/>
              </w:rPr>
              <w:t>50</w:t>
            </w:r>
          </w:p>
        </w:tc>
        <w:tc>
          <w:tcPr>
            <w:tcW w:w="926" w:type="dxa"/>
            <w:vMerge w:val="restart"/>
            <w:tcBorders>
              <w:top w:val="single" w:sz="2" w:space="0" w:color="000000"/>
              <w:left w:val="single" w:sz="2" w:space="0" w:color="000000"/>
              <w:bottom w:val="single" w:sz="2" w:space="0" w:color="000000"/>
              <w:right w:val="single" w:sz="2" w:space="0" w:color="000000"/>
            </w:tcBorders>
            <w:vAlign w:val="center"/>
          </w:tcPr>
          <w:p w:rsidR="000A33F6" w:rsidRDefault="0070633B">
            <w:pPr>
              <w:spacing w:after="0" w:line="259" w:lineRule="auto"/>
              <w:ind w:left="36"/>
              <w:jc w:val="center"/>
            </w:pPr>
            <w:r>
              <w:rPr>
                <w:sz w:val="18"/>
              </w:rPr>
              <w:t>Kč/m3</w:t>
            </w:r>
          </w:p>
        </w:tc>
      </w:tr>
      <w:tr w:rsidR="000A33F6">
        <w:tblPrEx>
          <w:tblCellMar>
            <w:top w:w="10" w:type="dxa"/>
            <w:left w:w="5" w:type="dxa"/>
            <w:right w:w="23" w:type="dxa"/>
          </w:tblCellMar>
        </w:tblPrEx>
        <w:trPr>
          <w:gridBefore w:val="1"/>
          <w:wBefore w:w="29" w:type="dxa"/>
          <w:trHeight w:val="278"/>
        </w:trPr>
        <w:tc>
          <w:tcPr>
            <w:tcW w:w="3324" w:type="dxa"/>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0" w:right="5"/>
              <w:jc w:val="center"/>
            </w:pPr>
            <w:r>
              <w:rPr>
                <w:sz w:val="26"/>
              </w:rPr>
              <w:t>KH</w:t>
            </w:r>
          </w:p>
        </w:tc>
        <w:tc>
          <w:tcPr>
            <w:tcW w:w="931" w:type="dxa"/>
            <w:gridSpan w:val="2"/>
            <w:vMerge w:val="restart"/>
            <w:tcBorders>
              <w:top w:val="single" w:sz="2" w:space="0" w:color="000000"/>
              <w:left w:val="single" w:sz="2" w:space="0" w:color="000000"/>
              <w:bottom w:val="single" w:sz="2" w:space="0" w:color="000000"/>
              <w:right w:val="single" w:sz="2" w:space="0" w:color="000000"/>
            </w:tcBorders>
            <w:vAlign w:val="center"/>
          </w:tcPr>
          <w:p w:rsidR="000A33F6" w:rsidRPr="0070633B" w:rsidRDefault="0070633B">
            <w:pPr>
              <w:spacing w:after="0" w:line="259" w:lineRule="auto"/>
              <w:ind w:left="66"/>
              <w:jc w:val="center"/>
              <w:rPr>
                <w:highlight w:val="black"/>
              </w:rPr>
            </w:pPr>
            <w:r w:rsidRPr="0070633B">
              <w:rPr>
                <w:sz w:val="26"/>
                <w:highlight w:val="black"/>
              </w:rPr>
              <w:t>50</w:t>
            </w:r>
          </w:p>
        </w:tc>
        <w:tc>
          <w:tcPr>
            <w:tcW w:w="1013" w:type="dxa"/>
            <w:gridSpan w:val="2"/>
            <w:vMerge w:val="restart"/>
            <w:tcBorders>
              <w:top w:val="single" w:sz="2" w:space="0" w:color="000000"/>
              <w:left w:val="single" w:sz="2" w:space="0" w:color="000000"/>
              <w:bottom w:val="single" w:sz="2" w:space="0" w:color="000000"/>
              <w:right w:val="single" w:sz="2" w:space="0" w:color="000000"/>
            </w:tcBorders>
            <w:vAlign w:val="center"/>
          </w:tcPr>
          <w:p w:rsidR="000A33F6" w:rsidRPr="0070633B" w:rsidRDefault="0070633B">
            <w:pPr>
              <w:spacing w:after="0" w:line="259" w:lineRule="auto"/>
              <w:ind w:left="57"/>
              <w:jc w:val="center"/>
              <w:rPr>
                <w:highlight w:val="black"/>
              </w:rPr>
            </w:pPr>
            <w:r w:rsidRPr="0070633B">
              <w:rPr>
                <w:sz w:val="24"/>
                <w:highlight w:val="black"/>
              </w:rPr>
              <w:t>650</w:t>
            </w:r>
          </w:p>
        </w:tc>
        <w:tc>
          <w:tcPr>
            <w:tcW w:w="732" w:type="dxa"/>
            <w:vMerge w:val="restart"/>
            <w:tcBorders>
              <w:top w:val="single" w:sz="2" w:space="0" w:color="000000"/>
              <w:left w:val="single" w:sz="2" w:space="0" w:color="000000"/>
              <w:bottom w:val="single" w:sz="2" w:space="0" w:color="000000"/>
              <w:right w:val="single" w:sz="2" w:space="0" w:color="000000"/>
            </w:tcBorders>
            <w:vAlign w:val="center"/>
          </w:tcPr>
          <w:p w:rsidR="000A33F6" w:rsidRPr="0070633B" w:rsidRDefault="0070633B">
            <w:pPr>
              <w:spacing w:after="0" w:line="259" w:lineRule="auto"/>
              <w:ind w:left="59"/>
              <w:jc w:val="center"/>
              <w:rPr>
                <w:highlight w:val="black"/>
              </w:rPr>
            </w:pPr>
            <w:r w:rsidRPr="0070633B">
              <w:rPr>
                <w:sz w:val="24"/>
                <w:highlight w:val="black"/>
              </w:rPr>
              <w:t>750</w:t>
            </w:r>
          </w:p>
        </w:tc>
        <w:tc>
          <w:tcPr>
            <w:tcW w:w="1474" w:type="dxa"/>
            <w:gridSpan w:val="2"/>
            <w:vMerge w:val="restart"/>
            <w:tcBorders>
              <w:top w:val="single" w:sz="2" w:space="0" w:color="000000"/>
              <w:left w:val="single" w:sz="2" w:space="0" w:color="000000"/>
              <w:bottom w:val="single" w:sz="2" w:space="0" w:color="000000"/>
              <w:right w:val="single" w:sz="2" w:space="0" w:color="000000"/>
            </w:tcBorders>
            <w:vAlign w:val="center"/>
          </w:tcPr>
          <w:p w:rsidR="000A33F6" w:rsidRPr="0070633B" w:rsidRDefault="0070633B">
            <w:pPr>
              <w:spacing w:after="0" w:line="259" w:lineRule="auto"/>
              <w:ind w:left="42"/>
              <w:jc w:val="center"/>
              <w:rPr>
                <w:highlight w:val="black"/>
              </w:rPr>
            </w:pPr>
            <w:r w:rsidRPr="0070633B">
              <w:rPr>
                <w:sz w:val="24"/>
                <w:highlight w:val="black"/>
              </w:rPr>
              <w:t>800</w:t>
            </w:r>
          </w:p>
        </w:tc>
        <w:tc>
          <w:tcPr>
            <w:tcW w:w="740" w:type="dxa"/>
            <w:gridSpan w:val="2"/>
            <w:vMerge w:val="restart"/>
            <w:tcBorders>
              <w:top w:val="single" w:sz="2" w:space="0" w:color="000000"/>
              <w:left w:val="single" w:sz="2" w:space="0" w:color="000000"/>
              <w:bottom w:val="single" w:sz="2" w:space="0" w:color="000000"/>
              <w:right w:val="single" w:sz="2" w:space="0" w:color="000000"/>
            </w:tcBorders>
            <w:vAlign w:val="center"/>
          </w:tcPr>
          <w:p w:rsidR="000A33F6" w:rsidRPr="0070633B" w:rsidRDefault="0070633B">
            <w:pPr>
              <w:spacing w:after="0" w:line="259" w:lineRule="auto"/>
              <w:ind w:left="51"/>
              <w:jc w:val="center"/>
              <w:rPr>
                <w:highlight w:val="black"/>
              </w:rPr>
            </w:pPr>
            <w:r w:rsidRPr="0070633B">
              <w:rPr>
                <w:sz w:val="24"/>
                <w:highlight w:val="black"/>
              </w:rPr>
              <w:t>50</w:t>
            </w:r>
          </w:p>
        </w:tc>
        <w:tc>
          <w:tcPr>
            <w:tcW w:w="0" w:type="auto"/>
            <w:vMerge/>
            <w:tcBorders>
              <w:top w:val="nil"/>
              <w:left w:val="single" w:sz="2" w:space="0" w:color="000000"/>
              <w:bottom w:val="nil"/>
              <w:right w:val="single" w:sz="2" w:space="0" w:color="000000"/>
            </w:tcBorders>
          </w:tcPr>
          <w:p w:rsidR="000A33F6" w:rsidRDefault="000A33F6">
            <w:pPr>
              <w:spacing w:after="160" w:line="259" w:lineRule="auto"/>
              <w:ind w:left="0"/>
              <w:jc w:val="left"/>
            </w:pPr>
          </w:p>
        </w:tc>
      </w:tr>
      <w:tr w:rsidR="000A33F6">
        <w:tblPrEx>
          <w:tblCellMar>
            <w:top w:w="10" w:type="dxa"/>
            <w:left w:w="5" w:type="dxa"/>
            <w:right w:w="23" w:type="dxa"/>
          </w:tblCellMar>
        </w:tblPrEx>
        <w:trPr>
          <w:gridBefore w:val="1"/>
          <w:wBefore w:w="29" w:type="dxa"/>
          <w:trHeight w:val="250"/>
        </w:trPr>
        <w:tc>
          <w:tcPr>
            <w:tcW w:w="3324" w:type="dxa"/>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0" w:right="5"/>
              <w:jc w:val="center"/>
            </w:pPr>
            <w:proofErr w:type="gramStart"/>
            <w:r>
              <w:rPr>
                <w:sz w:val="24"/>
              </w:rPr>
              <w:t>CX,BR</w:t>
            </w:r>
            <w:proofErr w:type="gramEnd"/>
          </w:p>
        </w:tc>
        <w:tc>
          <w:tcPr>
            <w:tcW w:w="0" w:type="auto"/>
            <w:gridSpan w:val="2"/>
            <w:vMerge/>
            <w:tcBorders>
              <w:top w:val="nil"/>
              <w:left w:val="single" w:sz="2" w:space="0" w:color="000000"/>
              <w:bottom w:val="single" w:sz="2" w:space="0" w:color="000000"/>
              <w:right w:val="single" w:sz="2" w:space="0" w:color="000000"/>
            </w:tcBorders>
          </w:tcPr>
          <w:p w:rsidR="000A33F6" w:rsidRPr="0070633B" w:rsidRDefault="000A33F6">
            <w:pPr>
              <w:spacing w:after="160" w:line="259" w:lineRule="auto"/>
              <w:ind w:left="0"/>
              <w:jc w:val="left"/>
              <w:rPr>
                <w:highlight w:val="black"/>
              </w:rPr>
            </w:pPr>
          </w:p>
        </w:tc>
        <w:tc>
          <w:tcPr>
            <w:tcW w:w="0" w:type="auto"/>
            <w:gridSpan w:val="2"/>
            <w:vMerge/>
            <w:tcBorders>
              <w:top w:val="nil"/>
              <w:left w:val="single" w:sz="2" w:space="0" w:color="000000"/>
              <w:bottom w:val="single" w:sz="2" w:space="0" w:color="000000"/>
              <w:right w:val="single" w:sz="2" w:space="0" w:color="000000"/>
            </w:tcBorders>
          </w:tcPr>
          <w:p w:rsidR="000A33F6" w:rsidRPr="0070633B" w:rsidRDefault="000A33F6">
            <w:pPr>
              <w:spacing w:after="160" w:line="259" w:lineRule="auto"/>
              <w:ind w:left="0"/>
              <w:jc w:val="left"/>
              <w:rPr>
                <w:highlight w:val="black"/>
              </w:rPr>
            </w:pPr>
          </w:p>
        </w:tc>
        <w:tc>
          <w:tcPr>
            <w:tcW w:w="0" w:type="auto"/>
            <w:vMerge/>
            <w:tcBorders>
              <w:top w:val="nil"/>
              <w:left w:val="single" w:sz="2" w:space="0" w:color="000000"/>
              <w:bottom w:val="single" w:sz="2" w:space="0" w:color="000000"/>
              <w:right w:val="single" w:sz="2" w:space="0" w:color="000000"/>
            </w:tcBorders>
          </w:tcPr>
          <w:p w:rsidR="000A33F6" w:rsidRPr="0070633B" w:rsidRDefault="000A33F6">
            <w:pPr>
              <w:spacing w:after="160" w:line="259" w:lineRule="auto"/>
              <w:ind w:left="0"/>
              <w:jc w:val="left"/>
              <w:rPr>
                <w:highlight w:val="black"/>
              </w:rPr>
            </w:pPr>
          </w:p>
        </w:tc>
        <w:tc>
          <w:tcPr>
            <w:tcW w:w="0" w:type="auto"/>
            <w:gridSpan w:val="2"/>
            <w:vMerge/>
            <w:tcBorders>
              <w:top w:val="nil"/>
              <w:left w:val="single" w:sz="2" w:space="0" w:color="000000"/>
              <w:bottom w:val="single" w:sz="2" w:space="0" w:color="000000"/>
              <w:right w:val="single" w:sz="2" w:space="0" w:color="000000"/>
            </w:tcBorders>
          </w:tcPr>
          <w:p w:rsidR="000A33F6" w:rsidRPr="0070633B" w:rsidRDefault="000A33F6">
            <w:pPr>
              <w:spacing w:after="160" w:line="259" w:lineRule="auto"/>
              <w:ind w:left="0"/>
              <w:jc w:val="left"/>
              <w:rPr>
                <w:highlight w:val="black"/>
              </w:rPr>
            </w:pPr>
          </w:p>
        </w:tc>
        <w:tc>
          <w:tcPr>
            <w:tcW w:w="0" w:type="auto"/>
            <w:gridSpan w:val="2"/>
            <w:vMerge/>
            <w:tcBorders>
              <w:top w:val="nil"/>
              <w:left w:val="single" w:sz="2" w:space="0" w:color="000000"/>
              <w:bottom w:val="single" w:sz="2" w:space="0" w:color="000000"/>
              <w:right w:val="single" w:sz="2" w:space="0" w:color="000000"/>
            </w:tcBorders>
          </w:tcPr>
          <w:p w:rsidR="000A33F6" w:rsidRPr="0070633B" w:rsidRDefault="000A33F6">
            <w:pPr>
              <w:spacing w:after="160" w:line="259" w:lineRule="auto"/>
              <w:ind w:left="0"/>
              <w:jc w:val="left"/>
              <w:rPr>
                <w:highlight w:val="black"/>
              </w:rPr>
            </w:pPr>
          </w:p>
        </w:tc>
        <w:tc>
          <w:tcPr>
            <w:tcW w:w="0" w:type="auto"/>
            <w:vMerge/>
            <w:tcBorders>
              <w:top w:val="nil"/>
              <w:left w:val="single" w:sz="2" w:space="0" w:color="000000"/>
              <w:bottom w:val="nil"/>
              <w:right w:val="single" w:sz="2" w:space="0" w:color="000000"/>
            </w:tcBorders>
          </w:tcPr>
          <w:p w:rsidR="000A33F6" w:rsidRDefault="000A33F6">
            <w:pPr>
              <w:spacing w:after="160" w:line="259" w:lineRule="auto"/>
              <w:ind w:left="0"/>
              <w:jc w:val="left"/>
            </w:pPr>
          </w:p>
        </w:tc>
      </w:tr>
      <w:tr w:rsidR="000A33F6">
        <w:tblPrEx>
          <w:tblCellMar>
            <w:top w:w="10" w:type="dxa"/>
            <w:left w:w="5" w:type="dxa"/>
            <w:right w:w="23" w:type="dxa"/>
          </w:tblCellMar>
        </w:tblPrEx>
        <w:trPr>
          <w:gridBefore w:val="1"/>
          <w:wBefore w:w="29" w:type="dxa"/>
          <w:trHeight w:val="230"/>
        </w:trPr>
        <w:tc>
          <w:tcPr>
            <w:tcW w:w="3324" w:type="dxa"/>
            <w:tcBorders>
              <w:top w:val="single" w:sz="2" w:space="0" w:color="000000"/>
              <w:left w:val="single" w:sz="2" w:space="0" w:color="000000"/>
              <w:bottom w:val="single" w:sz="2" w:space="0" w:color="000000"/>
              <w:right w:val="single" w:sz="2" w:space="0" w:color="000000"/>
            </w:tcBorders>
          </w:tcPr>
          <w:p w:rsidR="000A33F6" w:rsidRDefault="0070633B">
            <w:pPr>
              <w:spacing w:after="0" w:line="259" w:lineRule="auto"/>
              <w:ind w:left="139"/>
              <w:jc w:val="left"/>
            </w:pPr>
            <w:r>
              <w:rPr>
                <w:sz w:val="24"/>
              </w:rPr>
              <w:t>Vlákninové dříví FH kov SP 3m</w:t>
            </w:r>
          </w:p>
        </w:tc>
        <w:tc>
          <w:tcPr>
            <w:tcW w:w="931" w:type="dxa"/>
            <w:gridSpan w:val="2"/>
            <w:tcBorders>
              <w:top w:val="single" w:sz="2" w:space="0" w:color="000000"/>
              <w:left w:val="single" w:sz="2" w:space="0" w:color="000000"/>
              <w:bottom w:val="single" w:sz="2" w:space="0" w:color="000000"/>
              <w:right w:val="nil"/>
            </w:tcBorders>
          </w:tcPr>
          <w:p w:rsidR="000A33F6" w:rsidRPr="0070633B" w:rsidRDefault="000A33F6">
            <w:pPr>
              <w:spacing w:after="160" w:line="259" w:lineRule="auto"/>
              <w:ind w:left="0"/>
              <w:jc w:val="left"/>
              <w:rPr>
                <w:highlight w:val="black"/>
              </w:rPr>
            </w:pPr>
          </w:p>
        </w:tc>
        <w:tc>
          <w:tcPr>
            <w:tcW w:w="3218" w:type="dxa"/>
            <w:gridSpan w:val="5"/>
            <w:tcBorders>
              <w:top w:val="single" w:sz="2" w:space="0" w:color="000000"/>
              <w:left w:val="nil"/>
              <w:bottom w:val="single" w:sz="2" w:space="0" w:color="000000"/>
              <w:right w:val="nil"/>
            </w:tcBorders>
          </w:tcPr>
          <w:p w:rsidR="000A33F6" w:rsidRPr="0070633B" w:rsidRDefault="0070633B">
            <w:pPr>
              <w:spacing w:after="0" w:line="259" w:lineRule="auto"/>
              <w:ind w:left="0" w:right="152"/>
              <w:jc w:val="center"/>
              <w:rPr>
                <w:highlight w:val="black"/>
              </w:rPr>
            </w:pPr>
            <w:r w:rsidRPr="0070633B">
              <w:rPr>
                <w:sz w:val="24"/>
                <w:highlight w:val="black"/>
              </w:rPr>
              <w:t>50</w:t>
            </w:r>
          </w:p>
        </w:tc>
        <w:tc>
          <w:tcPr>
            <w:tcW w:w="740" w:type="dxa"/>
            <w:gridSpan w:val="2"/>
            <w:tcBorders>
              <w:top w:val="single" w:sz="2" w:space="0" w:color="000000"/>
              <w:left w:val="nil"/>
              <w:bottom w:val="single" w:sz="2" w:space="0" w:color="000000"/>
              <w:right w:val="single" w:sz="2" w:space="0" w:color="000000"/>
            </w:tcBorders>
          </w:tcPr>
          <w:p w:rsidR="000A33F6" w:rsidRPr="0070633B" w:rsidRDefault="000A33F6">
            <w:pPr>
              <w:spacing w:after="160" w:line="259" w:lineRule="auto"/>
              <w:ind w:left="0"/>
              <w:jc w:val="left"/>
              <w:rPr>
                <w:highlight w:val="black"/>
              </w:rPr>
            </w:pPr>
          </w:p>
        </w:tc>
        <w:tc>
          <w:tcPr>
            <w:tcW w:w="0" w:type="auto"/>
            <w:vMerge/>
            <w:tcBorders>
              <w:top w:val="nil"/>
              <w:left w:val="single" w:sz="2" w:space="0" w:color="000000"/>
              <w:bottom w:val="single" w:sz="2" w:space="0" w:color="000000"/>
              <w:right w:val="single" w:sz="2" w:space="0" w:color="000000"/>
            </w:tcBorders>
          </w:tcPr>
          <w:p w:rsidR="000A33F6" w:rsidRDefault="000A33F6">
            <w:pPr>
              <w:spacing w:after="160" w:line="259" w:lineRule="auto"/>
              <w:ind w:left="0"/>
              <w:jc w:val="left"/>
            </w:pPr>
          </w:p>
        </w:tc>
      </w:tr>
    </w:tbl>
    <w:p w:rsidR="000A33F6" w:rsidRDefault="0070633B">
      <w:pPr>
        <w:pStyle w:val="Nadpis1"/>
      </w:pPr>
      <w:r>
        <w:t>Dodané dříví jiných technických a kvalitativních parametrů než je stanoveno v cenové matici, bude účtováno za cenu vlákninového dříví</w:t>
      </w:r>
    </w:p>
    <w:p w:rsidR="000A33F6" w:rsidRDefault="0070633B">
      <w:pPr>
        <w:spacing w:after="207" w:line="320" w:lineRule="auto"/>
        <w:ind w:left="135" w:right="72" w:hanging="10"/>
      </w:pPr>
      <w:r>
        <w:t>Změna kupní ceny v závislosti na kurzu CZK/EUR — pro účely této smlouvy se používá měsíční průměrný kurz, vyhlašovaný Českou národní bankou. Pokud bude měsíční průměrný kurz CZK/EUR platný pro kalendářní měsíc dodání (rozhoduje datum přejímky) vyšší než 26,81, kupní cena dle článku 5. se zvyšuje 0 25,CZK/m</w:t>
      </w:r>
      <w:r>
        <w:rPr>
          <w:vertAlign w:val="superscript"/>
        </w:rPr>
        <w:t>3</w:t>
      </w:r>
      <w:r>
        <w:t xml:space="preserve">. Pokud bude tento měsíční průměrný kurz CZK/EUR nižší než 25,81, kupní cena dle článku 5 se snižuje 0 25,- CZK/m </w:t>
      </w:r>
      <w:r>
        <w:rPr>
          <w:vertAlign w:val="superscript"/>
        </w:rPr>
        <w:t>3</w:t>
      </w:r>
      <w:r>
        <w:t>• Pokud bude měsíční průměrný kurz CZK/EUR platný pro kalendářní měsíc dodání vyšší než 27,31 kupní cena dle článku 5 se zvyšuje 0 50,- CZK/m</w:t>
      </w:r>
      <w:r>
        <w:rPr>
          <w:vertAlign w:val="superscript"/>
        </w:rPr>
        <w:t xml:space="preserve">3 </w:t>
      </w:r>
      <w:r>
        <w:t>Pokud bude tento měsíční průměrný kurz CZK/EUR nižší než 25,31, kupní cena dle článku 5 se snižuje 0 50, -CZK/m</w:t>
      </w:r>
      <w:r>
        <w:rPr>
          <w:vertAlign w:val="superscript"/>
        </w:rPr>
        <w:t>3</w:t>
      </w:r>
      <w:r>
        <w:t xml:space="preserve">. Pokud bude měsíční průměrný kurz CZK/EUR platný pro kalendářní měsíc dodání vyšší </w:t>
      </w:r>
      <w:r>
        <w:rPr>
          <w:noProof/>
        </w:rPr>
        <w:drawing>
          <wp:inline distT="0" distB="0" distL="0" distR="0">
            <wp:extent cx="6096" cy="3049"/>
            <wp:effectExtent l="0" t="0" r="0" b="0"/>
            <wp:docPr id="5361" name="Picture 5361"/>
            <wp:cNvGraphicFramePr/>
            <a:graphic xmlns:a="http://schemas.openxmlformats.org/drawingml/2006/main">
              <a:graphicData uri="http://schemas.openxmlformats.org/drawingml/2006/picture">
                <pic:pic xmlns:pic="http://schemas.openxmlformats.org/drawingml/2006/picture">
                  <pic:nvPicPr>
                    <pic:cNvPr id="5361" name="Picture 5361"/>
                    <pic:cNvPicPr/>
                  </pic:nvPicPr>
                  <pic:blipFill>
                    <a:blip r:embed="rId10"/>
                    <a:stretch>
                      <a:fillRect/>
                    </a:stretch>
                  </pic:blipFill>
                  <pic:spPr>
                    <a:xfrm>
                      <a:off x="0" y="0"/>
                      <a:ext cx="6096" cy="3049"/>
                    </a:xfrm>
                    <a:prstGeom prst="rect">
                      <a:avLst/>
                    </a:prstGeom>
                  </pic:spPr>
                </pic:pic>
              </a:graphicData>
            </a:graphic>
          </wp:inline>
        </w:drawing>
      </w:r>
      <w:r>
        <w:t>než 27,81 kupní cena se dle článku 5 se zvyšuje 0 75,- CZK/m</w:t>
      </w:r>
      <w:r>
        <w:rPr>
          <w:vertAlign w:val="superscript"/>
        </w:rPr>
        <w:t>3</w:t>
      </w:r>
      <w:r>
        <w:t>. Pokud bude tento průměrný měsíční kurz CZK/EUR nižší než 24,81, kupní cena dle článku 5 se snižuje 0 75,-CZK/m</w:t>
      </w:r>
      <w:r>
        <w:rPr>
          <w:vertAlign w:val="superscript"/>
        </w:rPr>
        <w:t>3</w:t>
      </w:r>
      <w:r>
        <w:t xml:space="preserve">. Vyúčtování případných rozdílů se považuje za samostatné zdanitelné plnění ve smyslu par. 42, </w:t>
      </w:r>
      <w:proofErr w:type="gramStart"/>
      <w:r>
        <w:t>odst.4 zákona</w:t>
      </w:r>
      <w:proofErr w:type="gramEnd"/>
      <w:r>
        <w:t xml:space="preserve"> č.235/2004 Sb. Vyúčtování proběhne do 15 kalendářního dne následujícího měsíce formou opravného daňového dokladu.</w:t>
      </w:r>
    </w:p>
    <w:p w:rsidR="000A33F6" w:rsidRDefault="0070633B">
      <w:pPr>
        <w:spacing w:after="504" w:line="259" w:lineRule="auto"/>
        <w:ind w:left="154"/>
        <w:jc w:val="left"/>
      </w:pPr>
      <w:r>
        <w:rPr>
          <w:sz w:val="18"/>
        </w:rPr>
        <w:t>Splatnost faktur je 35 dní od data vystavení faktury. Prodávající výslovně prohlašuje, že toto ujednání o čase plnění nepovažuje za hrubě nespravedlivé.</w:t>
      </w:r>
    </w:p>
    <w:p w:rsidR="000A33F6" w:rsidRDefault="0070633B">
      <w:pPr>
        <w:spacing w:after="78" w:line="259" w:lineRule="auto"/>
        <w:jc w:val="center"/>
      </w:pPr>
      <w:r>
        <w:lastRenderedPageBreak/>
        <w:t>6. Přepravní podmínky: Není-li sjednáno jinak, zajišťuje přepravu předmětu smlouvy z odvozního místa do místa plnění na svůj náklad kupující prostřednictvím</w:t>
      </w:r>
    </w:p>
    <w:p w:rsidR="000A33F6" w:rsidRDefault="0070633B">
      <w:pPr>
        <w:spacing w:after="0" w:line="259" w:lineRule="auto"/>
        <w:ind w:left="0"/>
        <w:jc w:val="right"/>
      </w:pPr>
      <w:r>
        <w:rPr>
          <w:sz w:val="22"/>
        </w:rPr>
        <w:t>1/2</w:t>
      </w:r>
    </w:p>
    <w:p w:rsidR="000A33F6" w:rsidRDefault="0070633B">
      <w:pPr>
        <w:spacing w:after="85" w:line="259" w:lineRule="auto"/>
        <w:ind w:left="10" w:right="235" w:hanging="10"/>
        <w:jc w:val="left"/>
      </w:pPr>
      <w:r>
        <w:rPr>
          <w:noProof/>
        </w:rPr>
        <w:drawing>
          <wp:inline distT="0" distB="0" distL="0" distR="0">
            <wp:extent cx="457200" cy="484701"/>
            <wp:effectExtent l="0" t="0" r="0" b="0"/>
            <wp:docPr id="12278" name="Picture 12278"/>
            <wp:cNvGraphicFramePr/>
            <a:graphic xmlns:a="http://schemas.openxmlformats.org/drawingml/2006/main">
              <a:graphicData uri="http://schemas.openxmlformats.org/drawingml/2006/picture">
                <pic:pic xmlns:pic="http://schemas.openxmlformats.org/drawingml/2006/picture">
                  <pic:nvPicPr>
                    <pic:cNvPr id="12278" name="Picture 12278"/>
                    <pic:cNvPicPr/>
                  </pic:nvPicPr>
                  <pic:blipFill>
                    <a:blip r:embed="rId11"/>
                    <a:stretch>
                      <a:fillRect/>
                    </a:stretch>
                  </pic:blipFill>
                  <pic:spPr>
                    <a:xfrm>
                      <a:off x="0" y="0"/>
                      <a:ext cx="457200" cy="484701"/>
                    </a:xfrm>
                    <a:prstGeom prst="rect">
                      <a:avLst/>
                    </a:prstGeom>
                  </pic:spPr>
                </pic:pic>
              </a:graphicData>
            </a:graphic>
          </wp:inline>
        </w:drawing>
      </w:r>
      <w:r>
        <w:rPr>
          <w:sz w:val="36"/>
        </w:rPr>
        <w:t xml:space="preserve"> </w:t>
      </w:r>
      <w:proofErr w:type="spellStart"/>
      <w:r>
        <w:rPr>
          <w:sz w:val="36"/>
        </w:rPr>
        <w:t>Wood</w:t>
      </w:r>
      <w:proofErr w:type="spellEnd"/>
      <w:r>
        <w:rPr>
          <w:sz w:val="36"/>
        </w:rPr>
        <w:t xml:space="preserve"> &amp; </w:t>
      </w:r>
      <w:proofErr w:type="spellStart"/>
      <w:r>
        <w:rPr>
          <w:sz w:val="36"/>
        </w:rPr>
        <w:t>Paper</w:t>
      </w:r>
      <w:proofErr w:type="spellEnd"/>
    </w:p>
    <w:p w:rsidR="000A33F6" w:rsidRDefault="0070633B">
      <w:pPr>
        <w:ind w:left="268" w:right="254"/>
      </w:pPr>
      <w:r>
        <w:t>třetí osoby - dopravce..</w:t>
      </w:r>
    </w:p>
    <w:p w:rsidR="000A33F6" w:rsidRDefault="0070633B">
      <w:pPr>
        <w:spacing w:after="7"/>
        <w:ind w:left="268" w:right="254"/>
      </w:pPr>
      <w:r>
        <w:t xml:space="preserve">Požadavky na odvoz dříví je prodávající povinen oznámit kupujícímu prostřednictvím internetové aplikace </w:t>
      </w:r>
      <w:proofErr w:type="spellStart"/>
      <w:r>
        <w:t>Wood</w:t>
      </w:r>
      <w:proofErr w:type="spellEnd"/>
      <w:r>
        <w:t xml:space="preserve"> </w:t>
      </w:r>
      <w:proofErr w:type="spellStart"/>
      <w:r>
        <w:t>Accept</w:t>
      </w:r>
      <w:proofErr w:type="spellEnd"/>
      <w:r>
        <w:t xml:space="preserve"> na </w:t>
      </w:r>
      <w:r>
        <w:rPr>
          <w:u w:val="single" w:color="000000"/>
        </w:rPr>
        <w:t>www.preiimkv.cz</w:t>
      </w:r>
      <w:r>
        <w:t xml:space="preserve"> v modulu Dispečink / objednávka přepravy nebo kontaktovat příslušného nákupčího kupujícího nebo oddělení logistiky email: </w:t>
      </w:r>
      <w:r>
        <w:rPr>
          <w:u w:val="single" w:color="000000"/>
        </w:rPr>
        <w:t>loqistika@wood-paper.cz</w:t>
      </w:r>
      <w:r>
        <w:t xml:space="preserve"> (Ing. David Přichystal, tel. 602 671 340, ing. Jan Valach 602 671 338) a to nejpozději do čtvrtka do 11 hod. s požadavkem odvozu na následující kalendářní týden. Prodávající v tomto případě vstupuje do práv a povinností dopravce upravených samostatnou smlouvou o přepravě věci. Z důvodu právní jistoty smluvní strany výslovně prohlašují, že převzetí zboží třetí osobou dopravcem — k přepravě nemá vliv na přechod vlastnického práva k dříví z prodávajícího na kupujícího, k němuž dochází v souladu s ujednáním stran okamžikem odevzdání dříví, tj. ukončením přejímky v místě plnění.</w:t>
      </w:r>
    </w:p>
    <w:p w:rsidR="000A33F6" w:rsidRDefault="0070633B">
      <w:pPr>
        <w:spacing w:after="294"/>
        <w:ind w:left="268" w:right="254"/>
      </w:pPr>
      <w:r>
        <w:t xml:space="preserve">Kupující si vyhrazuje právo v souvislosti s optimalizací organizace dopravy formulovat pravidla pro odvoz dříví z odvozního místa v aplikaci </w:t>
      </w:r>
      <w:proofErr w:type="spellStart"/>
      <w:r>
        <w:t>WoodAccept</w:t>
      </w:r>
      <w:proofErr w:type="spellEnd"/>
      <w:r>
        <w:t xml:space="preserve"> na internetových stránkách </w:t>
      </w:r>
      <w:r>
        <w:rPr>
          <w:u w:val="single" w:color="000000"/>
        </w:rPr>
        <w:t>www.woodaccept.cz,</w:t>
      </w:r>
      <w:r>
        <w:t xml:space="preserve"> na základě kterých se bude odvíjet pořizování záměrů ze strany prodávajícího. Optimalizací organizace dopravy se rozumí, že kupující volí nejvhodnější dopravní řešení s ohledem na minimalizaci celkových přepravních nákladů z odvozního místa až na vykládku u konečného příjemce. Prodávající bere na vědomí, že kupující stanovuje seznam i počet povolených silničních dopravců v případě silničních dodávek případně a to dle pravidel optimalizace nebo po vzájemné dohodě s prodávajícím.</w:t>
      </w:r>
    </w:p>
    <w:p w:rsidR="000A33F6" w:rsidRDefault="0070633B">
      <w:pPr>
        <w:numPr>
          <w:ilvl w:val="0"/>
          <w:numId w:val="2"/>
        </w:numPr>
        <w:ind w:right="254" w:hanging="278"/>
      </w:pPr>
      <w:r>
        <w:t xml:space="preserve">Ukončení smlouvy: Tato smlouva zaniká uplynutím doby, na niž byla sjednána nebo dohodou smluvních stran nebo odstoupením od smlouvy kupujícím v případě opakovaného nebo podstatného porušení některé smluvní povinnosti prodávajícího z této smlouvy. Za podstatné porušení této smlouvy prodávajícím se považuje zejména: a) nedodání sjednané kulatiny ve sjednaném množství a kvalitě a/nebo odchylka v množství či kvalitě dodané kulatiny větší než 20 % oproti smluveným podmínkám, b) prodlení prodávajícího s dodáním předmětu smlouvy nebo jeho části trvající déle než 14 dní. Tato smlouva může také zaniknout z důvodů uvedených v bodě 10 platných Technických, fakturačních a přepravních podmínkách </w:t>
      </w:r>
      <w:proofErr w:type="spellStart"/>
      <w:r>
        <w:t>Wood</w:t>
      </w:r>
      <w:proofErr w:type="spellEnd"/>
      <w:r>
        <w:t xml:space="preserve"> &amp; </w:t>
      </w:r>
      <w:proofErr w:type="spellStart"/>
      <w:r>
        <w:t>Paper</w:t>
      </w:r>
      <w:proofErr w:type="spellEnd"/>
      <w:r>
        <w:t>.</w:t>
      </w:r>
    </w:p>
    <w:p w:rsidR="000A33F6" w:rsidRDefault="0070633B">
      <w:pPr>
        <w:numPr>
          <w:ilvl w:val="0"/>
          <w:numId w:val="2"/>
        </w:numPr>
        <w:ind w:right="254" w:hanging="278"/>
      </w:pPr>
      <w:r>
        <w:t xml:space="preserve">Obchodní tajemství: Smluvní strany jsou zajedno, že ujednání o rozsahu plnění, ceně jednotlivých sortimentů a členění sortimentu a množství dle sortimentu,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obou smluvních stran ve smyslu S 504 občanského zákoníku, není-li stanoveno jinak. WOOD &amp; PAPER a.s. dále označuje za své obchodní tajemství také identifikaci obchodních partnerů. Smluvní strany se proto zavazují zajišťovat odpovídajícím způsobem utajení obchodního tajemství, konkrétně se zavazují utajit uvedené údaje tak, aby si tyto skutečnosti charakter obchodního tajemství </w:t>
      </w:r>
      <w:proofErr w:type="spellStart"/>
      <w:proofErr w:type="gramStart"/>
      <w:r>
        <w:t>zachovaly.V</w:t>
      </w:r>
      <w:proofErr w:type="spellEnd"/>
      <w:r>
        <w:t xml:space="preserve"> případě</w:t>
      </w:r>
      <w:proofErr w:type="gramEnd"/>
      <w:r>
        <w:t>, že se na tuto smlouvu vztahuje povinnost ji dle právní úpravy uveřejnit, smluvní strana, která bude smlouvu uveřejňovat, před uveřejněním smlouvy či jejím jiným poskytnutím dle platných právních předpisů vyznačí a neposkytne shora uvedené obchodní tajemství. Tuto smlouvu zašle správci registru smluv smluvní strana — prodávající. Předpokládaná hodnota předmětu smlouvy činí ...... . . Kč.</w:t>
      </w:r>
    </w:p>
    <w:p w:rsidR="000A33F6" w:rsidRDefault="0070633B">
      <w:pPr>
        <w:numPr>
          <w:ilvl w:val="0"/>
          <w:numId w:val="2"/>
        </w:numPr>
        <w:spacing w:after="0"/>
        <w:ind w:right="254" w:hanging="278"/>
      </w:pPr>
      <w:r>
        <w:t>Příloha a nedílná součást této kupní smlouvy: Smluvní strany se dohodly, že přílohou a nedílnou součástí této smlouvy jsou obchodní podmínky kupujícího</w:t>
      </w:r>
    </w:p>
    <w:p w:rsidR="000A33F6" w:rsidRDefault="0070633B">
      <w:pPr>
        <w:ind w:left="268" w:right="254"/>
      </w:pPr>
      <w:r>
        <w:t xml:space="preserve">Technické, fakturační a přepravní podmínky </w:t>
      </w:r>
      <w:proofErr w:type="spellStart"/>
      <w:r>
        <w:t>Wood</w:t>
      </w:r>
      <w:proofErr w:type="spellEnd"/>
      <w:r>
        <w:t xml:space="preserve"> &amp; </w:t>
      </w:r>
      <w:proofErr w:type="spellStart"/>
      <w:r>
        <w:t>Paper</w:t>
      </w:r>
      <w:proofErr w:type="spellEnd"/>
      <w:r>
        <w:t xml:space="preserve">-Labe </w:t>
      </w:r>
      <w:proofErr w:type="spellStart"/>
      <w:r>
        <w:t>Wood</w:t>
      </w:r>
      <w:proofErr w:type="spellEnd"/>
      <w:r>
        <w:t xml:space="preserve"> s.r.</w:t>
      </w:r>
      <w:proofErr w:type="gramStart"/>
      <w:r>
        <w:t>o.-Štětí</w:t>
      </w:r>
      <w:proofErr w:type="gramEnd"/>
      <w:r>
        <w:t xml:space="preserve">, platné pro 3. Q 2020 (v této kupní smlouvě označené též jako „platné Technické, fakturační a přepravní podmínky </w:t>
      </w:r>
      <w:proofErr w:type="spellStart"/>
      <w:r>
        <w:t>Wood</w:t>
      </w:r>
      <w:proofErr w:type="spellEnd"/>
      <w:r>
        <w:t xml:space="preserve"> &amp; </w:t>
      </w:r>
      <w:proofErr w:type="spellStart"/>
      <w:r>
        <w:t>Paper</w:t>
      </w:r>
      <w:proofErr w:type="spellEnd"/>
      <w:r>
        <w:t xml:space="preserve">"). Tyto podmínky upravují kromě technické specifikace předmětu plnění, fakturačních podmínek a podmínek přepravy také ostatní smluvní ujednání jako je přejímka, závaznost přejímky u konečného příjemce, přechod vlastnického práva a nebezpečí škody na předmětu plnění, sdělování informací konečnému příjemci (výjimka z ochrany obchodního tajemství) a certifikace. Tyto podmínky jsou dostupné též na </w:t>
      </w:r>
      <w:r>
        <w:rPr>
          <w:u w:val="single" w:color="000000"/>
        </w:rPr>
        <w:t>www.wood-paper.cz</w:t>
      </w:r>
      <w:r>
        <w:t>. Prodávající prohlašuje a podpisem této smlouvy potvrzuje, že tyto podmínky před uzavřením této kupní smlouvy převzal, podrobně se s nimi seznámil, ujednáním rozumí a souhlasí s nimi a tyto podmínky bez výhrad akceptuje. V případě rozporu mezi touto kupní smlouvou a těmito podmínkami má přednost tato smlouva.</w:t>
      </w:r>
    </w:p>
    <w:p w:rsidR="000A33F6" w:rsidRDefault="0070633B">
      <w:pPr>
        <w:numPr>
          <w:ilvl w:val="1"/>
          <w:numId w:val="2"/>
        </w:numPr>
        <w:spacing w:after="65" w:line="304" w:lineRule="auto"/>
        <w:ind w:right="273" w:hanging="163"/>
        <w:jc w:val="left"/>
      </w:pPr>
      <w:r>
        <w:t>Zastavení dodávek: Prodávající bere na vědomí, že konečným odběratelem dříví dle této smlouvy je LABE WOOD s.r.o. a že množství dříví dodávané prodávajícím kupujícímu dle této smlouvy přímo závisí na odběru dříví konečným odběratelem dle jeho provozních potřeb od kupujícího. Dále prodávající bere na vědomí, že není výhradním dodavatelem dříví pro kupujícího určeného konečnému odběrateli. Pro případ, že dojde k omezení nebo zastavení výroby v závodu konečného odběratele LABE WOOD s.r.o., se smluvní strany dohodly, že kupující je oprávněn dle své volby pozastavit dodávku dle této smlouvy po určené časové období anebo omezit množství dodaného dříví. O této skutečnosti a uplatnění a výběru svého práva informuje kupující prodávajícího bez zbytečného odkladu poté, co se o takové skutečnosti dozví. V případě pozastavení dodávky se adekvátně prodlužuje původně sjednaný termín plnění dle této smlouvy. V případě omezení množství dříví určí kupující nedodané (nepožadované) množství dříví prodávajícímu adekvátně v poměru k celkovému množství dříví nedodanému konečnému odběrateli kupujícím z důvodu na straně konečného odběratele. Prodávající s tímto postupem změny termínu plnění, respektive množství dříví souhlasí.</w:t>
      </w:r>
    </w:p>
    <w:p w:rsidR="000A33F6" w:rsidRDefault="0070633B">
      <w:pPr>
        <w:numPr>
          <w:ilvl w:val="1"/>
          <w:numId w:val="2"/>
        </w:numPr>
        <w:ind w:right="273" w:hanging="163"/>
        <w:jc w:val="left"/>
      </w:pPr>
      <w:r>
        <w:t>Závěrečná ustanovení: Tato smlouva je vyhotovena ve dvou stejnopisech, z nichž každá smluvní strana obdrží po jednom. Tato smlouva může být měněna pouze písemnými dodatky. Tato smlouva se řídí právem České republiky, zejména občanským zákoníkem. Smluvní strany vylučují aplikaci S 1799 a 1800 občanského zákoníku. K rozhodování sporů z této smlouvy je příslušný obecný soud kupujícího v České republice.</w:t>
      </w:r>
    </w:p>
    <w:p w:rsidR="0070633B" w:rsidRDefault="0070633B">
      <w:pPr>
        <w:tabs>
          <w:tab w:val="right" w:pos="10642"/>
        </w:tabs>
        <w:spacing w:after="0" w:line="259" w:lineRule="auto"/>
        <w:ind w:left="0"/>
        <w:jc w:val="left"/>
        <w:rPr>
          <w:sz w:val="22"/>
        </w:rPr>
      </w:pPr>
    </w:p>
    <w:p w:rsidR="0070633B" w:rsidRDefault="0070633B">
      <w:pPr>
        <w:tabs>
          <w:tab w:val="right" w:pos="10642"/>
        </w:tabs>
        <w:spacing w:after="0" w:line="259" w:lineRule="auto"/>
        <w:ind w:left="0"/>
        <w:jc w:val="left"/>
        <w:rPr>
          <w:sz w:val="22"/>
        </w:rPr>
      </w:pPr>
      <w:r>
        <w:rPr>
          <w:sz w:val="22"/>
        </w:rPr>
        <w:t>V Trutnově dne 25. 9. 2020</w:t>
      </w:r>
      <w:r>
        <w:rPr>
          <w:sz w:val="22"/>
        </w:rPr>
        <w:tab/>
      </w:r>
    </w:p>
    <w:p w:rsidR="0070633B" w:rsidRDefault="0070633B">
      <w:pPr>
        <w:tabs>
          <w:tab w:val="right" w:pos="10642"/>
        </w:tabs>
        <w:spacing w:after="0" w:line="259" w:lineRule="auto"/>
        <w:ind w:left="0"/>
        <w:jc w:val="left"/>
        <w:rPr>
          <w:sz w:val="22"/>
        </w:rPr>
      </w:pPr>
    </w:p>
    <w:p w:rsidR="0070633B" w:rsidRDefault="0070633B">
      <w:pPr>
        <w:tabs>
          <w:tab w:val="right" w:pos="10642"/>
        </w:tabs>
        <w:spacing w:after="0" w:line="259" w:lineRule="auto"/>
        <w:ind w:left="0"/>
        <w:jc w:val="left"/>
        <w:rPr>
          <w:sz w:val="22"/>
        </w:rPr>
      </w:pPr>
      <w:r>
        <w:rPr>
          <w:sz w:val="22"/>
        </w:rPr>
        <w:t>Razítko a podpis prodávajícího</w:t>
      </w:r>
      <w:r>
        <w:rPr>
          <w:sz w:val="22"/>
        </w:rPr>
        <w:tab/>
      </w:r>
      <w:r>
        <w:rPr>
          <w:sz w:val="22"/>
        </w:rPr>
        <w:tab/>
      </w:r>
    </w:p>
    <w:p w:rsidR="000A33F6" w:rsidRDefault="0070633B">
      <w:pPr>
        <w:tabs>
          <w:tab w:val="right" w:pos="10642"/>
        </w:tabs>
        <w:spacing w:after="0" w:line="259" w:lineRule="auto"/>
        <w:ind w:left="0"/>
        <w:jc w:val="left"/>
      </w:pPr>
      <w:r>
        <w:rPr>
          <w:sz w:val="22"/>
        </w:rPr>
        <w:t>Razítko a podpis kupujícího</w:t>
      </w:r>
      <w:r>
        <w:rPr>
          <w:sz w:val="20"/>
        </w:rPr>
        <w:tab/>
        <w:t>2/2</w:t>
      </w:r>
    </w:p>
    <w:sectPr w:rsidR="000A33F6">
      <w:pgSz w:w="12240" w:h="16860"/>
      <w:pgMar w:top="398" w:right="936" w:bottom="250" w:left="66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5pt;height:1.5pt" coordsize="" o:spt="100" o:bullet="t" adj="0,,0" path="" stroked="f">
        <v:stroke joinstyle="miter"/>
        <v:imagedata r:id="rId1" o:title="image9"/>
        <v:formulas/>
        <v:path o:connecttype="segments"/>
      </v:shape>
    </w:pict>
  </w:numPicBullet>
  <w:abstractNum w:abstractNumId="0" w15:restartNumberingAfterBreak="0">
    <w:nsid w:val="272B64BC"/>
    <w:multiLevelType w:val="hybridMultilevel"/>
    <w:tmpl w:val="9B5CC2D8"/>
    <w:lvl w:ilvl="0" w:tplc="7B9ED10E">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AA44AC">
      <w:start w:val="1"/>
      <w:numFmt w:val="lowerLetter"/>
      <w:lvlText w:val="%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500D1A">
      <w:start w:val="1"/>
      <w:numFmt w:val="lowerRoman"/>
      <w:lvlText w:val="%3"/>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48A65A">
      <w:start w:val="1"/>
      <w:numFmt w:val="decimal"/>
      <w:lvlText w:val="%4"/>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A22C0C">
      <w:start w:val="1"/>
      <w:numFmt w:val="lowerLetter"/>
      <w:lvlText w:val="%5"/>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524A3E">
      <w:start w:val="1"/>
      <w:numFmt w:val="lowerRoman"/>
      <w:lvlText w:val="%6"/>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F89A32">
      <w:start w:val="1"/>
      <w:numFmt w:val="decimal"/>
      <w:lvlText w:val="%7"/>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9CF506">
      <w:start w:val="1"/>
      <w:numFmt w:val="lowerLetter"/>
      <w:lvlText w:val="%8"/>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621C28">
      <w:start w:val="1"/>
      <w:numFmt w:val="lowerRoman"/>
      <w:lvlText w:val="%9"/>
      <w:lvlJc w:val="left"/>
      <w:pPr>
        <w:ind w:left="6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FC62BA"/>
    <w:multiLevelType w:val="hybridMultilevel"/>
    <w:tmpl w:val="6B5C3A1E"/>
    <w:lvl w:ilvl="0" w:tplc="069A80B6">
      <w:start w:val="7"/>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6E37F2">
      <w:start w:val="1"/>
      <w:numFmt w:val="bullet"/>
      <w:lvlText w:val="•"/>
      <w:lvlPicBulletId w:val="0"/>
      <w:lvlJc w:val="left"/>
      <w:pPr>
        <w:ind w:left="2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52E86AE">
      <w:start w:val="1"/>
      <w:numFmt w:val="bullet"/>
      <w:lvlText w:val="▪"/>
      <w:lvlJc w:val="left"/>
      <w:pPr>
        <w:ind w:left="13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7949D4C">
      <w:start w:val="1"/>
      <w:numFmt w:val="bullet"/>
      <w:lvlText w:val="•"/>
      <w:lvlJc w:val="left"/>
      <w:pPr>
        <w:ind w:left="20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62E3124">
      <w:start w:val="1"/>
      <w:numFmt w:val="bullet"/>
      <w:lvlText w:val="o"/>
      <w:lvlJc w:val="left"/>
      <w:pPr>
        <w:ind w:left="28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6521AB4">
      <w:start w:val="1"/>
      <w:numFmt w:val="bullet"/>
      <w:lvlText w:val="▪"/>
      <w:lvlJc w:val="left"/>
      <w:pPr>
        <w:ind w:left="35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02CDE5C">
      <w:start w:val="1"/>
      <w:numFmt w:val="bullet"/>
      <w:lvlText w:val="•"/>
      <w:lvlJc w:val="left"/>
      <w:pPr>
        <w:ind w:left="42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E3A00A0">
      <w:start w:val="1"/>
      <w:numFmt w:val="bullet"/>
      <w:lvlText w:val="o"/>
      <w:lvlJc w:val="left"/>
      <w:pPr>
        <w:ind w:left="49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964E8A4">
      <w:start w:val="1"/>
      <w:numFmt w:val="bullet"/>
      <w:lvlText w:val="▪"/>
      <w:lvlJc w:val="left"/>
      <w:pPr>
        <w:ind w:left="56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RcmWkGFgJ0K2W9CHPJXqqXyZaoDdm51giD/J0rSp68gqUFHMwngtLBUbpqtd5OWndj6J4dAJQMD2sC3YseZEYg==" w:salt="+WeV5jsmLJqqYpUyMFCWP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F6"/>
    <w:rsid w:val="000A33F6"/>
    <w:rsid w:val="00327471"/>
    <w:rsid w:val="00706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86F0E-2447-4AD9-BF6C-75CAC55D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3" w:line="270" w:lineRule="auto"/>
      <w:ind w:left="38"/>
      <w:jc w:val="both"/>
    </w:pPr>
    <w:rPr>
      <w:rFonts w:ascii="Calibri" w:eastAsia="Calibri" w:hAnsi="Calibri" w:cs="Calibri"/>
      <w:color w:val="000000"/>
      <w:sz w:val="16"/>
    </w:rPr>
  </w:style>
  <w:style w:type="paragraph" w:styleId="Nadpis1">
    <w:name w:val="heading 1"/>
    <w:next w:val="Normln"/>
    <w:link w:val="Nadpis1Char"/>
    <w:uiPriority w:val="9"/>
    <w:unhideWhenUsed/>
    <w:qFormat/>
    <w:pPr>
      <w:keepNext/>
      <w:keepLines/>
      <w:spacing w:after="395" w:line="216" w:lineRule="auto"/>
      <w:ind w:left="120"/>
      <w:outlineLvl w:val="0"/>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1404</Words>
  <Characters>8286</Characters>
  <Application>Microsoft Office Word</Application>
  <DocSecurity>8</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4</cp:revision>
  <dcterms:created xsi:type="dcterms:W3CDTF">2020-10-21T10:27:00Z</dcterms:created>
  <dcterms:modified xsi:type="dcterms:W3CDTF">2020-10-21T10:28:00Z</dcterms:modified>
</cp:coreProperties>
</file>