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807E" w14:textId="77777777" w:rsidR="00726B26" w:rsidRPr="006B14CF" w:rsidRDefault="006B14CF" w:rsidP="00726B26">
      <w:pPr>
        <w:jc w:val="center"/>
        <w:rPr>
          <w:b/>
          <w:sz w:val="36"/>
          <w:szCs w:val="36"/>
        </w:rPr>
      </w:pPr>
      <w:r w:rsidRPr="006B14CF">
        <w:rPr>
          <w:b/>
          <w:sz w:val="36"/>
          <w:szCs w:val="36"/>
        </w:rPr>
        <w:t>Smlouva o poskytnutí licence</w:t>
      </w:r>
    </w:p>
    <w:p w14:paraId="0FBE6247" w14:textId="77777777" w:rsidR="00726B26" w:rsidRPr="002E515C" w:rsidRDefault="00726B26" w:rsidP="00726B26">
      <w:pPr>
        <w:jc w:val="center"/>
        <w:rPr>
          <w:sz w:val="23"/>
          <w:szCs w:val="23"/>
          <w:highlight w:val="green"/>
        </w:rPr>
      </w:pPr>
    </w:p>
    <w:p w14:paraId="15CD050D" w14:textId="77777777" w:rsidR="00726B26" w:rsidRPr="002B77A6" w:rsidRDefault="00A2087D" w:rsidP="00726B26">
      <w:pPr>
        <w:jc w:val="center"/>
      </w:pPr>
      <w:r w:rsidRPr="00A2087D">
        <w:t>uzavřená podle 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75479398" w14:textId="77777777" w:rsidR="00726B26" w:rsidRDefault="00726B26" w:rsidP="00726B26"/>
    <w:p w14:paraId="55F6202F" w14:textId="5573DC4A" w:rsidR="00726B26" w:rsidRPr="00726B26" w:rsidRDefault="00104F0D" w:rsidP="00726B26">
      <w:pPr>
        <w:rPr>
          <w:b/>
        </w:rPr>
      </w:pPr>
      <w:r w:rsidRPr="00104F0D">
        <w:rPr>
          <w:b/>
        </w:rPr>
        <w:t xml:space="preserve">Konica Minolta IT </w:t>
      </w:r>
      <w:proofErr w:type="spellStart"/>
      <w:r w:rsidRPr="00104F0D">
        <w:rPr>
          <w:b/>
        </w:rPr>
        <w:t>Solutions</w:t>
      </w:r>
      <w:proofErr w:type="spellEnd"/>
      <w:r w:rsidRPr="00104F0D">
        <w:rPr>
          <w:b/>
        </w:rPr>
        <w:t xml:space="preserve"> Czech a.s.</w:t>
      </w:r>
    </w:p>
    <w:p w14:paraId="5E3D8F8D" w14:textId="6D5C2C8F" w:rsidR="00726B26" w:rsidRDefault="00726B26" w:rsidP="00726B26">
      <w:r>
        <w:t xml:space="preserve">IČ: </w:t>
      </w:r>
      <w:r w:rsidR="00104F0D" w:rsidRPr="00104F0D">
        <w:t>25820826</w:t>
      </w:r>
    </w:p>
    <w:p w14:paraId="7AB90450" w14:textId="680FAE08" w:rsidR="00726B26" w:rsidRPr="00512AB9" w:rsidRDefault="00726B26" w:rsidP="00726B26">
      <w:r>
        <w:t xml:space="preserve">DIČ: </w:t>
      </w:r>
      <w:r w:rsidR="00104F0D">
        <w:t>CZ</w:t>
      </w:r>
      <w:r w:rsidR="00104F0D" w:rsidRPr="00104F0D">
        <w:t>25820826</w:t>
      </w:r>
    </w:p>
    <w:p w14:paraId="26E76714" w14:textId="147991BA" w:rsidR="00726B26" w:rsidRPr="00512AB9" w:rsidRDefault="00726B26" w:rsidP="00726B26">
      <w:r>
        <w:t>se sídlem</w:t>
      </w:r>
      <w:r w:rsidRPr="00512AB9">
        <w:t xml:space="preserve">: </w:t>
      </w:r>
      <w:r w:rsidR="00104F0D" w:rsidRPr="00104F0D">
        <w:t>U plynárny 1002/97, Michle, 101 00 Praha 10</w:t>
      </w:r>
    </w:p>
    <w:p w14:paraId="166A210B" w14:textId="339A09B6" w:rsidR="00726B26" w:rsidRPr="00512AB9" w:rsidRDefault="00726B26" w:rsidP="00726B26">
      <w:r>
        <w:t>zastoupena</w:t>
      </w:r>
      <w:r w:rsidRPr="00512AB9">
        <w:t xml:space="preserve">: </w:t>
      </w:r>
      <w:r w:rsidR="005F3D8C">
        <w:t>XXXXX</w:t>
      </w:r>
      <w:r w:rsidR="00104F0D">
        <w:t>, předseda představenstva</w:t>
      </w:r>
    </w:p>
    <w:p w14:paraId="41751E9A" w14:textId="77777777" w:rsidR="000D38FF" w:rsidRPr="00512AB9" w:rsidRDefault="000D38FF" w:rsidP="000D38FF">
      <w:r w:rsidRPr="00512AB9">
        <w:t xml:space="preserve">bankovní spojení: </w:t>
      </w:r>
      <w:proofErr w:type="spellStart"/>
      <w:r>
        <w:t>Citibank</w:t>
      </w:r>
      <w:proofErr w:type="spellEnd"/>
      <w:r>
        <w:t xml:space="preserve"> a.s.</w:t>
      </w:r>
    </w:p>
    <w:p w14:paraId="4523D62F" w14:textId="77777777" w:rsidR="000D38FF" w:rsidRPr="00512AB9" w:rsidRDefault="000D38FF" w:rsidP="000D38FF">
      <w:r w:rsidRPr="00512AB9">
        <w:t xml:space="preserve">číslo účtu: </w:t>
      </w:r>
      <w:r w:rsidRPr="00947842">
        <w:t>2550470102/2600</w:t>
      </w:r>
    </w:p>
    <w:p w14:paraId="2A34093C" w14:textId="0C42A615" w:rsidR="00726B26" w:rsidRPr="00512AB9" w:rsidRDefault="00726B26" w:rsidP="00726B26">
      <w:r>
        <w:t>z</w:t>
      </w:r>
      <w:r w:rsidRPr="00512AB9">
        <w:t>apsán</w:t>
      </w:r>
      <w:r>
        <w:t>a</w:t>
      </w:r>
      <w:r w:rsidRPr="00512AB9">
        <w:t xml:space="preserve"> v obchodním rejstříku vedeném </w:t>
      </w:r>
      <w:r w:rsidR="00104F0D">
        <w:t xml:space="preserve">Městským </w:t>
      </w:r>
      <w:r w:rsidRPr="00652864">
        <w:t>soudem v </w:t>
      </w:r>
      <w:r w:rsidR="00104F0D">
        <w:t>Praze</w:t>
      </w:r>
      <w:r w:rsidRPr="00652864">
        <w:t xml:space="preserve">, oddíl </w:t>
      </w:r>
      <w:r w:rsidR="00104F0D">
        <w:t>B</w:t>
      </w:r>
      <w:r w:rsidRPr="00652864">
        <w:t xml:space="preserve">, vložka </w:t>
      </w:r>
      <w:r w:rsidR="00104F0D" w:rsidRPr="00104F0D">
        <w:t>16870</w:t>
      </w:r>
    </w:p>
    <w:p w14:paraId="2953188E" w14:textId="77777777" w:rsidR="00726B26" w:rsidRPr="002B77A6" w:rsidRDefault="00726B26" w:rsidP="00726B26">
      <w:pPr>
        <w:rPr>
          <w:rStyle w:val="platne1"/>
        </w:rPr>
      </w:pPr>
    </w:p>
    <w:p w14:paraId="73E1C1EF" w14:textId="77777777" w:rsidR="00726B26" w:rsidRPr="00726B26" w:rsidRDefault="00726B26" w:rsidP="00726B26">
      <w:pPr>
        <w:rPr>
          <w:rStyle w:val="platne1"/>
        </w:rPr>
      </w:pPr>
      <w:r w:rsidRPr="00726B26">
        <w:rPr>
          <w:rStyle w:val="platne1"/>
        </w:rPr>
        <w:t xml:space="preserve">jako </w:t>
      </w:r>
      <w:r w:rsidR="002E515C">
        <w:rPr>
          <w:rStyle w:val="platne1"/>
        </w:rPr>
        <w:t>Poskytovatele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36D9D4D0" w14:textId="77777777" w:rsidR="00726B26" w:rsidRPr="002B77A6" w:rsidRDefault="00726B26" w:rsidP="00726B26">
      <w:pPr>
        <w:rPr>
          <w:rStyle w:val="platne1"/>
        </w:rPr>
      </w:pPr>
    </w:p>
    <w:p w14:paraId="5DC60FD8" w14:textId="77777777" w:rsidR="00726B26" w:rsidRPr="002B77A6" w:rsidRDefault="00726B26" w:rsidP="00726B26">
      <w:pPr>
        <w:rPr>
          <w:rStyle w:val="platne1"/>
        </w:rPr>
      </w:pPr>
      <w:r w:rsidRPr="002B77A6">
        <w:rPr>
          <w:rStyle w:val="platne1"/>
        </w:rPr>
        <w:t>a</w:t>
      </w:r>
    </w:p>
    <w:p w14:paraId="125ABAF9" w14:textId="77777777" w:rsidR="00726B26" w:rsidRPr="002B77A6" w:rsidRDefault="00726B26" w:rsidP="00726B26">
      <w:pPr>
        <w:rPr>
          <w:rStyle w:val="platne1"/>
        </w:rPr>
      </w:pPr>
    </w:p>
    <w:p w14:paraId="3DC38C58" w14:textId="77777777" w:rsidR="00726B26" w:rsidRPr="002B77A6" w:rsidRDefault="00726B26" w:rsidP="00726B26">
      <w:pPr>
        <w:rPr>
          <w:b/>
        </w:rPr>
      </w:pPr>
      <w:r w:rsidRPr="002B77A6">
        <w:rPr>
          <w:b/>
        </w:rPr>
        <w:t xml:space="preserve">Fakultní nemocnice Brno </w:t>
      </w:r>
    </w:p>
    <w:p w14:paraId="11EBD40E" w14:textId="77777777" w:rsidR="00726B26" w:rsidRPr="002B77A6" w:rsidRDefault="00726B26" w:rsidP="00726B26">
      <w:r w:rsidRPr="002B77A6">
        <w:t>IČ: 65269705</w:t>
      </w:r>
    </w:p>
    <w:p w14:paraId="1F32C686" w14:textId="77777777" w:rsidR="00726B26" w:rsidRPr="002B77A6" w:rsidRDefault="00726B26" w:rsidP="00726B26">
      <w:r w:rsidRPr="002B77A6">
        <w:t>DIČ: CZ65269705</w:t>
      </w:r>
    </w:p>
    <w:p w14:paraId="79F6C750" w14:textId="77777777" w:rsidR="00726B26" w:rsidRPr="002B77A6" w:rsidRDefault="00726B26" w:rsidP="00726B26">
      <w:r w:rsidRPr="002B77A6">
        <w:t xml:space="preserve">se sídlem: Brno, Jihlavská 20, PSČ 625 00 </w:t>
      </w:r>
    </w:p>
    <w:p w14:paraId="0B493097" w14:textId="6678DFAE" w:rsidR="00726B26" w:rsidRPr="002B77A6" w:rsidRDefault="00726B26" w:rsidP="00726B26">
      <w:r>
        <w:t>zastoupena</w:t>
      </w:r>
      <w:r w:rsidRPr="002B77A6">
        <w:t xml:space="preserve">: </w:t>
      </w:r>
      <w:r w:rsidR="005F3D8C">
        <w:t>XXXXX</w:t>
      </w:r>
      <w:r w:rsidRPr="002B77A6">
        <w:t>, ředitel</w:t>
      </w:r>
    </w:p>
    <w:p w14:paraId="11D9D352" w14:textId="77777777" w:rsidR="00726B26" w:rsidRPr="002B77A6" w:rsidRDefault="00726B26" w:rsidP="00726B26">
      <w:r w:rsidRPr="002B77A6">
        <w:t>bankovní spo</w:t>
      </w:r>
      <w:r>
        <w:t>jení: Česká národní banka</w:t>
      </w:r>
    </w:p>
    <w:p w14:paraId="6C8CA8AF" w14:textId="77777777" w:rsidR="00726B26" w:rsidRPr="002B77A6" w:rsidRDefault="00726B26" w:rsidP="00726B26">
      <w:r w:rsidRPr="002B77A6">
        <w:t>číslo ban</w:t>
      </w:r>
      <w:r>
        <w:t>kovního účtu: 71234621/0710</w:t>
      </w:r>
    </w:p>
    <w:p w14:paraId="6B302EBE" w14:textId="77777777" w:rsidR="00726B26" w:rsidRDefault="00726B26" w:rsidP="00726B26"/>
    <w:p w14:paraId="327E21E4"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BE6ECD7" w14:textId="77777777" w:rsidR="00726B26" w:rsidRPr="002B77A6" w:rsidRDefault="00726B26" w:rsidP="00726B26">
      <w:pPr>
        <w:rPr>
          <w:rStyle w:val="platne1"/>
        </w:rPr>
      </w:pPr>
    </w:p>
    <w:p w14:paraId="5518B2B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2F8E1D88" w14:textId="77777777" w:rsidR="00726B26" w:rsidRPr="002B77A6" w:rsidRDefault="00726B26" w:rsidP="00726B26">
      <w:pPr>
        <w:rPr>
          <w:rStyle w:val="platne1"/>
        </w:rPr>
      </w:pPr>
    </w:p>
    <w:p w14:paraId="7A0FC391"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49CE97B9" w14:textId="77777777" w:rsidR="00726B26" w:rsidRPr="002B77A6" w:rsidRDefault="00726B26" w:rsidP="00726B26">
      <w:pPr>
        <w:spacing w:after="60"/>
        <w:rPr>
          <w:rStyle w:val="platne1"/>
        </w:rPr>
      </w:pPr>
    </w:p>
    <w:p w14:paraId="159F6C67" w14:textId="77777777" w:rsidR="00AC4202" w:rsidRDefault="00AC4202" w:rsidP="00CF0C56">
      <w:pPr>
        <w:pStyle w:val="Nadpis1"/>
        <w:sectPr w:rsidR="00AC4202" w:rsidSect="00D930BD">
          <w:footerReference w:type="default" r:id="rId13"/>
          <w:footerReference w:type="first" r:id="rId14"/>
          <w:pgSz w:w="11906" w:h="16838"/>
          <w:pgMar w:top="1417" w:right="926" w:bottom="1417" w:left="900" w:header="709" w:footer="708" w:gutter="0"/>
          <w:cols w:space="708"/>
          <w:titlePg/>
          <w:docGrid w:linePitch="360"/>
        </w:sectPr>
      </w:pPr>
    </w:p>
    <w:p w14:paraId="200E56E1" w14:textId="77777777" w:rsidR="00726B26" w:rsidRPr="002B77A6" w:rsidRDefault="00BE50CA" w:rsidP="00CF0C56">
      <w:pPr>
        <w:pStyle w:val="Nadpis1"/>
      </w:pPr>
      <w:r>
        <w:lastRenderedPageBreak/>
        <w:t>Účel smlouvy</w:t>
      </w:r>
    </w:p>
    <w:p w14:paraId="6127B6B3" w14:textId="77777777" w:rsidR="00726B26" w:rsidRPr="002B77A6" w:rsidRDefault="00726B26" w:rsidP="00726B26">
      <w:pPr>
        <w:jc w:val="center"/>
        <w:rPr>
          <w:b/>
          <w:bCs/>
        </w:rPr>
      </w:pPr>
    </w:p>
    <w:p w14:paraId="4B98DD60" w14:textId="440C95F0"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2E515C">
        <w:t>Poskytovatele</w:t>
      </w:r>
      <w:r w:rsidR="00726B26" w:rsidRPr="00CF0C56">
        <w:t xml:space="preserve"> dodat </w:t>
      </w:r>
      <w:r w:rsidR="002E515C">
        <w:t>Objednateli</w:t>
      </w:r>
      <w:r w:rsidR="00726B26" w:rsidRPr="00CF0C56">
        <w:t xml:space="preserve"> řádně a včas </w:t>
      </w:r>
      <w:r w:rsidR="002E515C">
        <w:t xml:space="preserve">software </w:t>
      </w:r>
      <w:r w:rsidR="00104F0D">
        <w:t xml:space="preserve">– </w:t>
      </w:r>
      <w:r w:rsidR="00104F0D">
        <w:rPr>
          <w:color w:val="000000"/>
        </w:rPr>
        <w:t>funkcionalitu „</w:t>
      </w:r>
      <w:proofErr w:type="spellStart"/>
      <w:r w:rsidR="00104F0D">
        <w:rPr>
          <w:color w:val="000000"/>
        </w:rPr>
        <w:t>Protipadělková</w:t>
      </w:r>
      <w:proofErr w:type="spellEnd"/>
      <w:r w:rsidR="00104F0D">
        <w:rPr>
          <w:color w:val="000000"/>
        </w:rPr>
        <w:t xml:space="preserve"> vyhláška“ systému MD NAV Objednatele</w:t>
      </w:r>
      <w:r w:rsidR="002E515C">
        <w:t xml:space="preserve">, </w:t>
      </w:r>
      <w:r w:rsidR="00496E63">
        <w:t>který je detailně specifikován v příloze č. 1 této smlouvy (dále též jen „</w:t>
      </w:r>
      <w:r w:rsidR="00496E63" w:rsidRPr="00AC4202">
        <w:rPr>
          <w:b/>
        </w:rPr>
        <w:t>Software</w:t>
      </w:r>
      <w:r w:rsidR="00496E63">
        <w:t xml:space="preserve">“), </w:t>
      </w:r>
      <w:r w:rsidR="002E515C">
        <w:t xml:space="preserve">tento software v prostředí Objednatele instalovat, implementovat, </w:t>
      </w:r>
      <w:r w:rsidR="000C4E61">
        <w:t xml:space="preserve">integrovat a </w:t>
      </w:r>
      <w:r w:rsidR="002E515C">
        <w:t xml:space="preserve">konfigurovat, jakož i poskytnout práva užití k tomuto software tak, aby Objednatel </w:t>
      </w:r>
      <w:r w:rsidR="005E224A">
        <w:t xml:space="preserve">mohl </w:t>
      </w:r>
      <w:r w:rsidR="000C4E61">
        <w:rPr>
          <w:color w:val="000000"/>
        </w:rPr>
        <w:t xml:space="preserve">tento software </w:t>
      </w:r>
      <w:r w:rsidR="005E224A">
        <w:t>řádně a nerušeně užívat v soul</w:t>
      </w:r>
      <w:r w:rsidR="00512300">
        <w:t>adu s</w:t>
      </w:r>
      <w:r w:rsidR="002E515C">
        <w:t xml:space="preserve"> jeho </w:t>
      </w:r>
      <w:r w:rsidR="00512300">
        <w:t>účelovým určením</w:t>
      </w:r>
      <w:r w:rsidR="00104F0D">
        <w:t xml:space="preserve"> a</w:t>
      </w:r>
      <w:r w:rsidR="00512300">
        <w:t xml:space="preserve"> </w:t>
      </w:r>
      <w:r w:rsidR="005E224A">
        <w:t>touto smlouvou.</w:t>
      </w:r>
    </w:p>
    <w:p w14:paraId="42717861" w14:textId="77777777" w:rsidR="00726B26" w:rsidRDefault="00726B26" w:rsidP="00726B26">
      <w:pPr>
        <w:jc w:val="center"/>
        <w:rPr>
          <w:b/>
          <w:bCs/>
        </w:rPr>
      </w:pPr>
    </w:p>
    <w:p w14:paraId="1623E62D" w14:textId="77777777" w:rsidR="00726B26" w:rsidRDefault="00726B26" w:rsidP="00CF0C56">
      <w:pPr>
        <w:pStyle w:val="Nadpis1"/>
      </w:pPr>
      <w:bookmarkStart w:id="0" w:name="_Ref491774179"/>
      <w:r>
        <w:t xml:space="preserve">Předmět </w:t>
      </w:r>
      <w:r w:rsidR="00BE50CA">
        <w:t>smlouvy</w:t>
      </w:r>
      <w:bookmarkEnd w:id="0"/>
    </w:p>
    <w:p w14:paraId="7A420404" w14:textId="77777777" w:rsidR="00726B26" w:rsidRPr="002B77A6" w:rsidRDefault="00726B26" w:rsidP="000F5076">
      <w:pPr>
        <w:pStyle w:val="Odstavecsmlouvy"/>
        <w:numPr>
          <w:ilvl w:val="0"/>
          <w:numId w:val="0"/>
        </w:numPr>
        <w:ind w:left="720"/>
      </w:pPr>
    </w:p>
    <w:p w14:paraId="51A10C15" w14:textId="77777777" w:rsidR="00AC4202" w:rsidRDefault="002E515C" w:rsidP="00D46D7C">
      <w:pPr>
        <w:pStyle w:val="Odstavecsmlouvy"/>
      </w:pPr>
      <w:bookmarkStart w:id="1" w:name="_Ref496264709"/>
      <w:r>
        <w:t>Poskytovatel</w:t>
      </w:r>
      <w:r w:rsidR="00726B26" w:rsidRPr="00D46D7C">
        <w:t xml:space="preserve"> </w:t>
      </w:r>
      <w:r w:rsidR="00496E63">
        <w:t xml:space="preserve">je povinen </w:t>
      </w:r>
      <w:r w:rsidR="00C874D2">
        <w:t>s odbornou péčí profesionála</w:t>
      </w:r>
      <w:r w:rsidR="009E5E68">
        <w:t xml:space="preserve"> dle Harmonogramu</w:t>
      </w:r>
      <w:r w:rsidR="00AC4202">
        <w:t>:</w:t>
      </w:r>
      <w:bookmarkEnd w:id="1"/>
    </w:p>
    <w:p w14:paraId="2FAEEA20" w14:textId="534E8A9B" w:rsidR="00104F0D" w:rsidRDefault="002C2D59" w:rsidP="00AC4202">
      <w:pPr>
        <w:pStyle w:val="Psmenoodstavce"/>
      </w:pPr>
      <w:bookmarkStart w:id="2" w:name="_Ref496264803"/>
      <w:r>
        <w:t xml:space="preserve">na základě přílohy č. 1 této smlouvy </w:t>
      </w:r>
      <w:r w:rsidR="00104F0D">
        <w:t>z</w:t>
      </w:r>
      <w:r>
        <w:t>pracovat</w:t>
      </w:r>
      <w:r w:rsidR="00104F0D">
        <w:t xml:space="preserve"> písemnou analýzu </w:t>
      </w:r>
      <w:r>
        <w:t>včetně</w:t>
      </w:r>
      <w:r w:rsidR="00104F0D">
        <w:t xml:space="preserve"> návrh</w:t>
      </w:r>
      <w:r>
        <w:t>u</w:t>
      </w:r>
      <w:r w:rsidR="00104F0D">
        <w:t xml:space="preserve"> řešení, tj. dokument, který ve všech nezbytných detailech popíše veškeré funkce a vlastnosti Software nezbytné pro dosažení jeho účelu a uživatelského komfortu a dále ve všech nezbytných detailech popíše postup Implementace a Integrace (tento dokument dále jen „</w:t>
      </w:r>
      <w:r w:rsidR="00104F0D" w:rsidRPr="00104F0D">
        <w:rPr>
          <w:b/>
        </w:rPr>
        <w:t>Analýza a návrh řešení</w:t>
      </w:r>
      <w:r w:rsidR="00104F0D">
        <w:t>“);</w:t>
      </w:r>
    </w:p>
    <w:p w14:paraId="2A595A92" w14:textId="3441E13F" w:rsidR="00AC4202" w:rsidRDefault="00AC4202" w:rsidP="00AC4202">
      <w:pPr>
        <w:pStyle w:val="Psmenoodstavce"/>
      </w:pPr>
      <w:r>
        <w:t xml:space="preserve">v prostředí Objednatele </w:t>
      </w:r>
      <w:r w:rsidR="00496E63">
        <w:t xml:space="preserve">provést </w:t>
      </w:r>
      <w:r>
        <w:t>instalaci, implementaci a konfiguraci</w:t>
      </w:r>
      <w:r w:rsidR="00CB7EDF">
        <w:t xml:space="preserve"> Software</w:t>
      </w:r>
      <w:r w:rsidR="00F5367A">
        <w:t xml:space="preserve"> dle této smlouvy</w:t>
      </w:r>
      <w:r w:rsidR="00A50004">
        <w:t>, dle Analýzy a návrhu řešení</w:t>
      </w:r>
      <w:r w:rsidR="00FE2069">
        <w:t xml:space="preserve"> a dle pokynů Objednatele </w:t>
      </w:r>
      <w:r w:rsidR="00D0184D">
        <w:t xml:space="preserve">(dále </w:t>
      </w:r>
      <w:r w:rsidR="002C2D59">
        <w:t xml:space="preserve">a výše </w:t>
      </w:r>
      <w:r w:rsidR="00D0184D">
        <w:t>jen „</w:t>
      </w:r>
      <w:r w:rsidR="00D0184D" w:rsidRPr="00E13C40">
        <w:rPr>
          <w:b/>
        </w:rPr>
        <w:t>Implementace</w:t>
      </w:r>
      <w:r w:rsidR="00D0184D">
        <w:t>“)</w:t>
      </w:r>
      <w:r>
        <w:t>;</w:t>
      </w:r>
      <w:bookmarkEnd w:id="2"/>
    </w:p>
    <w:p w14:paraId="40F45DD1" w14:textId="633FA7BC" w:rsidR="00496E63" w:rsidRPr="00496E63" w:rsidRDefault="00496E63" w:rsidP="00496E63">
      <w:pPr>
        <w:pStyle w:val="Psmenoodstavce"/>
      </w:pPr>
      <w:bookmarkStart w:id="3" w:name="_Ref496264988"/>
      <w:r w:rsidRPr="00496E63">
        <w:t xml:space="preserve">provést integraci </w:t>
      </w:r>
      <w:r>
        <w:t xml:space="preserve">implementovaného </w:t>
      </w:r>
      <w:r w:rsidRPr="00496E63">
        <w:t xml:space="preserve">Software na informační systémy </w:t>
      </w:r>
      <w:r>
        <w:t>Objednatele</w:t>
      </w:r>
      <w:r w:rsidRPr="00496E63">
        <w:t xml:space="preserve"> </w:t>
      </w:r>
      <w:r>
        <w:t xml:space="preserve">uvedené </w:t>
      </w:r>
      <w:r w:rsidRPr="00496E63">
        <w:t xml:space="preserve">v přílohách č. 1 a č. 2 této smlouvy </w:t>
      </w:r>
      <w:r>
        <w:t xml:space="preserve">dle tam uvedených požadavků </w:t>
      </w:r>
      <w:r w:rsidR="00A50004">
        <w:t>a dle Analýzy a návrhu řešení</w:t>
      </w:r>
      <w:r w:rsidR="00A50004" w:rsidRPr="00496E63">
        <w:t xml:space="preserve"> </w:t>
      </w:r>
      <w:r w:rsidRPr="00496E63">
        <w:t xml:space="preserve">(dále </w:t>
      </w:r>
      <w:r w:rsidR="002C2D59">
        <w:t xml:space="preserve">a výše </w:t>
      </w:r>
      <w:r w:rsidRPr="00496E63">
        <w:t>jen „</w:t>
      </w:r>
      <w:r w:rsidRPr="00496E63">
        <w:rPr>
          <w:b/>
        </w:rPr>
        <w:t>Integrace</w:t>
      </w:r>
      <w:r w:rsidRPr="00496E63">
        <w:t>“);</w:t>
      </w:r>
    </w:p>
    <w:p w14:paraId="79BFFF67" w14:textId="77777777" w:rsidR="00496E63" w:rsidRPr="00496E63" w:rsidRDefault="00496E63" w:rsidP="00496E63">
      <w:pPr>
        <w:pStyle w:val="Psmenoodstavce"/>
      </w:pPr>
      <w:r w:rsidRPr="00496E63">
        <w:t>provést úspěšné testování Software podle testovacího scénáře zpracovaného za podmínek této smlouvy (dále jen „</w:t>
      </w:r>
      <w:r w:rsidRPr="00496E63">
        <w:rPr>
          <w:b/>
        </w:rPr>
        <w:t>Testovací scénář</w:t>
      </w:r>
      <w:r w:rsidRPr="00496E63">
        <w:t>“; toto testování včetně zpracování Testovacího scénáře dále jen „</w:t>
      </w:r>
      <w:r w:rsidRPr="00496E63">
        <w:rPr>
          <w:b/>
        </w:rPr>
        <w:t>Testování</w:t>
      </w:r>
      <w:r w:rsidRPr="00496E63">
        <w:t>“);</w:t>
      </w:r>
    </w:p>
    <w:p w14:paraId="55B60282" w14:textId="194DFE1C" w:rsidR="00C446F1" w:rsidRDefault="00C446F1" w:rsidP="00AC4202">
      <w:pPr>
        <w:pStyle w:val="Psmenoodstavce"/>
      </w:pPr>
      <w:r>
        <w:t xml:space="preserve">zaškolit pracovníky Objednatele na uživatelské úrovni, a to v rozsahu minimálně </w:t>
      </w:r>
      <w:r w:rsidR="00757411">
        <w:t xml:space="preserve">4 hodiny </w:t>
      </w:r>
      <w:r>
        <w:t>školení</w:t>
      </w:r>
      <w:r w:rsidR="00D50C1C">
        <w:t>, a</w:t>
      </w:r>
      <w:bookmarkStart w:id="4" w:name="_Ref496264989"/>
      <w:bookmarkEnd w:id="3"/>
      <w:r w:rsidR="00D50C1C">
        <w:t xml:space="preserve"> </w:t>
      </w:r>
      <w:r>
        <w:t xml:space="preserve">zaškolit pracovníky Objednatele na administrátorské úrovni, a to v rozsahu minimálně </w:t>
      </w:r>
      <w:r w:rsidR="00757411">
        <w:rPr>
          <w:color w:val="000000"/>
        </w:rPr>
        <w:t xml:space="preserve">6 hodin </w:t>
      </w:r>
      <w:r>
        <w:t>školení</w:t>
      </w:r>
      <w:r w:rsidR="00D50C1C">
        <w:t xml:space="preserve"> (tato školení dále souhrnně jen „</w:t>
      </w:r>
      <w:r w:rsidR="00D50C1C" w:rsidRPr="00D50C1C">
        <w:rPr>
          <w:b/>
        </w:rPr>
        <w:t>Školení</w:t>
      </w:r>
      <w:r w:rsidR="00D50C1C">
        <w:t>“)</w:t>
      </w:r>
      <w:bookmarkEnd w:id="4"/>
      <w:r w:rsidR="00496E63">
        <w:t>.</w:t>
      </w:r>
    </w:p>
    <w:p w14:paraId="428B2B3D" w14:textId="77777777" w:rsidR="00B86A07" w:rsidRDefault="00B86A07" w:rsidP="00B86A07">
      <w:pPr>
        <w:pStyle w:val="Odstavecsmlouvy"/>
        <w:numPr>
          <w:ilvl w:val="0"/>
          <w:numId w:val="0"/>
        </w:numPr>
        <w:ind w:left="567"/>
      </w:pPr>
    </w:p>
    <w:p w14:paraId="7006A038" w14:textId="4E0CAB0E" w:rsidR="00496E63" w:rsidRDefault="002F60B5" w:rsidP="00496E63">
      <w:pPr>
        <w:pStyle w:val="Odstavecsmlouvy"/>
      </w:pPr>
      <w:bookmarkStart w:id="5" w:name="_Ref48054235"/>
      <w:bookmarkStart w:id="6" w:name="_Ref480357618"/>
      <w:r>
        <w:t>Poskytovatel</w:t>
      </w:r>
      <w:r w:rsidR="00496E63">
        <w:t xml:space="preserve"> připraví před zahájením Testování v součinnosti s Objednatelem písemný Testovací scénář. Účelem Testování je prokázání řádného poskytnutí příslušných plnění, tj. řádné provedení Implementace a Integrace v prostředí </w:t>
      </w:r>
      <w:r>
        <w:t>Objednatele</w:t>
      </w:r>
      <w:r w:rsidR="00496E63">
        <w:t xml:space="preserve">. Testovací scénář podléhá akceptačnímu procesu podle čl. </w:t>
      </w:r>
      <w:r w:rsidR="00756ADC">
        <w:fldChar w:fldCharType="begin"/>
      </w:r>
      <w:r w:rsidR="00756ADC">
        <w:instrText xml:space="preserve"> REF _Ref497462911 \n \h </w:instrText>
      </w:r>
      <w:r w:rsidR="00756ADC">
        <w:fldChar w:fldCharType="separate"/>
      </w:r>
      <w:r w:rsidR="005730C5">
        <w:t>III</w:t>
      </w:r>
      <w:r w:rsidR="00756ADC">
        <w:fldChar w:fldCharType="end"/>
      </w:r>
      <w:r w:rsidR="00756ADC">
        <w:t xml:space="preserve"> </w:t>
      </w:r>
      <w:r w:rsidR="00496E63">
        <w:t xml:space="preserve">této smlouvy. Bez akceptace Testovacího scénáře není </w:t>
      </w:r>
      <w:r>
        <w:t>Poskytovatel</w:t>
      </w:r>
      <w:r w:rsidR="00496E63">
        <w:t xml:space="preserve"> oprávněn Testování zahájit. Povinnost </w:t>
      </w:r>
      <w:r>
        <w:t>Poskytovatele</w:t>
      </w:r>
      <w:r w:rsidR="00496E63">
        <w:t xml:space="preserve"> provést úspěšné Testování není dotčena počtem opakování akceptačního procesu Testovacího scénáře. Za úspěšné se považuje takové Testování, které proběhne podle dle Testovacího scénáře a z jehož výsledku vyplyne splnění výše sjednaného účelu Testování.</w:t>
      </w:r>
    </w:p>
    <w:p w14:paraId="493D751C" w14:textId="77777777" w:rsidR="00496E63" w:rsidRDefault="00496E63" w:rsidP="00496E63">
      <w:pPr>
        <w:pStyle w:val="Odstavecsmlouvy"/>
        <w:numPr>
          <w:ilvl w:val="0"/>
          <w:numId w:val="0"/>
        </w:numPr>
        <w:ind w:left="567"/>
      </w:pPr>
    </w:p>
    <w:p w14:paraId="55C29B3F" w14:textId="22E72042" w:rsidR="00496E63" w:rsidRDefault="002F60B5" w:rsidP="00496E63">
      <w:pPr>
        <w:pStyle w:val="Odstavecsmlouvy"/>
      </w:pPr>
      <w:bookmarkStart w:id="7" w:name="_Ref48127375"/>
      <w:r>
        <w:t>Poskytovatel</w:t>
      </w:r>
      <w:r w:rsidR="00496E63">
        <w:t xml:space="preserve"> poskytuje </w:t>
      </w:r>
      <w:r>
        <w:t>Objednateli</w:t>
      </w:r>
      <w:r w:rsidR="00496E63">
        <w:t xml:space="preserve"> k užívání Software, jakož i k dalším autorským dílům uvedeným v příloze č. 1, oprávnění (licenci) </w:t>
      </w:r>
      <w:r w:rsidR="005730C5">
        <w:t>k užívání ve stejném rozsahu a za stejných podmínek, v jakém je k datu nabytí účinnosti této smlouvy Objednatel oprávněn užívat systém MD NAV (dále jen „</w:t>
      </w:r>
      <w:r w:rsidR="005730C5" w:rsidRPr="00A34037">
        <w:rPr>
          <w:b/>
        </w:rPr>
        <w:t>Licence</w:t>
      </w:r>
      <w:r w:rsidR="005730C5">
        <w:t xml:space="preserve">“). Poskytovatel prohlašuje, že jsou mu tyto podmínky a tento rozsah známy. </w:t>
      </w:r>
      <w:bookmarkEnd w:id="5"/>
      <w:bookmarkEnd w:id="7"/>
    </w:p>
    <w:p w14:paraId="25CAA531" w14:textId="77777777" w:rsidR="00496E63" w:rsidRDefault="00496E63" w:rsidP="00496E63">
      <w:pPr>
        <w:pStyle w:val="Odstavecsmlouvy"/>
        <w:numPr>
          <w:ilvl w:val="0"/>
          <w:numId w:val="0"/>
        </w:numPr>
      </w:pPr>
    </w:p>
    <w:p w14:paraId="6A301274" w14:textId="088A1ABC" w:rsidR="00496E63" w:rsidRDefault="00496E63" w:rsidP="00496E63">
      <w:pPr>
        <w:pStyle w:val="Odstavecsmlouvy"/>
      </w:pPr>
      <w:bookmarkStart w:id="8" w:name="_Ref25667426"/>
      <w:bookmarkStart w:id="9" w:name="_Ref42077377"/>
      <w:r>
        <w:t xml:space="preserve">Není-li </w:t>
      </w:r>
      <w:r w:rsidR="002F60B5">
        <w:t>Poskytovatel</w:t>
      </w:r>
      <w:r>
        <w:t xml:space="preserve"> oprávněn poskytnout Licenci dle odst. </w:t>
      </w:r>
      <w:r>
        <w:fldChar w:fldCharType="begin"/>
      </w:r>
      <w:r>
        <w:instrText xml:space="preserve"> REF _Ref48127375 \n \h </w:instrText>
      </w:r>
      <w:r>
        <w:fldChar w:fldCharType="separate"/>
      </w:r>
      <w:proofErr w:type="gramStart"/>
      <w:r w:rsidR="005730C5">
        <w:t>II.3</w:t>
      </w:r>
      <w:r>
        <w:fldChar w:fldCharType="end"/>
      </w:r>
      <w:r>
        <w:t xml:space="preserve"> této</w:t>
      </w:r>
      <w:proofErr w:type="gramEnd"/>
      <w:r>
        <w:t xml:space="preserve"> smlouvy, je povinen ve lhůtě sjednané pro </w:t>
      </w:r>
      <w:r w:rsidR="002F60B5">
        <w:t>provedení Implementace Objednateli</w:t>
      </w:r>
      <w:r>
        <w:t xml:space="preserve"> zprostředkovat uzavření licenční smlouvy o poskytnutí práv užití (licence) Software, a to ve stejném rozsahu a za stejných podmínek, jaké jsou sjednány v odst. </w:t>
      </w:r>
      <w:r>
        <w:fldChar w:fldCharType="begin"/>
      </w:r>
      <w:r>
        <w:instrText xml:space="preserve"> REF _Ref48127375 \n \h </w:instrText>
      </w:r>
      <w:r>
        <w:fldChar w:fldCharType="separate"/>
      </w:r>
      <w:r w:rsidR="005730C5">
        <w:t>II.3</w:t>
      </w:r>
      <w:r>
        <w:fldChar w:fldCharType="end"/>
      </w:r>
      <w:r>
        <w:t xml:space="preserve"> této smlouvy pro Licenci (dále jen „</w:t>
      </w:r>
      <w:r w:rsidRPr="004A46F0">
        <w:rPr>
          <w:b/>
        </w:rPr>
        <w:t>Licenční smlouva</w:t>
      </w:r>
      <w:r>
        <w:t>“).</w:t>
      </w:r>
      <w:bookmarkEnd w:id="8"/>
      <w:r w:rsidRPr="007B69F7">
        <w:t xml:space="preserve"> </w:t>
      </w:r>
      <w:r>
        <w:t xml:space="preserve">Závazek </w:t>
      </w:r>
      <w:r w:rsidR="002F60B5">
        <w:t>Poskytovatele</w:t>
      </w:r>
      <w:r>
        <w:t xml:space="preserve"> zprostředkovat uzavření Licenční smlouvy se považuje za splněný i uzavřením této smlouvy, pokud příloha č. 1 této smlouvy obsahuje plné znění Licenční smlouvy nebo na její plné znění odkazuje a </w:t>
      </w:r>
      <w:r w:rsidR="002F60B5">
        <w:t>Poskytovatel</w:t>
      </w:r>
      <w:r>
        <w:t xml:space="preserve"> je oprávněn takto pro </w:t>
      </w:r>
      <w:r w:rsidR="002F60B5">
        <w:t>Objednatele</w:t>
      </w:r>
      <w:r>
        <w:t xml:space="preserve"> zajistit uzavření Licenční smlouvy.</w:t>
      </w:r>
      <w:bookmarkEnd w:id="9"/>
      <w:r>
        <w:t xml:space="preserve"> Není-li v této smlouvě výslovně sjednáno jinak, je </w:t>
      </w:r>
      <w:r w:rsidR="002F60B5">
        <w:t>Poskytovatel</w:t>
      </w:r>
      <w:r>
        <w:t xml:space="preserve"> povinen hradit za </w:t>
      </w:r>
      <w:r w:rsidR="002F60B5">
        <w:t>Objednatele</w:t>
      </w:r>
      <w:r>
        <w:t xml:space="preserve"> veškeré úhrady nezbytné pro oprávněné užívání Software na základě Licenční </w:t>
      </w:r>
      <w:r>
        <w:lastRenderedPageBreak/>
        <w:t>smlouvy, přičemž tyto úhrady jsou součástí Kupní ceny, a to bez ohledu na ujednání Licenční smlouvy, která jsou v rozporu s touto větou.</w:t>
      </w:r>
    </w:p>
    <w:p w14:paraId="5140DB2F" w14:textId="77777777" w:rsidR="00496E63" w:rsidRDefault="00496E63" w:rsidP="00496E63">
      <w:pPr>
        <w:pStyle w:val="Odstavecsmlouvy"/>
        <w:numPr>
          <w:ilvl w:val="0"/>
          <w:numId w:val="0"/>
        </w:numPr>
        <w:ind w:left="567"/>
      </w:pPr>
    </w:p>
    <w:p w14:paraId="40257B42" w14:textId="77777777" w:rsidR="00496E63" w:rsidRDefault="00496E63" w:rsidP="00496E63">
      <w:pPr>
        <w:pStyle w:val="Odstavecsmlouvy"/>
      </w:pPr>
      <w:r w:rsidRPr="00FB23A7">
        <w:t xml:space="preserve">Pokud je pro oprávněné užívání </w:t>
      </w:r>
      <w:r>
        <w:t>S</w:t>
      </w:r>
      <w:r w:rsidRPr="00FB23A7">
        <w:t xml:space="preserve">oftware </w:t>
      </w:r>
      <w:r>
        <w:t xml:space="preserve">v souladu s touto smlouvou </w:t>
      </w:r>
      <w:r w:rsidRPr="00FB23A7">
        <w:t>nezbytný licenční/produktový klíč nebo obdobný kód (dále jen „</w:t>
      </w:r>
      <w:r w:rsidRPr="00FB23A7">
        <w:rPr>
          <w:b/>
        </w:rPr>
        <w:t>Licenční klíč</w:t>
      </w:r>
      <w:r w:rsidRPr="00FB23A7">
        <w:t xml:space="preserve">“), je </w:t>
      </w:r>
      <w:r w:rsidR="002F60B5">
        <w:t>Poskytovatel</w:t>
      </w:r>
      <w:r>
        <w:t xml:space="preserve"> povinen </w:t>
      </w:r>
      <w:r w:rsidR="002F60B5">
        <w:t>Objednateli</w:t>
      </w:r>
      <w:r>
        <w:t xml:space="preserve">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p>
    <w:p w14:paraId="78F65D01" w14:textId="77777777" w:rsidR="00496E63" w:rsidRDefault="00496E63" w:rsidP="00496E63">
      <w:pPr>
        <w:pStyle w:val="Odstavecsmlouvy"/>
        <w:numPr>
          <w:ilvl w:val="0"/>
          <w:numId w:val="0"/>
        </w:numPr>
        <w:ind w:left="567"/>
      </w:pPr>
    </w:p>
    <w:p w14:paraId="1E5ADAE3" w14:textId="77777777" w:rsidR="00496E63" w:rsidRDefault="00496E63" w:rsidP="00496E63">
      <w:pPr>
        <w:pStyle w:val="Odstavecsmlouvy"/>
      </w:pPr>
      <w:r>
        <w:t>Poskytovatel</w:t>
      </w:r>
      <w:r w:rsidRPr="00862350">
        <w:t xml:space="preserve"> je </w:t>
      </w:r>
      <w:r>
        <w:t>dle Harmonogramu</w:t>
      </w:r>
      <w:r w:rsidRPr="00862350">
        <w:t xml:space="preserve"> povinen dodat </w:t>
      </w:r>
      <w:r w:rsidR="002F60B5">
        <w:t>Objednateli</w:t>
      </w:r>
      <w:r w:rsidRPr="00862350">
        <w:t xml:space="preserve"> veškeré doklady, které se vztahují </w:t>
      </w:r>
      <w:r>
        <w:t xml:space="preserve">k Software a </w:t>
      </w:r>
      <w:r w:rsidRPr="00862350">
        <w:t>k</w:t>
      </w:r>
      <w:r>
        <w:t> Licenci, případně</w:t>
      </w:r>
      <w:r w:rsidRPr="00862350">
        <w:t xml:space="preserve"> </w:t>
      </w:r>
      <w:r>
        <w:t>Licenční smlouvě, a které jsou nezbytné pro</w:t>
      </w:r>
      <w:r w:rsidRPr="00862350">
        <w:t xml:space="preserve"> jejich převzetí a </w:t>
      </w:r>
      <w:r>
        <w:t>řádné</w:t>
      </w:r>
      <w:r w:rsidRPr="00862350">
        <w:t xml:space="preserve"> užívání</w:t>
      </w:r>
      <w:r>
        <w:t xml:space="preserve"> v souladu s právními předpisy (dále též jen „</w:t>
      </w:r>
      <w:r w:rsidRPr="00FA769A">
        <w:rPr>
          <w:b/>
        </w:rPr>
        <w:t>Doklady</w:t>
      </w:r>
      <w:r>
        <w:t>“). Zejména je Poskytovatel povinen dodat</w:t>
      </w:r>
      <w:r w:rsidRPr="00862350">
        <w:t>:</w:t>
      </w:r>
    </w:p>
    <w:p w14:paraId="1E8C031E" w14:textId="77777777" w:rsidR="00496E63" w:rsidRDefault="00496E63" w:rsidP="00496E63">
      <w:pPr>
        <w:pStyle w:val="Odstavecsmlouvy"/>
        <w:numPr>
          <w:ilvl w:val="0"/>
          <w:numId w:val="5"/>
        </w:numPr>
        <w:spacing w:before="120"/>
        <w:contextualSpacing/>
      </w:pPr>
      <w:r w:rsidRPr="0075495D">
        <w:t>uživatelský návod</w:t>
      </w:r>
      <w:r w:rsidRPr="00B47EF1">
        <w:t xml:space="preserve"> k</w:t>
      </w:r>
      <w:r>
        <w:t> S</w:t>
      </w:r>
      <w:r w:rsidRPr="00B47EF1">
        <w:t>oftware</w:t>
      </w:r>
      <w:r>
        <w:t>,</w:t>
      </w:r>
      <w:r w:rsidRPr="00B47EF1">
        <w:t xml:space="preserve"> </w:t>
      </w:r>
      <w:r>
        <w:t xml:space="preserve">a to </w:t>
      </w:r>
      <w:r w:rsidRPr="00B47EF1">
        <w:t>na CD</w:t>
      </w:r>
      <w:r>
        <w:t xml:space="preserve">, </w:t>
      </w:r>
      <w:r w:rsidRPr="00B47EF1">
        <w:t>DVD</w:t>
      </w:r>
      <w:r>
        <w:t xml:space="preserve"> nebo na </w:t>
      </w:r>
      <w:r w:rsidRPr="00B47EF1">
        <w:t>USB</w:t>
      </w:r>
      <w:r>
        <w:t xml:space="preserve"> </w:t>
      </w:r>
      <w:proofErr w:type="spellStart"/>
      <w:r>
        <w:t>flash</w:t>
      </w:r>
      <w:proofErr w:type="spellEnd"/>
      <w:r>
        <w:t xml:space="preserve"> disku</w:t>
      </w:r>
      <w:r w:rsidRPr="00B47EF1">
        <w:t xml:space="preserve"> ve formátu </w:t>
      </w:r>
      <w:r>
        <w:t>DOC, DOCX, RTF nebo PDF;</w:t>
      </w:r>
    </w:p>
    <w:p w14:paraId="7C6068C4" w14:textId="77777777" w:rsidR="00496E63" w:rsidRDefault="00496E63" w:rsidP="00496E63">
      <w:pPr>
        <w:pStyle w:val="Odstavecsmlouvy"/>
        <w:numPr>
          <w:ilvl w:val="0"/>
          <w:numId w:val="5"/>
        </w:numPr>
        <w:spacing w:before="120"/>
        <w:contextualSpacing/>
      </w:pPr>
      <w:r>
        <w:t>instalační média k Software, pokud je distribuovaný na instalačních médiích.</w:t>
      </w:r>
    </w:p>
    <w:p w14:paraId="19A0235D" w14:textId="77777777" w:rsidR="00496E63" w:rsidRDefault="00496E63" w:rsidP="00496E63">
      <w:pPr>
        <w:pStyle w:val="Odstavecsmlouvy"/>
        <w:numPr>
          <w:ilvl w:val="0"/>
          <w:numId w:val="0"/>
        </w:numPr>
        <w:ind w:left="567"/>
      </w:pPr>
    </w:p>
    <w:p w14:paraId="2F795983" w14:textId="77777777" w:rsidR="00496E63" w:rsidRDefault="00496E63" w:rsidP="0000720B">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p w14:paraId="5D6BCF4E" w14:textId="77777777" w:rsidR="00496E63" w:rsidRDefault="00496E63" w:rsidP="00496E63">
      <w:pPr>
        <w:pStyle w:val="Odstavecsmlouvy"/>
        <w:numPr>
          <w:ilvl w:val="0"/>
          <w:numId w:val="0"/>
        </w:numPr>
        <w:ind w:left="567"/>
      </w:pPr>
    </w:p>
    <w:p w14:paraId="0BFCBF93" w14:textId="26B25B00" w:rsidR="0000720B" w:rsidRDefault="00B324BE" w:rsidP="0000720B">
      <w:pPr>
        <w:pStyle w:val="Odstavecsmlouvy"/>
      </w:pPr>
      <w:r>
        <w:t xml:space="preserve">Smluvní strany </w:t>
      </w:r>
      <w:r w:rsidRPr="00411036">
        <w:t xml:space="preserve">sepíší </w:t>
      </w:r>
      <w:r>
        <w:t>o řádném splnění všech povinností Poskytova</w:t>
      </w:r>
      <w:r w:rsidR="00756ADC">
        <w:t xml:space="preserve">tele sjednaných v této smlouvě </w:t>
      </w:r>
      <w:r>
        <w:t>písemný předávací</w:t>
      </w:r>
      <w:r w:rsidRPr="00B23E3B">
        <w:t xml:space="preserve"> protokol </w:t>
      </w:r>
      <w:r>
        <w:t>podepsaný oběma smluvními stranami</w:t>
      </w:r>
      <w:r w:rsidRPr="00B23E3B">
        <w:t xml:space="preserve"> </w:t>
      </w:r>
      <w:r w:rsidR="0000720B" w:rsidRPr="00B23E3B">
        <w:t xml:space="preserve">(dále </w:t>
      </w:r>
      <w:r w:rsidR="0000720B">
        <w:t xml:space="preserve">a výše </w:t>
      </w:r>
      <w:r w:rsidR="0000720B" w:rsidRPr="00B23E3B">
        <w:t>jen „</w:t>
      </w:r>
      <w:r w:rsidR="0000720B">
        <w:rPr>
          <w:b/>
        </w:rPr>
        <w:t>Předávací</w:t>
      </w:r>
      <w:r w:rsidR="0000720B" w:rsidRPr="00B23E3B">
        <w:rPr>
          <w:b/>
        </w:rPr>
        <w:t xml:space="preserve"> protokol</w:t>
      </w:r>
      <w:r w:rsidR="0000720B" w:rsidRPr="00B23E3B">
        <w:t>“). Smluvní strany jsou oprávněny v </w:t>
      </w:r>
      <w:r w:rsidR="0000720B">
        <w:t>Předávací</w:t>
      </w:r>
      <w:r w:rsidR="0000720B" w:rsidRPr="00B23E3B">
        <w:t>m protokolu uvést jakékoliv</w:t>
      </w:r>
      <w:r w:rsidR="0000720B">
        <w:t xml:space="preserve"> záznamy, oznámení vad plnění, připomínky či výhrady, které</w:t>
      </w:r>
      <w:r w:rsidR="0000720B" w:rsidRPr="00B23E3B">
        <w:t xml:space="preserve"> se však nepovažují za změnu této smlouvy či dodatek k této smlouvě. Neuvedení jakýchkoliv (i zjevných) vad do </w:t>
      </w:r>
      <w:r w:rsidR="0000720B">
        <w:t>Předávací</w:t>
      </w:r>
      <w:r w:rsidR="0000720B" w:rsidRPr="00B23E3B">
        <w:t xml:space="preserve">ho protokolu neomezuje </w:t>
      </w:r>
      <w:r w:rsidR="0000720B">
        <w:t>Objednatele</w:t>
      </w:r>
      <w:r w:rsidR="0000720B" w:rsidRPr="00B23E3B">
        <w:t xml:space="preserve"> v právu oznamovat vady </w:t>
      </w:r>
      <w:r w:rsidR="0000720B">
        <w:t>plnění Poskytovateli po podpisu Předávacího protokolu kteroukoli smluvní stranou</w:t>
      </w:r>
      <w:r w:rsidR="0000720B" w:rsidRPr="00411036">
        <w:t>.</w:t>
      </w:r>
      <w:bookmarkEnd w:id="6"/>
      <w:r w:rsidR="0000720B" w:rsidRPr="00411036">
        <w:t xml:space="preserve"> </w:t>
      </w:r>
      <w:r w:rsidR="005730C5">
        <w:t xml:space="preserve">Osobou oprávněnou podepsat Předávací protokol za Objednatele je </w:t>
      </w:r>
      <w:r w:rsidR="005F3D8C">
        <w:t>XXXXX</w:t>
      </w:r>
      <w:r w:rsidR="005730C5">
        <w:t>. Osobou oprávněnou podepsat Předávací protokol za Poskytovatele je</w:t>
      </w:r>
      <w:r w:rsidR="00A34037">
        <w:t xml:space="preserve"> Ing. Roman Koref</w:t>
      </w:r>
      <w:r w:rsidR="005730C5">
        <w:t xml:space="preserve"> </w:t>
      </w:r>
    </w:p>
    <w:p w14:paraId="7A4E34E1" w14:textId="77777777" w:rsidR="0000720B" w:rsidRDefault="0000720B" w:rsidP="0000720B">
      <w:pPr>
        <w:pStyle w:val="Odstavecsmlouvy"/>
        <w:numPr>
          <w:ilvl w:val="0"/>
          <w:numId w:val="0"/>
        </w:numPr>
        <w:ind w:left="567"/>
      </w:pPr>
    </w:p>
    <w:p w14:paraId="254F8AB6" w14:textId="77777777" w:rsidR="00496E63" w:rsidRPr="005459DD" w:rsidRDefault="00496E63" w:rsidP="00496E63">
      <w:pPr>
        <w:pStyle w:val="Nadpis3"/>
      </w:pPr>
      <w:bookmarkStart w:id="10" w:name="_Ref497462911"/>
      <w:r w:rsidRPr="005459DD">
        <w:t>Akceptace dokumentů</w:t>
      </w:r>
      <w:bookmarkEnd w:id="10"/>
    </w:p>
    <w:p w14:paraId="77891C0A" w14:textId="77777777" w:rsidR="00496E63" w:rsidRDefault="00496E63" w:rsidP="00496E63">
      <w:pPr>
        <w:pStyle w:val="Odstavecsmlouvy"/>
        <w:numPr>
          <w:ilvl w:val="0"/>
          <w:numId w:val="0"/>
        </w:numPr>
        <w:ind w:left="567"/>
      </w:pPr>
    </w:p>
    <w:p w14:paraId="6205A71D" w14:textId="77777777" w:rsidR="00496E63" w:rsidRDefault="00496E63" w:rsidP="00496E63">
      <w:pPr>
        <w:pStyle w:val="Odstavecsmlouvy"/>
        <w:numPr>
          <w:ilvl w:val="1"/>
          <w:numId w:val="19"/>
        </w:numPr>
      </w:pPr>
      <w:bookmarkStart w:id="11" w:name="_Ref48057091"/>
      <w:r>
        <w:t>Veškeré dokumenty a jiná písemná plnění včetně databází (dále jen „</w:t>
      </w:r>
      <w:r w:rsidRPr="00775879">
        <w:rPr>
          <w:b/>
        </w:rPr>
        <w:t>dokument</w:t>
      </w:r>
      <w:r>
        <w:t>“ a „</w:t>
      </w:r>
      <w:r w:rsidRPr="00775879">
        <w:rPr>
          <w:b/>
        </w:rPr>
        <w:t>dokumenty</w:t>
      </w:r>
      <w:r>
        <w:t xml:space="preserve">“), která je </w:t>
      </w:r>
      <w:r w:rsidR="002F60B5">
        <w:t>Poskytovatel</w:t>
      </w:r>
      <w:r>
        <w:t xml:space="preserve"> podle této smlouvy povinen zpracovat, doplnit či přepracovat, podléhají akceptaci </w:t>
      </w:r>
      <w:r w:rsidR="002F60B5">
        <w:t>Objednatele</w:t>
      </w:r>
      <w:r>
        <w:t xml:space="preserve"> podle tohoto odstavce smlouvy, ledaže je výslovně sjednáno jinak. Bez této akceptace se dokument nepovažuje za řádně zpracovaný. Tato akceptace je sjednána takto:</w:t>
      </w:r>
      <w:bookmarkEnd w:id="11"/>
    </w:p>
    <w:p w14:paraId="0DE8EA91" w14:textId="77777777" w:rsidR="00496E63" w:rsidRPr="00831747" w:rsidRDefault="002F60B5" w:rsidP="00496E63">
      <w:pPr>
        <w:pStyle w:val="Psmenoodstavce"/>
        <w:ind w:left="1134"/>
        <w:contextualSpacing w:val="0"/>
      </w:pPr>
      <w:bookmarkStart w:id="12" w:name="_Ref497395305"/>
      <w:r>
        <w:t>Poskytovatel</w:t>
      </w:r>
      <w:r w:rsidR="00496E63">
        <w:t xml:space="preserve"> </w:t>
      </w:r>
      <w:r w:rsidR="00496E63" w:rsidRPr="00831747">
        <w:t xml:space="preserve">předloží </w:t>
      </w:r>
      <w:r w:rsidR="00496E63">
        <w:t xml:space="preserve">dokument </w:t>
      </w:r>
      <w:r>
        <w:t>Objednateli</w:t>
      </w:r>
      <w:r w:rsidR="00496E63" w:rsidRPr="00831747">
        <w:t>.</w:t>
      </w:r>
      <w:bookmarkEnd w:id="12"/>
      <w:r w:rsidR="00496E63" w:rsidRPr="00831747">
        <w:t xml:space="preserve"> Nepožaduje-li </w:t>
      </w:r>
      <w:r>
        <w:t>Objednatel</w:t>
      </w:r>
      <w:r w:rsidR="00496E63">
        <w:t xml:space="preserve"> </w:t>
      </w:r>
      <w:r w:rsidR="00496E63" w:rsidRPr="00831747">
        <w:t xml:space="preserve">listinnou formu, může mít dokument elektronickou formu. </w:t>
      </w:r>
      <w:r>
        <w:t>Objednatel</w:t>
      </w:r>
      <w:r w:rsidR="00496E63">
        <w:t xml:space="preserve"> </w:t>
      </w:r>
      <w:r w:rsidR="00496E63" w:rsidRPr="00831747">
        <w:t>je pro elektronické dokumenty oprávněn stanovit způsob doručení, kódování, strukturu a formát dokumentu.</w:t>
      </w:r>
    </w:p>
    <w:p w14:paraId="3B7B66C9" w14:textId="77777777" w:rsidR="00496E63" w:rsidRPr="00831747" w:rsidRDefault="002F60B5" w:rsidP="00496E63">
      <w:pPr>
        <w:pStyle w:val="Psmenoodstavce"/>
        <w:ind w:left="1134"/>
        <w:contextualSpacing w:val="0"/>
      </w:pPr>
      <w:bookmarkStart w:id="13" w:name="_Ref497396546"/>
      <w:r>
        <w:t>Objednatel</w:t>
      </w:r>
      <w:r w:rsidR="00496E63">
        <w:t xml:space="preserve"> </w:t>
      </w:r>
      <w:r w:rsidR="00496E63" w:rsidRPr="00831747">
        <w:t xml:space="preserve">k předloženému dokumentu písemnou formou buď vznese výhrady, nebo jej </w:t>
      </w:r>
      <w:r w:rsidR="00496E63">
        <w:t xml:space="preserve">písemně </w:t>
      </w:r>
      <w:r w:rsidR="00496E63" w:rsidRPr="00831747">
        <w:t xml:space="preserve">akceptuje. </w:t>
      </w:r>
      <w:bookmarkEnd w:id="13"/>
    </w:p>
    <w:p w14:paraId="08230A02" w14:textId="07F64A4D" w:rsidR="00496E63" w:rsidRPr="00831747" w:rsidRDefault="00496E63" w:rsidP="00496E63">
      <w:pPr>
        <w:pStyle w:val="Psmenoodstavce"/>
        <w:ind w:left="1134"/>
        <w:contextualSpacing w:val="0"/>
      </w:pPr>
      <w:bookmarkStart w:id="14" w:name="_Ref497396548"/>
      <w:bookmarkStart w:id="15" w:name="_Ref48057100"/>
      <w:r w:rsidRPr="00831747">
        <w:t xml:space="preserve">Vznese-li </w:t>
      </w:r>
      <w:r w:rsidR="002F60B5">
        <w:t>Objednatel</w:t>
      </w:r>
      <w:r>
        <w:t xml:space="preserve"> </w:t>
      </w:r>
      <w:r w:rsidRPr="00831747">
        <w:t xml:space="preserve">k dokumentu výhrady, je </w:t>
      </w:r>
      <w:r w:rsidR="002F60B5">
        <w:t>Poskytovatel</w:t>
      </w:r>
      <w:r>
        <w:t xml:space="preserve"> </w:t>
      </w:r>
      <w:r w:rsidRPr="00831747">
        <w:t>povinen je v</w:t>
      </w:r>
      <w:r w:rsidR="00BE0CA2">
        <w:t> </w:t>
      </w:r>
      <w:proofErr w:type="gramStart"/>
      <w:r w:rsidR="00BE0CA2">
        <w:t xml:space="preserve">přiměřené </w:t>
      </w:r>
      <w:r w:rsidRPr="00831747">
        <w:t xml:space="preserve"> lhůtě</w:t>
      </w:r>
      <w:proofErr w:type="gramEnd"/>
      <w:r w:rsidRPr="00831747">
        <w:t xml:space="preserve"> stanovené </w:t>
      </w:r>
      <w:r w:rsidR="002F60B5">
        <w:t>Objednatel</w:t>
      </w:r>
      <w:r w:rsidR="00F07A05">
        <w:t>em</w:t>
      </w:r>
      <w:r>
        <w:t xml:space="preserve"> </w:t>
      </w:r>
      <w:r w:rsidRPr="00831747">
        <w:t xml:space="preserve">vypořádat a dokument znovu předložit </w:t>
      </w:r>
      <w:r w:rsidR="002F60B5">
        <w:t>Objednatel</w:t>
      </w:r>
      <w:r w:rsidR="00F07A05">
        <w:t>i</w:t>
      </w:r>
      <w:r w:rsidRPr="00831747">
        <w:t>, který je oprávněn vznášet výhrady i opakovaně.</w:t>
      </w:r>
      <w:bookmarkEnd w:id="14"/>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5"/>
    </w:p>
    <w:p w14:paraId="4343B22A" w14:textId="77777777" w:rsidR="00496E63" w:rsidRDefault="00496E63" w:rsidP="00496E63">
      <w:pPr>
        <w:pStyle w:val="Odstavecsmlouvy"/>
        <w:numPr>
          <w:ilvl w:val="0"/>
          <w:numId w:val="0"/>
        </w:numPr>
        <w:ind w:left="567"/>
      </w:pPr>
    </w:p>
    <w:p w14:paraId="1716BB05" w14:textId="77777777" w:rsidR="00496E63" w:rsidRDefault="00496E63" w:rsidP="00496E63">
      <w:pPr>
        <w:pStyle w:val="Odstavecsmlouvy"/>
        <w:numPr>
          <w:ilvl w:val="1"/>
          <w:numId w:val="19"/>
        </w:numPr>
      </w:pPr>
      <w:r>
        <w:t xml:space="preserve">Po dobu trvání procesu akceptace upraveného v tomto článku smlouvy, není </w:t>
      </w:r>
      <w:r w:rsidR="002F60B5">
        <w:t>Poskytovatel</w:t>
      </w:r>
      <w:r>
        <w:t xml:space="preserve"> v prodlení s plněním, které je touto akceptací podmíněno.</w:t>
      </w:r>
    </w:p>
    <w:p w14:paraId="5E116669" w14:textId="77777777" w:rsidR="00496E63" w:rsidRDefault="00496E63" w:rsidP="00496E63">
      <w:pPr>
        <w:pStyle w:val="Nadpis1"/>
        <w:numPr>
          <w:ilvl w:val="0"/>
          <w:numId w:val="0"/>
        </w:numPr>
        <w:ind w:left="1080"/>
        <w:jc w:val="both"/>
      </w:pPr>
    </w:p>
    <w:p w14:paraId="5C92C1CE" w14:textId="77777777" w:rsidR="00726B26" w:rsidRDefault="006B14CF" w:rsidP="00500A87">
      <w:pPr>
        <w:pStyle w:val="Nadpis1"/>
      </w:pPr>
      <w:r>
        <w:t>Termíny a místo plnění</w:t>
      </w:r>
    </w:p>
    <w:p w14:paraId="0521D8C0" w14:textId="77777777" w:rsidR="00726B26" w:rsidRPr="002B77A6" w:rsidRDefault="00726B26" w:rsidP="00726B26">
      <w:pPr>
        <w:jc w:val="center"/>
        <w:rPr>
          <w:b/>
          <w:bCs/>
        </w:rPr>
      </w:pPr>
    </w:p>
    <w:p w14:paraId="7E84FA37" w14:textId="2C6EB6D6" w:rsidR="009E5E68" w:rsidRDefault="00756ADC" w:rsidP="009E5E68">
      <w:pPr>
        <w:pStyle w:val="Odstavecsmlouvy"/>
      </w:pPr>
      <w:bookmarkStart w:id="16" w:name="_Ref496270541"/>
      <w:r>
        <w:t>Poskytovatel</w:t>
      </w:r>
      <w:r w:rsidR="009E5E68" w:rsidRPr="00090218">
        <w:t xml:space="preserve"> </w:t>
      </w:r>
      <w:r w:rsidR="009E5E68">
        <w:t>je povinen poskytnout plnění dle následujícího harmonogramu (dále a výše jen „</w:t>
      </w:r>
      <w:r w:rsidR="009E5E68" w:rsidRPr="00A2087D">
        <w:rPr>
          <w:b/>
        </w:rPr>
        <w:t>Har</w:t>
      </w:r>
      <w:r w:rsidR="009E5E68">
        <w:rPr>
          <w:b/>
        </w:rPr>
        <w:t>m</w:t>
      </w:r>
      <w:r w:rsidR="009E5E68" w:rsidRPr="00A2087D">
        <w:rPr>
          <w:b/>
        </w:rPr>
        <w:t>onogram</w:t>
      </w:r>
      <w:r w:rsidR="009E5E68">
        <w:t>“)</w:t>
      </w:r>
      <w:r w:rsidR="00FF5A1C">
        <w:t xml:space="preserve">, přičemž etapa Harmonogramu se považuje za řádně dokončenou v okamžiku, </w:t>
      </w:r>
      <w:r w:rsidR="00FF5A1C">
        <w:lastRenderedPageBreak/>
        <w:t>kdy Objednatel její řádné dokončení</w:t>
      </w:r>
      <w:r w:rsidR="00FF5A1C" w:rsidRPr="00453FA3">
        <w:t xml:space="preserve"> </w:t>
      </w:r>
      <w:r w:rsidR="00FF5A1C">
        <w:t>písemně akceptuje</w:t>
      </w:r>
      <w:r w:rsidR="00A50004">
        <w:t xml:space="preserve">, čímž není dotčeno ujednání čl. </w:t>
      </w:r>
      <w:r w:rsidR="00A50004">
        <w:fldChar w:fldCharType="begin"/>
      </w:r>
      <w:r w:rsidR="00A50004">
        <w:instrText xml:space="preserve"> REF _Ref497462911 \n \h </w:instrText>
      </w:r>
      <w:r w:rsidR="00A50004">
        <w:fldChar w:fldCharType="separate"/>
      </w:r>
      <w:r w:rsidR="005730C5">
        <w:t>III</w:t>
      </w:r>
      <w:r w:rsidR="00A50004">
        <w:fldChar w:fldCharType="end"/>
      </w:r>
      <w:r w:rsidR="00A50004">
        <w:t xml:space="preserve"> této smlouvy</w:t>
      </w:r>
      <w:r w:rsidR="009E5E68">
        <w:t>:</w:t>
      </w:r>
    </w:p>
    <w:p w14:paraId="4E800039" w14:textId="77777777" w:rsidR="009E5E68" w:rsidRDefault="009E5E68" w:rsidP="009E5E68">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72"/>
        <w:gridCol w:w="3578"/>
        <w:gridCol w:w="2337"/>
      </w:tblGrid>
      <w:tr w:rsidR="009E5E68" w14:paraId="54EB782E" w14:textId="77777777" w:rsidTr="001E38D3">
        <w:tc>
          <w:tcPr>
            <w:tcW w:w="817" w:type="dxa"/>
            <w:vAlign w:val="center"/>
          </w:tcPr>
          <w:p w14:paraId="1F956872" w14:textId="77777777" w:rsidR="009E5E68" w:rsidRPr="00FC798F" w:rsidRDefault="009E5E68" w:rsidP="001E38D3">
            <w:pPr>
              <w:pStyle w:val="Odstavecsmlouvy"/>
              <w:numPr>
                <w:ilvl w:val="0"/>
                <w:numId w:val="0"/>
              </w:numPr>
              <w:jc w:val="center"/>
              <w:rPr>
                <w:b/>
              </w:rPr>
            </w:pPr>
            <w:r>
              <w:rPr>
                <w:b/>
              </w:rPr>
              <w:t>Etapa</w:t>
            </w:r>
          </w:p>
        </w:tc>
        <w:tc>
          <w:tcPr>
            <w:tcW w:w="2835" w:type="dxa"/>
            <w:shd w:val="clear" w:color="auto" w:fill="auto"/>
            <w:vAlign w:val="center"/>
          </w:tcPr>
          <w:p w14:paraId="41D499CE" w14:textId="77777777" w:rsidR="009E5E68" w:rsidRPr="00FC798F" w:rsidRDefault="009E5E68" w:rsidP="001E38D3">
            <w:pPr>
              <w:pStyle w:val="Odstavecsmlouvy"/>
              <w:numPr>
                <w:ilvl w:val="0"/>
                <w:numId w:val="0"/>
              </w:numPr>
              <w:jc w:val="center"/>
              <w:rPr>
                <w:b/>
              </w:rPr>
            </w:pPr>
            <w:r w:rsidRPr="00FC798F">
              <w:rPr>
                <w:b/>
              </w:rPr>
              <w:t>Popis plnění</w:t>
            </w:r>
          </w:p>
        </w:tc>
        <w:tc>
          <w:tcPr>
            <w:tcW w:w="3686" w:type="dxa"/>
            <w:shd w:val="clear" w:color="auto" w:fill="auto"/>
            <w:vAlign w:val="center"/>
          </w:tcPr>
          <w:p w14:paraId="141D5D1D" w14:textId="77777777" w:rsidR="009E5E68" w:rsidRPr="00FC798F" w:rsidRDefault="00FF5A1C" w:rsidP="001E38D3">
            <w:pPr>
              <w:pStyle w:val="Odstavecsmlouvy"/>
              <w:numPr>
                <w:ilvl w:val="0"/>
                <w:numId w:val="0"/>
              </w:numPr>
              <w:jc w:val="center"/>
              <w:rPr>
                <w:b/>
              </w:rPr>
            </w:pPr>
            <w:r>
              <w:rPr>
                <w:b/>
              </w:rPr>
              <w:t>Počátek</w:t>
            </w:r>
            <w:r w:rsidRPr="00FC798F">
              <w:rPr>
                <w:b/>
              </w:rPr>
              <w:t xml:space="preserve"> lhůty pro řádné dokončení či poskytnutí plnění</w:t>
            </w:r>
            <w:r>
              <w:rPr>
                <w:b/>
              </w:rPr>
              <w:t>; není-li výslovně sjednáno jinak, Poskytovatel není oprávněn zahájit plnění dříve</w:t>
            </w:r>
          </w:p>
        </w:tc>
        <w:tc>
          <w:tcPr>
            <w:tcW w:w="2391" w:type="dxa"/>
          </w:tcPr>
          <w:p w14:paraId="4589DCE1" w14:textId="77777777" w:rsidR="009E5E68" w:rsidRPr="00FC798F" w:rsidRDefault="009E5E68" w:rsidP="001E38D3">
            <w:pPr>
              <w:pStyle w:val="Odstavecsmlouvy"/>
              <w:numPr>
                <w:ilvl w:val="0"/>
                <w:numId w:val="0"/>
              </w:numPr>
              <w:jc w:val="center"/>
              <w:rPr>
                <w:b/>
              </w:rPr>
            </w:pPr>
            <w:r>
              <w:rPr>
                <w:b/>
              </w:rPr>
              <w:t>Délka</w:t>
            </w:r>
            <w:r w:rsidRPr="00FC798F">
              <w:rPr>
                <w:b/>
              </w:rPr>
              <w:t xml:space="preserve"> lhůty pro řádné dokončení či poskytnutí plnění</w:t>
            </w:r>
          </w:p>
        </w:tc>
      </w:tr>
      <w:tr w:rsidR="00104F0D" w14:paraId="27E058C3" w14:textId="77777777" w:rsidTr="001E38D3">
        <w:tc>
          <w:tcPr>
            <w:tcW w:w="817" w:type="dxa"/>
            <w:vAlign w:val="center"/>
          </w:tcPr>
          <w:p w14:paraId="5BFFB6B9" w14:textId="32B4F453" w:rsidR="00104F0D" w:rsidRPr="00104F0D" w:rsidRDefault="00104F0D" w:rsidP="001E38D3">
            <w:pPr>
              <w:pStyle w:val="Odstavecsmlouvy"/>
              <w:numPr>
                <w:ilvl w:val="0"/>
                <w:numId w:val="0"/>
              </w:numPr>
              <w:jc w:val="center"/>
            </w:pPr>
            <w:r w:rsidRPr="00104F0D">
              <w:t>I.</w:t>
            </w:r>
          </w:p>
        </w:tc>
        <w:tc>
          <w:tcPr>
            <w:tcW w:w="2835" w:type="dxa"/>
            <w:shd w:val="clear" w:color="auto" w:fill="auto"/>
            <w:vAlign w:val="center"/>
          </w:tcPr>
          <w:p w14:paraId="7C11CBB8" w14:textId="5F9CF08E" w:rsidR="00104F0D" w:rsidRPr="00104F0D" w:rsidRDefault="00104F0D" w:rsidP="00104F0D">
            <w:pPr>
              <w:pStyle w:val="Odstavecsmlouvy"/>
              <w:numPr>
                <w:ilvl w:val="0"/>
                <w:numId w:val="0"/>
              </w:numPr>
              <w:jc w:val="left"/>
            </w:pPr>
            <w:r w:rsidRPr="00104F0D">
              <w:t>Zpracování Anal</w:t>
            </w:r>
            <w:r>
              <w:t>ýzy a návrhu řešení</w:t>
            </w:r>
          </w:p>
        </w:tc>
        <w:tc>
          <w:tcPr>
            <w:tcW w:w="3686" w:type="dxa"/>
            <w:shd w:val="clear" w:color="auto" w:fill="auto"/>
            <w:vAlign w:val="center"/>
          </w:tcPr>
          <w:p w14:paraId="51C13CFE" w14:textId="3FCA2878" w:rsidR="00104F0D" w:rsidRPr="00104F0D" w:rsidRDefault="00A50004" w:rsidP="00A50004">
            <w:pPr>
              <w:pStyle w:val="Odstavecsmlouvy"/>
              <w:numPr>
                <w:ilvl w:val="0"/>
                <w:numId w:val="0"/>
              </w:numPr>
              <w:jc w:val="left"/>
            </w:pPr>
            <w:r>
              <w:rPr>
                <w:color w:val="000000"/>
              </w:rPr>
              <w:t>Nabytí účinnosti této smlouvy</w:t>
            </w:r>
          </w:p>
        </w:tc>
        <w:tc>
          <w:tcPr>
            <w:tcW w:w="2391" w:type="dxa"/>
          </w:tcPr>
          <w:p w14:paraId="7D4DAC85" w14:textId="266EDBB3" w:rsidR="00104F0D" w:rsidRPr="00A50004" w:rsidRDefault="00A50004" w:rsidP="00A50004">
            <w:pPr>
              <w:pStyle w:val="Odstavecsmlouvy"/>
              <w:numPr>
                <w:ilvl w:val="0"/>
                <w:numId w:val="0"/>
              </w:numPr>
              <w:jc w:val="right"/>
            </w:pPr>
            <w:r w:rsidRPr="00A50004">
              <w:t>21 dnů</w:t>
            </w:r>
          </w:p>
        </w:tc>
      </w:tr>
      <w:tr w:rsidR="00A50004" w14:paraId="7D6D15D4" w14:textId="77777777" w:rsidTr="001E38D3">
        <w:tc>
          <w:tcPr>
            <w:tcW w:w="817" w:type="dxa"/>
            <w:vAlign w:val="center"/>
          </w:tcPr>
          <w:p w14:paraId="686E71BF" w14:textId="25953D86" w:rsidR="00A50004" w:rsidRDefault="00A50004" w:rsidP="00A50004">
            <w:pPr>
              <w:pStyle w:val="Odstavecsmlouvy"/>
              <w:numPr>
                <w:ilvl w:val="0"/>
                <w:numId w:val="0"/>
              </w:numPr>
              <w:jc w:val="center"/>
            </w:pPr>
            <w:r>
              <w:t>II.</w:t>
            </w:r>
          </w:p>
        </w:tc>
        <w:tc>
          <w:tcPr>
            <w:tcW w:w="2835" w:type="dxa"/>
            <w:shd w:val="clear" w:color="auto" w:fill="auto"/>
            <w:vAlign w:val="center"/>
          </w:tcPr>
          <w:p w14:paraId="700EA1F2" w14:textId="77777777" w:rsidR="00A50004" w:rsidRDefault="00A50004" w:rsidP="00A50004">
            <w:pPr>
              <w:pStyle w:val="Odstavecsmlouvy"/>
              <w:numPr>
                <w:ilvl w:val="0"/>
                <w:numId w:val="0"/>
              </w:numPr>
              <w:jc w:val="left"/>
            </w:pPr>
            <w:r>
              <w:t>Provedení Implementace</w:t>
            </w:r>
          </w:p>
        </w:tc>
        <w:tc>
          <w:tcPr>
            <w:tcW w:w="3686" w:type="dxa"/>
            <w:shd w:val="clear" w:color="auto" w:fill="auto"/>
            <w:vAlign w:val="center"/>
          </w:tcPr>
          <w:p w14:paraId="7C67C0E3" w14:textId="39820903" w:rsidR="00A50004" w:rsidRPr="00FB1A5E" w:rsidRDefault="00A50004" w:rsidP="00A50004">
            <w:pPr>
              <w:pStyle w:val="Odstavecsmlouvy"/>
              <w:numPr>
                <w:ilvl w:val="0"/>
                <w:numId w:val="0"/>
              </w:numPr>
              <w:jc w:val="left"/>
            </w:pPr>
            <w:r>
              <w:rPr>
                <w:color w:val="000000"/>
              </w:rPr>
              <w:t>Řádné dokončení I. etapy</w:t>
            </w:r>
          </w:p>
        </w:tc>
        <w:tc>
          <w:tcPr>
            <w:tcW w:w="2391" w:type="dxa"/>
            <w:vAlign w:val="center"/>
          </w:tcPr>
          <w:p w14:paraId="335FCDF6" w14:textId="43D969D8" w:rsidR="00A50004" w:rsidRPr="00A50004" w:rsidRDefault="00A50004" w:rsidP="00A50004">
            <w:pPr>
              <w:pStyle w:val="Odstavecsmlouvy"/>
              <w:numPr>
                <w:ilvl w:val="0"/>
                <w:numId w:val="0"/>
              </w:numPr>
              <w:jc w:val="right"/>
              <w:rPr>
                <w:color w:val="000000"/>
              </w:rPr>
            </w:pPr>
            <w:r w:rsidRPr="00A50004">
              <w:rPr>
                <w:color w:val="000000"/>
              </w:rPr>
              <w:t>40 dnů</w:t>
            </w:r>
          </w:p>
        </w:tc>
      </w:tr>
      <w:tr w:rsidR="00756ADC" w14:paraId="5DDB2368" w14:textId="77777777" w:rsidTr="001E38D3">
        <w:tc>
          <w:tcPr>
            <w:tcW w:w="817" w:type="dxa"/>
            <w:vAlign w:val="center"/>
          </w:tcPr>
          <w:p w14:paraId="5CEB6072" w14:textId="2B936CBF" w:rsidR="00756ADC" w:rsidRDefault="00756ADC" w:rsidP="001E38D3">
            <w:pPr>
              <w:pStyle w:val="Odstavecsmlouvy"/>
              <w:numPr>
                <w:ilvl w:val="0"/>
                <w:numId w:val="0"/>
              </w:numPr>
              <w:jc w:val="center"/>
            </w:pPr>
            <w:r>
              <w:t>II</w:t>
            </w:r>
            <w:r w:rsidR="00104F0D">
              <w:t>I</w:t>
            </w:r>
            <w:r>
              <w:t>.</w:t>
            </w:r>
          </w:p>
        </w:tc>
        <w:tc>
          <w:tcPr>
            <w:tcW w:w="2835" w:type="dxa"/>
            <w:shd w:val="clear" w:color="auto" w:fill="auto"/>
            <w:vAlign w:val="center"/>
          </w:tcPr>
          <w:p w14:paraId="4CDFEE20" w14:textId="77777777" w:rsidR="00756ADC" w:rsidRDefault="00756ADC" w:rsidP="001E38D3">
            <w:pPr>
              <w:pStyle w:val="Odstavecsmlouvy"/>
              <w:numPr>
                <w:ilvl w:val="0"/>
                <w:numId w:val="0"/>
              </w:numPr>
              <w:jc w:val="left"/>
            </w:pPr>
            <w:r>
              <w:t>Provedení Integrace</w:t>
            </w:r>
          </w:p>
        </w:tc>
        <w:tc>
          <w:tcPr>
            <w:tcW w:w="3686" w:type="dxa"/>
            <w:shd w:val="clear" w:color="auto" w:fill="auto"/>
            <w:vAlign w:val="center"/>
          </w:tcPr>
          <w:p w14:paraId="45BF0D01" w14:textId="22CFB862" w:rsidR="00756ADC" w:rsidRDefault="00A50004" w:rsidP="001E38D3">
            <w:pPr>
              <w:pStyle w:val="Odstavecsmlouvy"/>
              <w:numPr>
                <w:ilvl w:val="0"/>
                <w:numId w:val="0"/>
              </w:numPr>
              <w:jc w:val="left"/>
              <w:rPr>
                <w:color w:val="000000"/>
              </w:rPr>
            </w:pPr>
            <w:r>
              <w:rPr>
                <w:color w:val="000000"/>
              </w:rPr>
              <w:t>Řádné dokončení I. etapy</w:t>
            </w:r>
          </w:p>
        </w:tc>
        <w:tc>
          <w:tcPr>
            <w:tcW w:w="2391" w:type="dxa"/>
            <w:vAlign w:val="center"/>
          </w:tcPr>
          <w:p w14:paraId="4D62AEDD" w14:textId="3B036532" w:rsidR="00756ADC" w:rsidRPr="00A50004" w:rsidRDefault="00A50004" w:rsidP="00A50004">
            <w:pPr>
              <w:pStyle w:val="Odstavecsmlouvy"/>
              <w:numPr>
                <w:ilvl w:val="0"/>
                <w:numId w:val="0"/>
              </w:numPr>
              <w:jc w:val="right"/>
              <w:rPr>
                <w:color w:val="000000"/>
              </w:rPr>
            </w:pPr>
            <w:r w:rsidRPr="00A50004">
              <w:rPr>
                <w:color w:val="000000"/>
              </w:rPr>
              <w:t>40 dnů</w:t>
            </w:r>
          </w:p>
        </w:tc>
      </w:tr>
      <w:tr w:rsidR="009E5E68" w14:paraId="3FC5C902" w14:textId="77777777" w:rsidTr="001E38D3">
        <w:tc>
          <w:tcPr>
            <w:tcW w:w="817" w:type="dxa"/>
            <w:vAlign w:val="center"/>
          </w:tcPr>
          <w:p w14:paraId="3AEA45CB" w14:textId="33647FB4" w:rsidR="009E5E68" w:rsidRDefault="00104F0D" w:rsidP="001E38D3">
            <w:pPr>
              <w:pStyle w:val="Odstavecsmlouvy"/>
              <w:numPr>
                <w:ilvl w:val="0"/>
                <w:numId w:val="0"/>
              </w:numPr>
              <w:jc w:val="center"/>
            </w:pPr>
            <w:r>
              <w:t>IV</w:t>
            </w:r>
            <w:r w:rsidR="009E5E68">
              <w:t>.</w:t>
            </w:r>
          </w:p>
        </w:tc>
        <w:tc>
          <w:tcPr>
            <w:tcW w:w="2835" w:type="dxa"/>
            <w:shd w:val="clear" w:color="auto" w:fill="auto"/>
            <w:vAlign w:val="center"/>
          </w:tcPr>
          <w:p w14:paraId="48843DA2" w14:textId="77777777" w:rsidR="009E5E68" w:rsidRDefault="009E5E68" w:rsidP="001E38D3">
            <w:pPr>
              <w:pStyle w:val="Odstavecsmlouvy"/>
              <w:numPr>
                <w:ilvl w:val="0"/>
                <w:numId w:val="0"/>
              </w:numPr>
              <w:jc w:val="left"/>
            </w:pPr>
            <w:r>
              <w:t>Úspěšné provedení Testování</w:t>
            </w:r>
          </w:p>
        </w:tc>
        <w:tc>
          <w:tcPr>
            <w:tcW w:w="3686" w:type="dxa"/>
            <w:shd w:val="clear" w:color="auto" w:fill="auto"/>
            <w:vAlign w:val="center"/>
          </w:tcPr>
          <w:p w14:paraId="143D553C" w14:textId="34ECA053" w:rsidR="009E5E68" w:rsidRPr="00FB1A5E" w:rsidRDefault="009E5E68" w:rsidP="001E38D3">
            <w:pPr>
              <w:pStyle w:val="Odstavecsmlouvy"/>
              <w:numPr>
                <w:ilvl w:val="0"/>
                <w:numId w:val="0"/>
              </w:numPr>
              <w:jc w:val="left"/>
            </w:pPr>
            <w:r>
              <w:rPr>
                <w:color w:val="000000"/>
              </w:rPr>
              <w:t>Řádné dokončení I</w:t>
            </w:r>
            <w:r w:rsidR="00A50004">
              <w:rPr>
                <w:color w:val="000000"/>
              </w:rPr>
              <w:t>I</w:t>
            </w:r>
            <w:r>
              <w:rPr>
                <w:color w:val="000000"/>
              </w:rPr>
              <w:t>.</w:t>
            </w:r>
            <w:r w:rsidR="00756ADC">
              <w:rPr>
                <w:color w:val="000000"/>
              </w:rPr>
              <w:t xml:space="preserve"> a </w:t>
            </w:r>
            <w:r w:rsidR="00A50004">
              <w:rPr>
                <w:color w:val="000000"/>
              </w:rPr>
              <w:t>I</w:t>
            </w:r>
            <w:r w:rsidR="00756ADC">
              <w:rPr>
                <w:color w:val="000000"/>
              </w:rPr>
              <w:t>II.</w:t>
            </w:r>
            <w:r>
              <w:rPr>
                <w:color w:val="000000"/>
              </w:rPr>
              <w:t xml:space="preserve"> etapy</w:t>
            </w:r>
          </w:p>
        </w:tc>
        <w:tc>
          <w:tcPr>
            <w:tcW w:w="2391" w:type="dxa"/>
            <w:vAlign w:val="center"/>
          </w:tcPr>
          <w:p w14:paraId="0FFB890F" w14:textId="32B622E2" w:rsidR="009E5E68" w:rsidRPr="00A50004" w:rsidRDefault="00BE0CA2" w:rsidP="00A50004">
            <w:pPr>
              <w:pStyle w:val="Odstavecsmlouvy"/>
              <w:numPr>
                <w:ilvl w:val="0"/>
                <w:numId w:val="0"/>
              </w:numPr>
              <w:jc w:val="right"/>
              <w:rPr>
                <w:color w:val="000000"/>
              </w:rPr>
            </w:pPr>
            <w:r>
              <w:rPr>
                <w:color w:val="000000"/>
              </w:rPr>
              <w:t>14</w:t>
            </w:r>
            <w:r w:rsidR="00A50004" w:rsidRPr="00A50004">
              <w:rPr>
                <w:color w:val="000000"/>
              </w:rPr>
              <w:t xml:space="preserve"> dnů</w:t>
            </w:r>
          </w:p>
        </w:tc>
      </w:tr>
      <w:tr w:rsidR="009E5E68" w14:paraId="45A2DE15" w14:textId="77777777" w:rsidTr="001E38D3">
        <w:tc>
          <w:tcPr>
            <w:tcW w:w="817" w:type="dxa"/>
            <w:vAlign w:val="center"/>
          </w:tcPr>
          <w:p w14:paraId="21BD3349" w14:textId="3A177E8B" w:rsidR="009E5E68" w:rsidRDefault="00756ADC" w:rsidP="001E38D3">
            <w:pPr>
              <w:pStyle w:val="Odstavecsmlouvy"/>
              <w:numPr>
                <w:ilvl w:val="0"/>
                <w:numId w:val="0"/>
              </w:numPr>
              <w:jc w:val="center"/>
            </w:pPr>
            <w:r>
              <w:t>V</w:t>
            </w:r>
            <w:r w:rsidR="009E5E68">
              <w:t>.</w:t>
            </w:r>
          </w:p>
        </w:tc>
        <w:tc>
          <w:tcPr>
            <w:tcW w:w="2835" w:type="dxa"/>
            <w:shd w:val="clear" w:color="auto" w:fill="auto"/>
            <w:vAlign w:val="center"/>
          </w:tcPr>
          <w:p w14:paraId="72653E06" w14:textId="77777777" w:rsidR="009E5E68" w:rsidRDefault="009E5E68" w:rsidP="001E38D3">
            <w:pPr>
              <w:pStyle w:val="Odstavecsmlouvy"/>
              <w:numPr>
                <w:ilvl w:val="0"/>
                <w:numId w:val="0"/>
              </w:numPr>
              <w:jc w:val="left"/>
            </w:pPr>
            <w:r>
              <w:t>Provedení Školení</w:t>
            </w:r>
          </w:p>
        </w:tc>
        <w:tc>
          <w:tcPr>
            <w:tcW w:w="3686" w:type="dxa"/>
            <w:shd w:val="clear" w:color="auto" w:fill="auto"/>
            <w:vAlign w:val="center"/>
          </w:tcPr>
          <w:p w14:paraId="31096976" w14:textId="2AAAEF58" w:rsidR="009E5E68" w:rsidRPr="00FB1A5E" w:rsidRDefault="009E5E68" w:rsidP="00A50004">
            <w:pPr>
              <w:pStyle w:val="Odstavecsmlouvy"/>
              <w:numPr>
                <w:ilvl w:val="0"/>
                <w:numId w:val="0"/>
              </w:numPr>
              <w:jc w:val="left"/>
            </w:pPr>
            <w:r>
              <w:rPr>
                <w:color w:val="000000"/>
              </w:rPr>
              <w:t xml:space="preserve">Řádné dokončení </w:t>
            </w:r>
            <w:r w:rsidR="00A50004">
              <w:rPr>
                <w:color w:val="000000"/>
              </w:rPr>
              <w:t>IV</w:t>
            </w:r>
            <w:r>
              <w:rPr>
                <w:color w:val="000000"/>
              </w:rPr>
              <w:t>. etapy</w:t>
            </w:r>
          </w:p>
        </w:tc>
        <w:tc>
          <w:tcPr>
            <w:tcW w:w="2391" w:type="dxa"/>
            <w:vAlign w:val="center"/>
          </w:tcPr>
          <w:p w14:paraId="511FA251" w14:textId="62699489" w:rsidR="009E5E68" w:rsidRPr="00A50004" w:rsidRDefault="00A50004" w:rsidP="00A50004">
            <w:pPr>
              <w:pStyle w:val="Odstavecsmlouvy"/>
              <w:numPr>
                <w:ilvl w:val="0"/>
                <w:numId w:val="0"/>
              </w:numPr>
              <w:jc w:val="right"/>
              <w:rPr>
                <w:color w:val="000000"/>
              </w:rPr>
            </w:pPr>
            <w:r w:rsidRPr="00A50004">
              <w:rPr>
                <w:color w:val="000000"/>
              </w:rPr>
              <w:t>14 dnů</w:t>
            </w:r>
          </w:p>
        </w:tc>
      </w:tr>
    </w:tbl>
    <w:p w14:paraId="142EB19C" w14:textId="77777777" w:rsidR="009E5E68" w:rsidRDefault="009E5E68" w:rsidP="009E5E68">
      <w:pPr>
        <w:pStyle w:val="Odstavecsmlouvy"/>
        <w:numPr>
          <w:ilvl w:val="0"/>
          <w:numId w:val="0"/>
        </w:numPr>
        <w:ind w:left="567"/>
      </w:pPr>
    </w:p>
    <w:bookmarkEnd w:id="16"/>
    <w:p w14:paraId="5E606950" w14:textId="77777777"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D15E7A">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9E5E68" w:rsidRPr="009E5E68">
        <w:t xml:space="preserve"> </w:t>
      </w:r>
      <w:r w:rsidR="009E5E68">
        <w:t>Poskytovatel je povinen poskytovat plnění dálkovým přístupem, ledaže z této smlouvy nebo z povahy plnění vyplývá, že je nezbytné jej poskytnout osobně v místě sjednaném ve větě první. Poskytovatel je povinen poskytnout plnění v místě dle věty první rovněž požádá-li o to Objednatel. Při poskytování plnění dálkovým přístupem je Poskytovatel povinen dodržovat podmínky stanovené Objednatelem.</w:t>
      </w:r>
    </w:p>
    <w:p w14:paraId="33B51262" w14:textId="77777777" w:rsidR="00116BD7" w:rsidRDefault="00116BD7" w:rsidP="00116BD7">
      <w:pPr>
        <w:pStyle w:val="Odstavecsmlouvy"/>
        <w:numPr>
          <w:ilvl w:val="0"/>
          <w:numId w:val="0"/>
        </w:numPr>
        <w:ind w:left="567"/>
      </w:pPr>
    </w:p>
    <w:p w14:paraId="448EF7CB" w14:textId="4EC08AE1" w:rsidR="00D20310" w:rsidRDefault="002E515C" w:rsidP="006B14CF">
      <w:pPr>
        <w:pStyle w:val="Odstavecsmlouvy"/>
      </w:pPr>
      <w:r>
        <w:t>Poskytovatel</w:t>
      </w:r>
      <w:r w:rsidR="00726B26" w:rsidRPr="00116BD7">
        <w:t xml:space="preserve"> se zavazuje oznámit </w:t>
      </w:r>
      <w:r>
        <w:t>Objednatel</w:t>
      </w:r>
      <w:r w:rsidR="00971AB6">
        <w:t>i</w:t>
      </w:r>
      <w:r w:rsidR="00726B26" w:rsidRPr="00116BD7">
        <w:t xml:space="preserve"> konkrétní termín </w:t>
      </w:r>
      <w:r w:rsidR="006B14CF">
        <w:t xml:space="preserve">zahájení </w:t>
      </w:r>
      <w:r w:rsidR="003E3071">
        <w:t xml:space="preserve">plnění dle této smlouvy </w:t>
      </w:r>
      <w:r w:rsidR="00A50004">
        <w:t xml:space="preserve">pět </w:t>
      </w:r>
      <w:r w:rsidR="006B14CF" w:rsidRPr="006B14CF">
        <w:t>pracovní</w:t>
      </w:r>
      <w:r w:rsidR="00A50004">
        <w:t>ch</w:t>
      </w:r>
      <w:r w:rsidR="006B14CF" w:rsidRPr="006B14CF">
        <w:t xml:space="preserve"> dn</w:t>
      </w:r>
      <w:r w:rsidR="00A50004">
        <w:t>ů</w:t>
      </w:r>
      <w:r w:rsidR="006B14CF" w:rsidRPr="006B14CF">
        <w:t xml:space="preserve"> před</w:t>
      </w:r>
      <w:r w:rsidR="006B14CF">
        <w:t>em</w:t>
      </w:r>
      <w:r w:rsidR="00A50004">
        <w:t xml:space="preserve"> na Obchodní oddělení Fakultní nemocnice</w:t>
      </w:r>
      <w:r w:rsidR="006B14CF" w:rsidRPr="006B14CF">
        <w:t xml:space="preserve"> Brno paní </w:t>
      </w:r>
      <w:r w:rsidR="005F3D8C">
        <w:rPr>
          <w:color w:val="000000"/>
        </w:rPr>
        <w:t>XXXXX</w:t>
      </w:r>
      <w:r w:rsidR="006B14CF" w:rsidRPr="006B14CF">
        <w:t xml:space="preserve">, tel: </w:t>
      </w:r>
      <w:r w:rsidR="00A50004">
        <w:rPr>
          <w:color w:val="000000"/>
        </w:rPr>
        <w:t>532 23</w:t>
      </w:r>
      <w:r w:rsidR="005F3D8C">
        <w:rPr>
          <w:color w:val="000000"/>
        </w:rPr>
        <w:t>X</w:t>
      </w:r>
      <w:r w:rsidR="00A50004">
        <w:rPr>
          <w:color w:val="000000"/>
        </w:rPr>
        <w:t xml:space="preserve"> </w:t>
      </w:r>
      <w:r w:rsidR="005F3D8C">
        <w:rPr>
          <w:color w:val="000000"/>
        </w:rPr>
        <w:t>XXX</w:t>
      </w:r>
      <w:r w:rsidR="006B14CF">
        <w:t>,</w:t>
      </w:r>
      <w:r w:rsidR="006B14CF" w:rsidRPr="006B14CF">
        <w:t xml:space="preserve"> </w:t>
      </w:r>
      <w:r w:rsidR="00A50004">
        <w:t xml:space="preserve">a vedoucí Nemocniční lékárny </w:t>
      </w:r>
      <w:r w:rsidR="005F3D8C">
        <w:t>XXXXX</w:t>
      </w:r>
      <w:r w:rsidR="00A50004">
        <w:t>, tel.: 532 23</w:t>
      </w:r>
      <w:r w:rsidR="005F3D8C">
        <w:t>X</w:t>
      </w:r>
      <w:r w:rsidR="00A50004">
        <w:t xml:space="preserve"> </w:t>
      </w:r>
      <w:r w:rsidR="005F3D8C">
        <w:t>XXX</w:t>
      </w:r>
      <w:r w:rsidR="00A50004">
        <w:t xml:space="preserve">, </w:t>
      </w:r>
      <w:r w:rsidR="006B14CF" w:rsidRPr="006B14CF">
        <w:t xml:space="preserve">a potvrdit </w:t>
      </w:r>
      <w:r w:rsidR="006B14CF">
        <w:t xml:space="preserve">tento termín </w:t>
      </w:r>
      <w:r w:rsidR="00A50004">
        <w:t>písemně e-mailem na adresy</w:t>
      </w:r>
      <w:r w:rsidR="006B14CF" w:rsidRPr="006B14CF">
        <w:t xml:space="preserve"> </w:t>
      </w:r>
      <w:r w:rsidR="005F3D8C">
        <w:rPr>
          <w:rFonts w:ascii="Helv" w:hAnsi="Helv" w:cs="Helv"/>
          <w:bCs/>
        </w:rPr>
        <w:t>XXXXX</w:t>
      </w:r>
      <w:r w:rsidR="00A50004" w:rsidRPr="005F3D8C">
        <w:rPr>
          <w:rFonts w:ascii="Helv" w:hAnsi="Helv" w:cs="Helv"/>
          <w:bCs/>
        </w:rPr>
        <w:t>@fnbrno.cz</w:t>
      </w:r>
      <w:r w:rsidR="00A50004">
        <w:rPr>
          <w:rFonts w:ascii="Helv" w:hAnsi="Helv" w:cs="Helv"/>
          <w:bCs/>
          <w:color w:val="000000"/>
        </w:rPr>
        <w:t xml:space="preserve"> a </w:t>
      </w:r>
      <w:r w:rsidR="005F3D8C" w:rsidRPr="005F3D8C">
        <w:rPr>
          <w:rFonts w:ascii="Helv" w:hAnsi="Helv" w:cs="Helv"/>
          <w:bCs/>
        </w:rPr>
        <w:t>XXXXX</w:t>
      </w:r>
      <w:r w:rsidR="00A50004" w:rsidRPr="005F3D8C">
        <w:rPr>
          <w:rFonts w:ascii="Helv" w:hAnsi="Helv" w:cs="Helv"/>
          <w:bCs/>
        </w:rPr>
        <w:t>@fnbrno.cz</w:t>
      </w:r>
      <w:r w:rsidR="006B14CF">
        <w:t xml:space="preserve">. Totéž oznámení je Poskytovatel povinen učinit </w:t>
      </w:r>
      <w:r w:rsidR="00756ADC">
        <w:t xml:space="preserve">panu náměstkovi pro informatiku, </w:t>
      </w:r>
      <w:r w:rsidR="005F3D8C">
        <w:t>XXXXX</w:t>
      </w:r>
      <w:r w:rsidR="00756ADC">
        <w:t>, tel: 532 23</w:t>
      </w:r>
      <w:r w:rsidR="005F3D8C">
        <w:t>X</w:t>
      </w:r>
      <w:r w:rsidR="00756ADC">
        <w:t> </w:t>
      </w:r>
      <w:r w:rsidR="005F3D8C">
        <w:t>XXX</w:t>
      </w:r>
      <w:r w:rsidR="00756ADC">
        <w:t xml:space="preserve">, a potvrdit písemně e-mailem na adresu </w:t>
      </w:r>
      <w:r w:rsidR="005F3D8C" w:rsidRPr="005F3D8C">
        <w:t>XXXXX@fnbrno.cz</w:t>
      </w:r>
      <w:r w:rsidR="006B14CF" w:rsidRPr="006B14CF">
        <w:t>.</w:t>
      </w:r>
      <w:r w:rsidR="006B14CF">
        <w:t xml:space="preserve"> </w:t>
      </w:r>
      <w:r w:rsidR="006B14CF" w:rsidRPr="006B14CF">
        <w:t xml:space="preserve">Bez </w:t>
      </w:r>
      <w:r w:rsidR="006B14CF">
        <w:t xml:space="preserve">těchto </w:t>
      </w:r>
      <w:r w:rsidR="006B14CF" w:rsidRPr="006B14CF">
        <w:t xml:space="preserve">oznámení není Objednatel povinen </w:t>
      </w:r>
      <w:r w:rsidR="006B14CF">
        <w:t>podepsat Předávací protokol</w:t>
      </w:r>
      <w:r w:rsidR="006B14CF" w:rsidRPr="006B14CF">
        <w:t>.</w:t>
      </w:r>
    </w:p>
    <w:p w14:paraId="3BC4F772" w14:textId="77777777" w:rsidR="00726B26" w:rsidRDefault="00726B26" w:rsidP="00726B26">
      <w:pPr>
        <w:jc w:val="center"/>
        <w:rPr>
          <w:b/>
          <w:bCs/>
        </w:rPr>
      </w:pPr>
    </w:p>
    <w:p w14:paraId="0E559BF2" w14:textId="77777777" w:rsidR="00726B26" w:rsidRPr="002B77A6" w:rsidRDefault="00726B26" w:rsidP="001D340D">
      <w:pPr>
        <w:pStyle w:val="Nadpis1"/>
      </w:pPr>
      <w:bookmarkStart w:id="17" w:name="_Ref477351956"/>
      <w:r>
        <w:t xml:space="preserve">Cena plnění </w:t>
      </w:r>
      <w:r w:rsidRPr="002B77A6">
        <w:t>a platební podmínky</w:t>
      </w:r>
      <w:bookmarkEnd w:id="17"/>
    </w:p>
    <w:p w14:paraId="054C49FE" w14:textId="77777777" w:rsidR="00726B26" w:rsidRDefault="00726B26" w:rsidP="00726B26">
      <w:pPr>
        <w:pStyle w:val="Zkladntext3"/>
        <w:ind w:left="709"/>
        <w:rPr>
          <w:sz w:val="22"/>
          <w:szCs w:val="22"/>
        </w:rPr>
      </w:pPr>
    </w:p>
    <w:p w14:paraId="5ABF35CB" w14:textId="77777777" w:rsidR="003D7E2C" w:rsidRDefault="003D7E2C" w:rsidP="003D7E2C">
      <w:pPr>
        <w:pStyle w:val="Odstavecsmlouvy"/>
      </w:pPr>
      <w:bookmarkStart w:id="18" w:name="_Ref50729273"/>
      <w:r w:rsidRPr="003D7E2C">
        <w:t xml:space="preserve">Cena </w:t>
      </w:r>
      <w:r>
        <w:t xml:space="preserve">za </w:t>
      </w:r>
      <w:r w:rsidR="00756ADC">
        <w:t>poskytnutí všech povinností Poskytovatele sjednaných touto smlouvou, s výjimkou povinnosti provést Školení</w:t>
      </w:r>
      <w:r w:rsidR="005372ED">
        <w:t xml:space="preserve">, jejíž součástí je i odměna za poskytnutí Licence, </w:t>
      </w:r>
      <w:r w:rsidRPr="003D7E2C">
        <w:t xml:space="preserve">se sjednává jako cena pevná a konečná </w:t>
      </w:r>
      <w:r w:rsidR="0098764F">
        <w:t>(dále jen „</w:t>
      </w:r>
      <w:r w:rsidR="0098764F" w:rsidRPr="0098764F">
        <w:rPr>
          <w:b/>
        </w:rPr>
        <w:t>Cena</w:t>
      </w:r>
      <w:r w:rsidR="005372ED">
        <w:rPr>
          <w:b/>
        </w:rPr>
        <w:t xml:space="preserve"> </w:t>
      </w:r>
      <w:r w:rsidR="00756ADC">
        <w:rPr>
          <w:b/>
        </w:rPr>
        <w:t>plnění</w:t>
      </w:r>
      <w:r w:rsidR="0098764F">
        <w:t>“)</w:t>
      </w:r>
      <w:r w:rsidR="003E3071">
        <w:t>,</w:t>
      </w:r>
      <w:r w:rsidR="0098764F">
        <w:t xml:space="preserve"> </w:t>
      </w:r>
      <w:r w:rsidRPr="003D7E2C">
        <w:t>a činí</w:t>
      </w:r>
      <w:r>
        <w:t>:</w:t>
      </w:r>
      <w:bookmarkEnd w:id="18"/>
    </w:p>
    <w:p w14:paraId="747F8023"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997"/>
        <w:gridCol w:w="3374"/>
      </w:tblGrid>
      <w:tr w:rsidR="003D7E2C" w:rsidRPr="005B49AA" w14:paraId="17CF1B18" w14:textId="77777777" w:rsidTr="003D7E2C">
        <w:tc>
          <w:tcPr>
            <w:tcW w:w="6062" w:type="dxa"/>
            <w:shd w:val="clear" w:color="auto" w:fill="auto"/>
          </w:tcPr>
          <w:p w14:paraId="5A63C549" w14:textId="77777777" w:rsidR="003D7E2C" w:rsidRPr="005B49AA" w:rsidRDefault="003D7E2C" w:rsidP="00756ADC">
            <w:pPr>
              <w:pStyle w:val="Zkladntext3"/>
              <w:rPr>
                <w:b/>
                <w:sz w:val="22"/>
                <w:szCs w:val="22"/>
              </w:rPr>
            </w:pPr>
            <w:r>
              <w:rPr>
                <w:b/>
                <w:sz w:val="22"/>
                <w:szCs w:val="22"/>
              </w:rPr>
              <w:t xml:space="preserve">Cena </w:t>
            </w:r>
            <w:r w:rsidR="00756ADC">
              <w:rPr>
                <w:b/>
                <w:sz w:val="22"/>
                <w:szCs w:val="22"/>
              </w:rPr>
              <w:t xml:space="preserve">plnění </w:t>
            </w:r>
            <w:r w:rsidRPr="005B49AA">
              <w:rPr>
                <w:b/>
                <w:sz w:val="22"/>
                <w:szCs w:val="22"/>
              </w:rPr>
              <w:t>bez DPH:</w:t>
            </w:r>
          </w:p>
        </w:tc>
        <w:tc>
          <w:tcPr>
            <w:tcW w:w="3402" w:type="dxa"/>
            <w:shd w:val="clear" w:color="auto" w:fill="auto"/>
          </w:tcPr>
          <w:p w14:paraId="4094640D" w14:textId="72E7F2A8" w:rsidR="003D7E2C" w:rsidRPr="005B49AA" w:rsidRDefault="00A50004" w:rsidP="003D7E2C">
            <w:pPr>
              <w:pStyle w:val="Zkladntext3"/>
              <w:rPr>
                <w:b/>
                <w:sz w:val="22"/>
                <w:szCs w:val="22"/>
              </w:rPr>
            </w:pPr>
            <w:r>
              <w:rPr>
                <w:b/>
                <w:sz w:val="22"/>
                <w:szCs w:val="22"/>
              </w:rPr>
              <w:t>750 000,-</w:t>
            </w:r>
            <w:r w:rsidR="003D7E2C" w:rsidRPr="005B49AA">
              <w:rPr>
                <w:b/>
                <w:sz w:val="22"/>
                <w:szCs w:val="22"/>
              </w:rPr>
              <w:t xml:space="preserve"> Kč</w:t>
            </w:r>
          </w:p>
        </w:tc>
      </w:tr>
      <w:tr w:rsidR="003D7E2C" w:rsidRPr="000D38FF" w14:paraId="44967F9C" w14:textId="77777777" w:rsidTr="003D7E2C">
        <w:tc>
          <w:tcPr>
            <w:tcW w:w="6062" w:type="dxa"/>
            <w:shd w:val="clear" w:color="auto" w:fill="auto"/>
          </w:tcPr>
          <w:p w14:paraId="7F4F2F6C" w14:textId="7D3BF424" w:rsidR="003D7E2C" w:rsidRPr="000D38FF" w:rsidRDefault="003D7E2C" w:rsidP="000D38FF">
            <w:pPr>
              <w:pStyle w:val="Zkladntext3"/>
              <w:rPr>
                <w:b/>
                <w:sz w:val="22"/>
                <w:szCs w:val="22"/>
              </w:rPr>
            </w:pPr>
            <w:r w:rsidRPr="000D38FF">
              <w:rPr>
                <w:b/>
                <w:sz w:val="22"/>
                <w:szCs w:val="22"/>
              </w:rPr>
              <w:t xml:space="preserve">DPH </w:t>
            </w:r>
            <w:r w:rsidR="00A34037" w:rsidRPr="000D38FF">
              <w:rPr>
                <w:b/>
                <w:sz w:val="22"/>
                <w:szCs w:val="22"/>
              </w:rPr>
              <w:t>21</w:t>
            </w:r>
            <w:r w:rsidRPr="000D38FF">
              <w:rPr>
                <w:b/>
                <w:sz w:val="22"/>
                <w:szCs w:val="22"/>
              </w:rPr>
              <w:t xml:space="preserve"> %:</w:t>
            </w:r>
          </w:p>
        </w:tc>
        <w:tc>
          <w:tcPr>
            <w:tcW w:w="3402" w:type="dxa"/>
            <w:shd w:val="clear" w:color="auto" w:fill="auto"/>
          </w:tcPr>
          <w:p w14:paraId="1BDB3BEC" w14:textId="43CE5A77" w:rsidR="003D7E2C" w:rsidRPr="000D38FF" w:rsidRDefault="00A34037" w:rsidP="003D7E2C">
            <w:pPr>
              <w:pStyle w:val="Zkladntext3"/>
              <w:rPr>
                <w:b/>
                <w:sz w:val="22"/>
                <w:szCs w:val="22"/>
              </w:rPr>
            </w:pPr>
            <w:r w:rsidRPr="000D38FF">
              <w:rPr>
                <w:b/>
                <w:sz w:val="22"/>
                <w:szCs w:val="22"/>
              </w:rPr>
              <w:t>157</w:t>
            </w:r>
            <w:r w:rsidR="000D38FF">
              <w:rPr>
                <w:b/>
                <w:sz w:val="22"/>
                <w:szCs w:val="22"/>
              </w:rPr>
              <w:t> </w:t>
            </w:r>
            <w:r w:rsidRPr="000D38FF">
              <w:rPr>
                <w:b/>
                <w:sz w:val="22"/>
                <w:szCs w:val="22"/>
              </w:rPr>
              <w:t>500</w:t>
            </w:r>
            <w:r w:rsidR="000D38FF">
              <w:rPr>
                <w:b/>
                <w:sz w:val="22"/>
                <w:szCs w:val="22"/>
              </w:rPr>
              <w:t>,-</w:t>
            </w:r>
            <w:r w:rsidR="003D7E2C" w:rsidRPr="000D38FF">
              <w:rPr>
                <w:b/>
                <w:sz w:val="22"/>
                <w:szCs w:val="22"/>
              </w:rPr>
              <w:t xml:space="preserve"> Kč</w:t>
            </w:r>
          </w:p>
        </w:tc>
      </w:tr>
      <w:tr w:rsidR="003D7E2C" w:rsidRPr="005B49AA" w14:paraId="5B676B08" w14:textId="77777777" w:rsidTr="003D7E2C">
        <w:tc>
          <w:tcPr>
            <w:tcW w:w="6062" w:type="dxa"/>
            <w:shd w:val="clear" w:color="auto" w:fill="auto"/>
          </w:tcPr>
          <w:p w14:paraId="5CAA6A52" w14:textId="77777777" w:rsidR="003D7E2C" w:rsidRPr="000D38FF" w:rsidRDefault="003D7E2C" w:rsidP="00756ADC">
            <w:pPr>
              <w:pStyle w:val="Zkladntext3"/>
              <w:rPr>
                <w:b/>
                <w:sz w:val="22"/>
                <w:szCs w:val="22"/>
              </w:rPr>
            </w:pPr>
            <w:r w:rsidRPr="000D38FF">
              <w:rPr>
                <w:b/>
                <w:sz w:val="22"/>
                <w:szCs w:val="22"/>
              </w:rPr>
              <w:t xml:space="preserve">Cena </w:t>
            </w:r>
            <w:r w:rsidR="00756ADC" w:rsidRPr="000D38FF">
              <w:rPr>
                <w:b/>
                <w:sz w:val="22"/>
                <w:szCs w:val="22"/>
              </w:rPr>
              <w:t xml:space="preserve">plnění </w:t>
            </w:r>
            <w:r w:rsidRPr="000D38FF">
              <w:rPr>
                <w:b/>
                <w:sz w:val="22"/>
                <w:szCs w:val="22"/>
              </w:rPr>
              <w:t>včetně DPH:</w:t>
            </w:r>
          </w:p>
        </w:tc>
        <w:tc>
          <w:tcPr>
            <w:tcW w:w="3402" w:type="dxa"/>
            <w:shd w:val="clear" w:color="auto" w:fill="auto"/>
          </w:tcPr>
          <w:p w14:paraId="10BDC626" w14:textId="6CBF5C99" w:rsidR="003D7E2C" w:rsidRPr="005B49AA" w:rsidRDefault="00A34037" w:rsidP="000D38FF">
            <w:pPr>
              <w:pStyle w:val="Zkladntext3"/>
              <w:rPr>
                <w:b/>
                <w:sz w:val="22"/>
                <w:szCs w:val="22"/>
              </w:rPr>
            </w:pPr>
            <w:r w:rsidRPr="000D38FF">
              <w:rPr>
                <w:b/>
                <w:sz w:val="22"/>
                <w:szCs w:val="22"/>
              </w:rPr>
              <w:t>907</w:t>
            </w:r>
            <w:r w:rsidR="000D38FF">
              <w:rPr>
                <w:b/>
                <w:sz w:val="22"/>
                <w:szCs w:val="22"/>
              </w:rPr>
              <w:t> </w:t>
            </w:r>
            <w:r w:rsidRPr="000D38FF">
              <w:rPr>
                <w:b/>
                <w:sz w:val="22"/>
                <w:szCs w:val="22"/>
              </w:rPr>
              <w:t>500</w:t>
            </w:r>
            <w:r w:rsidR="000D38FF">
              <w:rPr>
                <w:b/>
                <w:sz w:val="22"/>
                <w:szCs w:val="22"/>
              </w:rPr>
              <w:t>,-</w:t>
            </w:r>
            <w:r w:rsidR="003D7E2C" w:rsidRPr="000D38FF">
              <w:rPr>
                <w:b/>
                <w:sz w:val="22"/>
                <w:szCs w:val="22"/>
              </w:rPr>
              <w:t xml:space="preserve"> Kč</w:t>
            </w:r>
          </w:p>
        </w:tc>
      </w:tr>
    </w:tbl>
    <w:p w14:paraId="2981F9D5" w14:textId="77777777" w:rsidR="003D7E2C" w:rsidRDefault="003D7E2C" w:rsidP="003D7E2C">
      <w:pPr>
        <w:pStyle w:val="Odstavecsmlouvy"/>
        <w:numPr>
          <w:ilvl w:val="0"/>
          <w:numId w:val="0"/>
        </w:numPr>
        <w:ind w:left="567"/>
      </w:pPr>
    </w:p>
    <w:p w14:paraId="7A5A37BE" w14:textId="77777777" w:rsidR="004066A0" w:rsidRDefault="0098764F" w:rsidP="007F6966">
      <w:pPr>
        <w:pStyle w:val="Odstavecsmlouvy"/>
        <w:numPr>
          <w:ilvl w:val="0"/>
          <w:numId w:val="0"/>
        </w:numPr>
        <w:ind w:left="567"/>
      </w:pPr>
      <w:r w:rsidRPr="0098764F">
        <w:t xml:space="preserve">Sjednaná </w:t>
      </w:r>
      <w:r>
        <w:t>C</w:t>
      </w:r>
      <w:r w:rsidRPr="0098764F">
        <w:t xml:space="preserve">ena </w:t>
      </w:r>
      <w:r w:rsidR="00756ADC">
        <w:t xml:space="preserve">plnění </w:t>
      </w:r>
      <w:r w:rsidRPr="0098764F">
        <w:t xml:space="preserve">je cenou za splnění všech povinností </w:t>
      </w:r>
      <w:r>
        <w:t xml:space="preserve">Poskytovatele </w:t>
      </w:r>
      <w:r w:rsidR="00756ADC">
        <w:t xml:space="preserve">sjednaných touto smlouvou s výjimkou povinnosti provést Školení, které je Poskytovatel povinen poskytnout bezúplatně, tj. nad rámec Ceny plnění. </w:t>
      </w:r>
      <w:r w:rsidRPr="0098764F">
        <w:t xml:space="preserve">Pro vyloučení pochybností se uvádí, že </w:t>
      </w:r>
      <w:r>
        <w:t>C</w:t>
      </w:r>
      <w:r w:rsidRPr="0098764F">
        <w:t xml:space="preserve">ena </w:t>
      </w:r>
      <w:r w:rsidR="00756ADC">
        <w:t xml:space="preserve">plnění </w:t>
      </w:r>
      <w:r w:rsidRPr="0098764F">
        <w:t xml:space="preserve">zahrnuje </w:t>
      </w:r>
      <w:r w:rsidR="005372ED">
        <w:t xml:space="preserve">vedle </w:t>
      </w:r>
      <w:r w:rsidRPr="0098764F">
        <w:t>odměn</w:t>
      </w:r>
      <w:r w:rsidR="005372ED">
        <w:t>y</w:t>
      </w:r>
      <w:r w:rsidRPr="0098764F">
        <w:t xml:space="preserve"> za poskytnutí Licence</w:t>
      </w:r>
      <w:r w:rsidR="00756ADC">
        <w:t xml:space="preserve"> </w:t>
      </w:r>
      <w:r w:rsidR="005372ED">
        <w:t xml:space="preserve">rovněž </w:t>
      </w:r>
      <w:r w:rsidRPr="0098764F">
        <w:t xml:space="preserve">veškeré náklady na dopravu do místa plnění, obaly, naložení, složení, pojištění během dopravy, případné clo, </w:t>
      </w:r>
      <w:r w:rsidR="002804F4">
        <w:t>řádné provedení Implementace</w:t>
      </w:r>
      <w:r w:rsidRPr="0098764F">
        <w:t xml:space="preserve">, </w:t>
      </w:r>
      <w:r>
        <w:t xml:space="preserve">přípravu Testovacího scénáře, provedení </w:t>
      </w:r>
      <w:r w:rsidR="00FE5557">
        <w:t>Testování</w:t>
      </w:r>
      <w:r w:rsidR="00756ADC">
        <w:t xml:space="preserve"> bez ohledu na počet opakování Testování</w:t>
      </w:r>
      <w:r>
        <w:t xml:space="preserve">, </w:t>
      </w:r>
      <w:r w:rsidRPr="0098764F">
        <w:t xml:space="preserve">uvedení </w:t>
      </w:r>
      <w:r>
        <w:t xml:space="preserve">Software </w:t>
      </w:r>
      <w:r w:rsidRPr="0098764F">
        <w:t>do provozu, ověření přenosů dat</w:t>
      </w:r>
      <w:r>
        <w:t xml:space="preserve"> a </w:t>
      </w:r>
      <w:r w:rsidRPr="0098764F">
        <w:t xml:space="preserve">komunikace </w:t>
      </w:r>
      <w:r>
        <w:t>se systémy Objednatele</w:t>
      </w:r>
      <w:r w:rsidRPr="0098764F">
        <w:t xml:space="preserve">, </w:t>
      </w:r>
      <w:r w:rsidR="00F5367A">
        <w:t xml:space="preserve">poskytnutí Dokumentace, </w:t>
      </w:r>
      <w:r w:rsidRPr="0098764F">
        <w:t xml:space="preserve">aktualizace </w:t>
      </w:r>
      <w:r>
        <w:t>Software</w:t>
      </w:r>
      <w:r w:rsidR="00F5367A">
        <w:t xml:space="preserve"> a </w:t>
      </w:r>
      <w:r w:rsidR="00756ADC">
        <w:t>Dokladů</w:t>
      </w:r>
      <w:r w:rsidRPr="0098764F">
        <w:t>.</w:t>
      </w:r>
      <w:r>
        <w:t xml:space="preserve"> </w:t>
      </w:r>
    </w:p>
    <w:p w14:paraId="72196C48" w14:textId="77777777" w:rsidR="008F23B0" w:rsidRDefault="008F23B0" w:rsidP="00D854DD">
      <w:pPr>
        <w:pStyle w:val="Odstavecsmlouvy"/>
        <w:numPr>
          <w:ilvl w:val="0"/>
          <w:numId w:val="0"/>
        </w:numPr>
        <w:ind w:left="567"/>
      </w:pPr>
    </w:p>
    <w:p w14:paraId="07F7E501" w14:textId="77777777" w:rsidR="00756ADC" w:rsidRDefault="00853FFE" w:rsidP="00756ADC">
      <w:pPr>
        <w:pStyle w:val="Odstavecsmlouvy"/>
      </w:pPr>
      <w:r w:rsidRPr="00853FFE">
        <w:t>Změna</w:t>
      </w:r>
      <w:r w:rsidR="009E5E68">
        <w:t xml:space="preserve"> cen sjednaných touto smlouvou </w:t>
      </w:r>
      <w:r w:rsidR="00726B26" w:rsidRPr="00853FFE">
        <w:t xml:space="preserve">je </w:t>
      </w:r>
      <w:r w:rsidRPr="00853FFE">
        <w:t xml:space="preserve">možná pouze </w:t>
      </w:r>
      <w:r w:rsidR="008B732B">
        <w:t xml:space="preserve">změnou této </w:t>
      </w:r>
      <w:r w:rsidR="00756ADC">
        <w:t>smlouvy.</w:t>
      </w:r>
    </w:p>
    <w:p w14:paraId="4C191507" w14:textId="77777777" w:rsidR="00756ADC" w:rsidRDefault="00756ADC" w:rsidP="00756ADC">
      <w:pPr>
        <w:pStyle w:val="Odstavecsmlouvy"/>
        <w:numPr>
          <w:ilvl w:val="0"/>
          <w:numId w:val="0"/>
        </w:numPr>
        <w:ind w:left="567"/>
      </w:pPr>
    </w:p>
    <w:p w14:paraId="79489A30" w14:textId="54A89304" w:rsidR="006925A2" w:rsidRDefault="0098764F" w:rsidP="00756ADC">
      <w:pPr>
        <w:pStyle w:val="Odstavecsmlouvy"/>
      </w:pPr>
      <w:r>
        <w:t xml:space="preserve">Objednatel se zavazuje uhradit Cenu </w:t>
      </w:r>
      <w:r w:rsidR="00756ADC">
        <w:t xml:space="preserve">plnění </w:t>
      </w:r>
      <w:r>
        <w:t>na základě faktury –</w:t>
      </w:r>
      <w:r w:rsidRPr="0098764F">
        <w:t xml:space="preserve"> da</w:t>
      </w:r>
      <w:r>
        <w:t>ňového</w:t>
      </w:r>
      <w:r w:rsidRPr="0098764F">
        <w:t xml:space="preserve"> doklad</w:t>
      </w:r>
      <w:r>
        <w:t>u vystavené</w:t>
      </w:r>
      <w:r w:rsidRPr="0098764F">
        <w:t xml:space="preserve"> </w:t>
      </w:r>
      <w:r>
        <w:t xml:space="preserve">Poskytovatelem </w:t>
      </w:r>
      <w:r w:rsidRPr="0098764F">
        <w:t xml:space="preserve">po </w:t>
      </w:r>
      <w:r>
        <w:t>podpisu Předávacího protokolu oběma smluvními stranami</w:t>
      </w:r>
      <w:r w:rsidR="009E5E68" w:rsidRPr="009E5E68">
        <w:t xml:space="preserve"> </w:t>
      </w:r>
      <w:r w:rsidR="009E5E68">
        <w:t xml:space="preserve">a po odstranění vad </w:t>
      </w:r>
      <w:r w:rsidR="009E5E68">
        <w:lastRenderedPageBreak/>
        <w:t>uvedených v Předávacím protokolu</w:t>
      </w:r>
      <w:r>
        <w:t>. Poskytovatel není oprávněn vystavit fakturu dříve</w:t>
      </w:r>
      <w:r w:rsidRPr="0098764F">
        <w:t xml:space="preserve">. Splatnost faktury je rozložena do </w:t>
      </w:r>
      <w:r w:rsidR="002B0C06">
        <w:rPr>
          <w:color w:val="000000"/>
        </w:rPr>
        <w:t xml:space="preserve">4 </w:t>
      </w:r>
      <w:r w:rsidRPr="0098764F">
        <w:t>s</w:t>
      </w:r>
      <w:r w:rsidR="00757411">
        <w:t>plátky</w:t>
      </w:r>
      <w:r w:rsidR="00472769">
        <w:t xml:space="preserve"> dle níže uvedené tabulky</w:t>
      </w:r>
      <w:r w:rsidR="00FF080C">
        <w:t xml:space="preserve">, </w:t>
      </w:r>
      <w:r w:rsidRPr="0098764F">
        <w:t xml:space="preserve">první splátka 60 dnů od data vystavení faktury, každá další splátka 30 dnů od splatnosti předchozí splátky. Součástí faktury bude splátkový kalendář, datum splatnosti faktury bude shodné s datem poslední splátky. </w:t>
      </w:r>
      <w:r>
        <w:t xml:space="preserve">Poskytovatel doručí fakturu Objednateli bez zbytečného odkladu po jejím vystavení. </w:t>
      </w:r>
      <w:r w:rsidRPr="0098764F">
        <w:t xml:space="preserve">Datum uskutečnění zdanitelného plnění bude </w:t>
      </w:r>
      <w:r w:rsidR="008F23B0">
        <w:t xml:space="preserve">shodné s </w:t>
      </w:r>
      <w:r>
        <w:t>dat</w:t>
      </w:r>
      <w:r w:rsidR="008F23B0">
        <w:t>e</w:t>
      </w:r>
      <w:r>
        <w:t xml:space="preserve">m </w:t>
      </w:r>
      <w:r w:rsidRPr="0098764F">
        <w:t xml:space="preserve">podpisu </w:t>
      </w:r>
      <w:r>
        <w:t>P</w:t>
      </w:r>
      <w:r w:rsidRPr="0098764F">
        <w:t>ředávacího protokolu</w:t>
      </w:r>
      <w:r>
        <w:t xml:space="preserve"> Objednatelem</w:t>
      </w:r>
      <w:r w:rsidRPr="0098764F">
        <w:t>.</w:t>
      </w:r>
      <w:r w:rsidR="003E570D">
        <w:t xml:space="preserve"> </w:t>
      </w:r>
      <w:r w:rsidR="00756ADC">
        <w:t>F</w:t>
      </w:r>
      <w:r w:rsidR="00726B26" w:rsidRPr="006925A2">
        <w:t>aktura 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756ADC">
        <w:rPr>
          <w:b/>
        </w:rPr>
        <w:t>ZDPH</w:t>
      </w:r>
      <w:r w:rsidR="00B36186">
        <w:t>“)</w:t>
      </w:r>
      <w:r w:rsidR="00726B26" w:rsidRPr="006925A2">
        <w:t xml:space="preserve">, a musí na ní být uvedena </w:t>
      </w:r>
      <w:r w:rsidR="00756ADC">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rsidR="002E515C">
        <w:t>Objednatel</w:t>
      </w:r>
      <w:r w:rsidR="00726B26" w:rsidRPr="006925A2">
        <w:t xml:space="preserve"> oprávněn vrátit fakturu </w:t>
      </w:r>
      <w:r w:rsidR="002E515C">
        <w:t>Poskytovatel</w:t>
      </w:r>
      <w:r>
        <w:t>i</w:t>
      </w:r>
      <w:r w:rsidR="00726B26" w:rsidRPr="006925A2">
        <w:t xml:space="preserve"> k přepracování či doplnění. V takovém případě běží nová lhůta splatnosti ode dne doručení opravené faktury </w:t>
      </w:r>
      <w:r w:rsidR="002E515C">
        <w:t>Objednatel</w:t>
      </w:r>
      <w:r>
        <w:t>i</w:t>
      </w:r>
      <w:r w:rsidR="00726B26" w:rsidRPr="006925A2">
        <w:t>.</w:t>
      </w:r>
    </w:p>
    <w:tbl>
      <w:tblPr>
        <w:tblW w:w="7240" w:type="dxa"/>
        <w:jc w:val="center"/>
        <w:tblCellMar>
          <w:left w:w="70" w:type="dxa"/>
          <w:right w:w="70" w:type="dxa"/>
        </w:tblCellMar>
        <w:tblLook w:val="04A0" w:firstRow="1" w:lastRow="0" w:firstColumn="1" w:lastColumn="0" w:noHBand="0" w:noVBand="1"/>
      </w:tblPr>
      <w:tblGrid>
        <w:gridCol w:w="2020"/>
        <w:gridCol w:w="1300"/>
        <w:gridCol w:w="1350"/>
        <w:gridCol w:w="1350"/>
        <w:gridCol w:w="1220"/>
      </w:tblGrid>
      <w:tr w:rsidR="00E315B2" w:rsidRPr="009315A1" w14:paraId="4A06322C" w14:textId="77777777" w:rsidTr="000D38FF">
        <w:trPr>
          <w:trHeight w:val="300"/>
          <w:jc w:val="center"/>
        </w:trPr>
        <w:tc>
          <w:tcPr>
            <w:tcW w:w="2020" w:type="dxa"/>
            <w:tcBorders>
              <w:top w:val="single" w:sz="8" w:space="0" w:color="auto"/>
              <w:left w:val="single" w:sz="8" w:space="0" w:color="auto"/>
              <w:bottom w:val="single" w:sz="8" w:space="0" w:color="auto"/>
              <w:right w:val="nil"/>
            </w:tcBorders>
            <w:shd w:val="clear" w:color="auto" w:fill="auto"/>
            <w:noWrap/>
            <w:vAlign w:val="bottom"/>
            <w:hideMark/>
          </w:tcPr>
          <w:p w14:paraId="093C1151" w14:textId="77777777" w:rsidR="00E315B2" w:rsidRPr="000D38FF" w:rsidRDefault="00E315B2" w:rsidP="00E315B2">
            <w:pPr>
              <w:spacing w:line="240" w:lineRule="auto"/>
              <w:jc w:val="left"/>
              <w:rPr>
                <w:color w:val="000000"/>
              </w:rPr>
            </w:pPr>
            <w:r w:rsidRPr="000D38FF">
              <w:rPr>
                <w:color w:val="000000"/>
              </w:rPr>
              <w:t> </w:t>
            </w:r>
          </w:p>
        </w:tc>
        <w:tc>
          <w:tcPr>
            <w:tcW w:w="1300" w:type="dxa"/>
            <w:tcBorders>
              <w:top w:val="single" w:sz="8" w:space="0" w:color="auto"/>
              <w:left w:val="nil"/>
              <w:bottom w:val="single" w:sz="8" w:space="0" w:color="auto"/>
              <w:right w:val="nil"/>
            </w:tcBorders>
            <w:shd w:val="clear" w:color="auto" w:fill="auto"/>
            <w:noWrap/>
            <w:vAlign w:val="bottom"/>
            <w:hideMark/>
          </w:tcPr>
          <w:p w14:paraId="607113C9" w14:textId="77777777" w:rsidR="00E315B2" w:rsidRPr="000D38FF" w:rsidRDefault="00E315B2" w:rsidP="00E315B2">
            <w:pPr>
              <w:spacing w:line="240" w:lineRule="auto"/>
              <w:jc w:val="left"/>
              <w:rPr>
                <w:color w:val="000000"/>
              </w:rPr>
            </w:pPr>
            <w:r w:rsidRPr="000D38FF">
              <w:rPr>
                <w:color w:val="000000"/>
              </w:rPr>
              <w:t> </w:t>
            </w:r>
          </w:p>
        </w:tc>
        <w:tc>
          <w:tcPr>
            <w:tcW w:w="2700" w:type="dxa"/>
            <w:gridSpan w:val="2"/>
            <w:tcBorders>
              <w:top w:val="single" w:sz="8" w:space="0" w:color="auto"/>
              <w:left w:val="nil"/>
              <w:bottom w:val="single" w:sz="8" w:space="0" w:color="auto"/>
              <w:right w:val="nil"/>
            </w:tcBorders>
            <w:shd w:val="clear" w:color="auto" w:fill="auto"/>
            <w:noWrap/>
            <w:vAlign w:val="bottom"/>
            <w:hideMark/>
          </w:tcPr>
          <w:p w14:paraId="6D10EB2C" w14:textId="77777777" w:rsidR="00E315B2" w:rsidRPr="000D38FF" w:rsidRDefault="00E315B2" w:rsidP="00E315B2">
            <w:pPr>
              <w:spacing w:line="240" w:lineRule="auto"/>
              <w:jc w:val="left"/>
              <w:rPr>
                <w:color w:val="000000"/>
              </w:rPr>
            </w:pPr>
            <w:r w:rsidRPr="000D38FF">
              <w:rPr>
                <w:color w:val="000000"/>
              </w:rPr>
              <w:t>Splátkový kalendář</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14:paraId="3D1AD911" w14:textId="77777777" w:rsidR="00E315B2" w:rsidRPr="000D38FF" w:rsidRDefault="00E315B2" w:rsidP="00E315B2">
            <w:pPr>
              <w:spacing w:line="240" w:lineRule="auto"/>
              <w:jc w:val="left"/>
              <w:rPr>
                <w:color w:val="000000"/>
              </w:rPr>
            </w:pPr>
            <w:r w:rsidRPr="000D38FF">
              <w:rPr>
                <w:color w:val="000000"/>
              </w:rPr>
              <w:t> </w:t>
            </w:r>
          </w:p>
        </w:tc>
      </w:tr>
      <w:tr w:rsidR="00E315B2" w:rsidRPr="009315A1" w14:paraId="13E85949" w14:textId="77777777" w:rsidTr="000D38FF">
        <w:trPr>
          <w:trHeight w:val="290"/>
          <w:jc w:val="center"/>
        </w:trPr>
        <w:tc>
          <w:tcPr>
            <w:tcW w:w="2020" w:type="dxa"/>
            <w:tcBorders>
              <w:top w:val="nil"/>
              <w:left w:val="single" w:sz="8" w:space="0" w:color="auto"/>
              <w:bottom w:val="single" w:sz="4" w:space="0" w:color="auto"/>
              <w:right w:val="single" w:sz="4" w:space="0" w:color="auto"/>
            </w:tcBorders>
            <w:shd w:val="clear" w:color="auto" w:fill="auto"/>
            <w:noWrap/>
            <w:vAlign w:val="bottom"/>
            <w:hideMark/>
          </w:tcPr>
          <w:p w14:paraId="6ABFA962" w14:textId="77777777" w:rsidR="00E315B2" w:rsidRPr="000D38FF" w:rsidRDefault="00E315B2" w:rsidP="00E315B2">
            <w:pPr>
              <w:spacing w:line="240" w:lineRule="auto"/>
              <w:jc w:val="left"/>
              <w:rPr>
                <w:color w:val="000000"/>
              </w:rPr>
            </w:pPr>
            <w:r w:rsidRPr="000D38FF">
              <w:rPr>
                <w:color w:val="000000"/>
              </w:rPr>
              <w:t>Celková cena s DPH</w:t>
            </w:r>
          </w:p>
        </w:tc>
        <w:tc>
          <w:tcPr>
            <w:tcW w:w="1300" w:type="dxa"/>
            <w:tcBorders>
              <w:top w:val="nil"/>
              <w:left w:val="nil"/>
              <w:bottom w:val="single" w:sz="4" w:space="0" w:color="auto"/>
              <w:right w:val="single" w:sz="4" w:space="0" w:color="auto"/>
            </w:tcBorders>
            <w:shd w:val="clear" w:color="auto" w:fill="auto"/>
            <w:noWrap/>
            <w:vAlign w:val="bottom"/>
            <w:hideMark/>
          </w:tcPr>
          <w:p w14:paraId="55D207EA" w14:textId="77777777" w:rsidR="00E315B2" w:rsidRPr="000D38FF" w:rsidRDefault="00E315B2" w:rsidP="00E315B2">
            <w:pPr>
              <w:spacing w:line="240" w:lineRule="auto"/>
              <w:jc w:val="left"/>
              <w:rPr>
                <w:color w:val="000000"/>
              </w:rPr>
            </w:pPr>
            <w:r w:rsidRPr="000D38FF">
              <w:rPr>
                <w:color w:val="000000"/>
              </w:rPr>
              <w:t>1.splátka</w:t>
            </w:r>
          </w:p>
        </w:tc>
        <w:tc>
          <w:tcPr>
            <w:tcW w:w="1350" w:type="dxa"/>
            <w:tcBorders>
              <w:top w:val="nil"/>
              <w:left w:val="nil"/>
              <w:bottom w:val="single" w:sz="4" w:space="0" w:color="auto"/>
              <w:right w:val="single" w:sz="4" w:space="0" w:color="auto"/>
            </w:tcBorders>
            <w:shd w:val="clear" w:color="auto" w:fill="auto"/>
            <w:noWrap/>
            <w:vAlign w:val="bottom"/>
            <w:hideMark/>
          </w:tcPr>
          <w:p w14:paraId="75868AC0" w14:textId="77777777" w:rsidR="00E315B2" w:rsidRPr="000D38FF" w:rsidRDefault="00E315B2" w:rsidP="00E315B2">
            <w:pPr>
              <w:spacing w:line="240" w:lineRule="auto"/>
              <w:jc w:val="left"/>
              <w:rPr>
                <w:color w:val="000000"/>
              </w:rPr>
            </w:pPr>
            <w:r w:rsidRPr="000D38FF">
              <w:rPr>
                <w:color w:val="000000"/>
              </w:rPr>
              <w:t>2.splátka</w:t>
            </w:r>
          </w:p>
        </w:tc>
        <w:tc>
          <w:tcPr>
            <w:tcW w:w="1350" w:type="dxa"/>
            <w:tcBorders>
              <w:top w:val="nil"/>
              <w:left w:val="nil"/>
              <w:bottom w:val="single" w:sz="4" w:space="0" w:color="auto"/>
              <w:right w:val="single" w:sz="4" w:space="0" w:color="auto"/>
            </w:tcBorders>
            <w:shd w:val="clear" w:color="auto" w:fill="auto"/>
            <w:noWrap/>
            <w:vAlign w:val="bottom"/>
            <w:hideMark/>
          </w:tcPr>
          <w:p w14:paraId="4585D36C" w14:textId="77777777" w:rsidR="00E315B2" w:rsidRPr="000D38FF" w:rsidRDefault="00E315B2" w:rsidP="00E315B2">
            <w:pPr>
              <w:spacing w:line="240" w:lineRule="auto"/>
              <w:jc w:val="left"/>
              <w:rPr>
                <w:color w:val="000000"/>
              </w:rPr>
            </w:pPr>
            <w:r w:rsidRPr="000D38FF">
              <w:rPr>
                <w:color w:val="000000"/>
              </w:rPr>
              <w:t>3. splátka</w:t>
            </w:r>
          </w:p>
        </w:tc>
        <w:tc>
          <w:tcPr>
            <w:tcW w:w="1220" w:type="dxa"/>
            <w:tcBorders>
              <w:top w:val="nil"/>
              <w:left w:val="nil"/>
              <w:bottom w:val="single" w:sz="4" w:space="0" w:color="auto"/>
              <w:right w:val="single" w:sz="8" w:space="0" w:color="auto"/>
            </w:tcBorders>
            <w:shd w:val="clear" w:color="auto" w:fill="auto"/>
            <w:noWrap/>
            <w:vAlign w:val="bottom"/>
            <w:hideMark/>
          </w:tcPr>
          <w:p w14:paraId="3A0CB0D3" w14:textId="77777777" w:rsidR="00E315B2" w:rsidRPr="000D38FF" w:rsidRDefault="00E315B2" w:rsidP="00E315B2">
            <w:pPr>
              <w:spacing w:line="240" w:lineRule="auto"/>
              <w:jc w:val="left"/>
              <w:rPr>
                <w:color w:val="000000"/>
              </w:rPr>
            </w:pPr>
            <w:r w:rsidRPr="000D38FF">
              <w:rPr>
                <w:color w:val="000000"/>
              </w:rPr>
              <w:t>4.splátka</w:t>
            </w:r>
          </w:p>
        </w:tc>
      </w:tr>
      <w:tr w:rsidR="00E315B2" w:rsidRPr="009315A1" w14:paraId="0A6D3D33" w14:textId="77777777" w:rsidTr="000D38FF">
        <w:trPr>
          <w:trHeight w:val="300"/>
          <w:jc w:val="center"/>
        </w:trPr>
        <w:tc>
          <w:tcPr>
            <w:tcW w:w="2020" w:type="dxa"/>
            <w:tcBorders>
              <w:top w:val="nil"/>
              <w:left w:val="single" w:sz="8" w:space="0" w:color="auto"/>
              <w:bottom w:val="single" w:sz="8" w:space="0" w:color="auto"/>
              <w:right w:val="single" w:sz="4" w:space="0" w:color="auto"/>
            </w:tcBorders>
            <w:shd w:val="clear" w:color="auto" w:fill="auto"/>
            <w:noWrap/>
            <w:vAlign w:val="bottom"/>
            <w:hideMark/>
          </w:tcPr>
          <w:p w14:paraId="53B5F5B3" w14:textId="77777777" w:rsidR="00E315B2" w:rsidRPr="000D38FF" w:rsidRDefault="00E315B2" w:rsidP="00E315B2">
            <w:pPr>
              <w:spacing w:line="240" w:lineRule="auto"/>
              <w:jc w:val="right"/>
              <w:rPr>
                <w:color w:val="000000"/>
              </w:rPr>
            </w:pPr>
            <w:r w:rsidRPr="000D38FF">
              <w:rPr>
                <w:color w:val="000000"/>
              </w:rPr>
              <w:t>907 500 Kč</w:t>
            </w:r>
          </w:p>
        </w:tc>
        <w:tc>
          <w:tcPr>
            <w:tcW w:w="1300" w:type="dxa"/>
            <w:tcBorders>
              <w:top w:val="nil"/>
              <w:left w:val="nil"/>
              <w:bottom w:val="single" w:sz="8" w:space="0" w:color="auto"/>
              <w:right w:val="single" w:sz="4" w:space="0" w:color="auto"/>
            </w:tcBorders>
            <w:shd w:val="clear" w:color="auto" w:fill="auto"/>
            <w:noWrap/>
            <w:vAlign w:val="bottom"/>
            <w:hideMark/>
          </w:tcPr>
          <w:p w14:paraId="069FA601" w14:textId="77777777" w:rsidR="00E315B2" w:rsidRPr="000D38FF" w:rsidRDefault="00E315B2" w:rsidP="00E315B2">
            <w:pPr>
              <w:spacing w:line="240" w:lineRule="auto"/>
              <w:jc w:val="right"/>
              <w:rPr>
                <w:color w:val="000000"/>
              </w:rPr>
            </w:pPr>
            <w:r w:rsidRPr="000D38FF">
              <w:rPr>
                <w:color w:val="000000"/>
              </w:rPr>
              <w:t>345 000 Kč</w:t>
            </w:r>
          </w:p>
        </w:tc>
        <w:tc>
          <w:tcPr>
            <w:tcW w:w="1350" w:type="dxa"/>
            <w:tcBorders>
              <w:top w:val="nil"/>
              <w:left w:val="nil"/>
              <w:bottom w:val="single" w:sz="8" w:space="0" w:color="auto"/>
              <w:right w:val="single" w:sz="4" w:space="0" w:color="auto"/>
            </w:tcBorders>
            <w:shd w:val="clear" w:color="auto" w:fill="auto"/>
            <w:noWrap/>
            <w:vAlign w:val="bottom"/>
            <w:hideMark/>
          </w:tcPr>
          <w:p w14:paraId="35B01CE7" w14:textId="77777777" w:rsidR="00E315B2" w:rsidRPr="000D38FF" w:rsidRDefault="00E315B2" w:rsidP="00E315B2">
            <w:pPr>
              <w:spacing w:line="240" w:lineRule="auto"/>
              <w:jc w:val="right"/>
              <w:rPr>
                <w:color w:val="000000"/>
              </w:rPr>
            </w:pPr>
            <w:r w:rsidRPr="000D38FF">
              <w:rPr>
                <w:color w:val="000000"/>
              </w:rPr>
              <w:t>187 500 Kč</w:t>
            </w:r>
          </w:p>
        </w:tc>
        <w:tc>
          <w:tcPr>
            <w:tcW w:w="1350" w:type="dxa"/>
            <w:tcBorders>
              <w:top w:val="nil"/>
              <w:left w:val="nil"/>
              <w:bottom w:val="single" w:sz="8" w:space="0" w:color="auto"/>
              <w:right w:val="single" w:sz="4" w:space="0" w:color="auto"/>
            </w:tcBorders>
            <w:shd w:val="clear" w:color="auto" w:fill="auto"/>
            <w:noWrap/>
            <w:vAlign w:val="bottom"/>
            <w:hideMark/>
          </w:tcPr>
          <w:p w14:paraId="405187A9" w14:textId="77777777" w:rsidR="00E315B2" w:rsidRPr="000D38FF" w:rsidRDefault="00E315B2" w:rsidP="00E315B2">
            <w:pPr>
              <w:spacing w:line="240" w:lineRule="auto"/>
              <w:jc w:val="right"/>
              <w:rPr>
                <w:color w:val="000000"/>
              </w:rPr>
            </w:pPr>
            <w:r w:rsidRPr="000D38FF">
              <w:rPr>
                <w:color w:val="000000"/>
              </w:rPr>
              <w:t>187 500 Kč</w:t>
            </w:r>
          </w:p>
        </w:tc>
        <w:tc>
          <w:tcPr>
            <w:tcW w:w="1220" w:type="dxa"/>
            <w:tcBorders>
              <w:top w:val="nil"/>
              <w:left w:val="nil"/>
              <w:bottom w:val="single" w:sz="8" w:space="0" w:color="auto"/>
              <w:right w:val="single" w:sz="8" w:space="0" w:color="auto"/>
            </w:tcBorders>
            <w:shd w:val="clear" w:color="auto" w:fill="auto"/>
            <w:noWrap/>
            <w:vAlign w:val="bottom"/>
            <w:hideMark/>
          </w:tcPr>
          <w:p w14:paraId="12CE2BA6" w14:textId="77777777" w:rsidR="00E315B2" w:rsidRPr="000D38FF" w:rsidRDefault="00E315B2" w:rsidP="00E315B2">
            <w:pPr>
              <w:spacing w:line="240" w:lineRule="auto"/>
              <w:jc w:val="right"/>
              <w:rPr>
                <w:color w:val="000000"/>
              </w:rPr>
            </w:pPr>
            <w:r w:rsidRPr="000D38FF">
              <w:rPr>
                <w:color w:val="000000"/>
              </w:rPr>
              <w:t>187 500 Kč</w:t>
            </w:r>
          </w:p>
        </w:tc>
      </w:tr>
    </w:tbl>
    <w:p w14:paraId="274E1BEE" w14:textId="77777777" w:rsidR="00315187" w:rsidRDefault="00315187" w:rsidP="000D38FF">
      <w:pPr>
        <w:pStyle w:val="Nadpis1"/>
        <w:numPr>
          <w:ilvl w:val="0"/>
          <w:numId w:val="0"/>
        </w:numPr>
        <w:ind w:left="1080" w:hanging="720"/>
      </w:pPr>
    </w:p>
    <w:p w14:paraId="71500BCF" w14:textId="77777777" w:rsidR="003127FA" w:rsidRDefault="003127FA" w:rsidP="00707C08">
      <w:pPr>
        <w:pStyle w:val="Odstavecsmlouvy"/>
        <w:numPr>
          <w:ilvl w:val="0"/>
          <w:numId w:val="0"/>
        </w:numPr>
        <w:ind w:left="567"/>
      </w:pPr>
    </w:p>
    <w:p w14:paraId="26E20574"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2E515C">
        <w:t>Objednatel</w:t>
      </w:r>
      <w:r w:rsidR="00EB4FF0">
        <w:t>e</w:t>
      </w:r>
      <w:r w:rsidR="00726B26" w:rsidRPr="006925A2">
        <w:rPr>
          <w:color w:val="000000"/>
        </w:rPr>
        <w:t xml:space="preserve"> na bankovní účet </w:t>
      </w:r>
      <w:r w:rsidR="002E515C">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2E515C">
        <w:t>Objednatel</w:t>
      </w:r>
      <w:r w:rsidR="00EB4FF0">
        <w:t>e</w:t>
      </w:r>
      <w:r w:rsidR="00726B26" w:rsidRPr="006925A2">
        <w:rPr>
          <w:color w:val="000000"/>
        </w:rPr>
        <w:t>.</w:t>
      </w:r>
    </w:p>
    <w:p w14:paraId="47F7F35B" w14:textId="77777777" w:rsidR="001B5F9C" w:rsidRPr="001B5F9C" w:rsidRDefault="001B5F9C" w:rsidP="001B5F9C">
      <w:pPr>
        <w:pStyle w:val="Odstavecsmlouvy"/>
        <w:numPr>
          <w:ilvl w:val="0"/>
          <w:numId w:val="0"/>
        </w:numPr>
        <w:ind w:left="567"/>
      </w:pPr>
    </w:p>
    <w:p w14:paraId="0E3FB717"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2E515C">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2E515C">
        <w:t>Objednatel</w:t>
      </w:r>
      <w:r w:rsidR="00726B26" w:rsidRPr="001B5F9C">
        <w:rPr>
          <w:color w:val="000000"/>
        </w:rPr>
        <w:t xml:space="preserve"> právo uhradit za </w:t>
      </w:r>
      <w:r w:rsidR="002E515C">
        <w:t>Poskytovatel</w:t>
      </w:r>
      <w:r w:rsidR="004F6C95">
        <w:t>e</w:t>
      </w:r>
      <w:r w:rsidR="00726B26" w:rsidRPr="001B5F9C">
        <w:rPr>
          <w:color w:val="000000"/>
        </w:rPr>
        <w:t xml:space="preserve"> DPH z tohoto zdanitelného plnění, aniž by byl vyzván jako ručitel správcem daně </w:t>
      </w:r>
      <w:r w:rsidR="002E515C">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D5F9657" w14:textId="77777777" w:rsidR="00257643" w:rsidRPr="00257643" w:rsidRDefault="00257643" w:rsidP="00257643">
      <w:pPr>
        <w:pStyle w:val="Odstavecsmlouvy"/>
        <w:numPr>
          <w:ilvl w:val="0"/>
          <w:numId w:val="0"/>
        </w:numPr>
        <w:ind w:left="567"/>
      </w:pPr>
    </w:p>
    <w:p w14:paraId="17176F29" w14:textId="77777777" w:rsidR="001B5F9C" w:rsidRPr="001B5F9C" w:rsidRDefault="00726B26" w:rsidP="001B5F9C">
      <w:pPr>
        <w:pStyle w:val="Odstavecsmlouvy"/>
      </w:pPr>
      <w:r w:rsidRPr="00257643">
        <w:rPr>
          <w:color w:val="000000"/>
        </w:rPr>
        <w:t xml:space="preserve">Pokud </w:t>
      </w:r>
      <w:r w:rsidR="002E515C">
        <w:t>Objednatel</w:t>
      </w:r>
      <w:r w:rsidRPr="00257643">
        <w:rPr>
          <w:color w:val="000000"/>
        </w:rPr>
        <w:t xml:space="preserve"> uhradí částku ve výši DPH na účet správce daně </w:t>
      </w:r>
      <w:r w:rsidR="002E515C">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2E515C">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9102C6B" w14:textId="77777777" w:rsidR="001B5F9C" w:rsidRPr="001B5F9C" w:rsidRDefault="001B5F9C" w:rsidP="001B5F9C">
      <w:pPr>
        <w:pStyle w:val="Odstavecsmlouvy"/>
        <w:numPr>
          <w:ilvl w:val="0"/>
          <w:numId w:val="0"/>
        </w:numPr>
        <w:ind w:left="567"/>
      </w:pPr>
    </w:p>
    <w:p w14:paraId="7C84EB5F" w14:textId="77777777" w:rsidR="00726B26" w:rsidRPr="001B5F9C" w:rsidRDefault="002E515C" w:rsidP="001B5F9C">
      <w:pPr>
        <w:pStyle w:val="Odstavecsmlouvy"/>
      </w:pPr>
      <w:r>
        <w:t>Poskytovatel</w:t>
      </w:r>
      <w:r w:rsidR="00726B26" w:rsidRPr="001B5F9C">
        <w:rPr>
          <w:color w:val="000000"/>
        </w:rPr>
        <w:t xml:space="preserve"> je oprávněn postoupit své peněžité pohledávky za </w:t>
      </w:r>
      <w:r>
        <w:t>Objednatel</w:t>
      </w:r>
      <w:r w:rsidR="004F6C95">
        <w:t>em</w:t>
      </w:r>
      <w:r w:rsidR="00726B26" w:rsidRPr="001B5F9C">
        <w:rPr>
          <w:color w:val="000000"/>
        </w:rPr>
        <w:t xml:space="preserve"> výhradně po předchozím písemném souhlasu </w:t>
      </w:r>
      <w:r>
        <w:t>Objednatel</w:t>
      </w:r>
      <w:r w:rsidR="004F6C95">
        <w:t>e</w:t>
      </w:r>
      <w:r w:rsidR="00726B26" w:rsidRPr="001B5F9C">
        <w:rPr>
          <w:color w:val="000000"/>
        </w:rPr>
        <w:t xml:space="preserve">, jinak je postoupení vůči </w:t>
      </w:r>
      <w:r>
        <w:t>Objednatel</w:t>
      </w:r>
      <w:r w:rsidR="004F6C95">
        <w:t>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4F6C95">
        <w:t>Objednatelem</w:t>
      </w:r>
      <w:r w:rsidR="00726B26" w:rsidRPr="001B5F9C">
        <w:rPr>
          <w:color w:val="000000"/>
        </w:rPr>
        <w:t xml:space="preserve"> výhradně na základě písemné dohody obou smluvních stran, jinak je započtení pohledávek neplatné.</w:t>
      </w:r>
    </w:p>
    <w:p w14:paraId="124687F0" w14:textId="77777777" w:rsidR="00726B26" w:rsidRPr="002B77A6" w:rsidRDefault="00726B26" w:rsidP="001B5F9C">
      <w:pPr>
        <w:rPr>
          <w:b/>
          <w:bCs/>
        </w:rPr>
      </w:pPr>
    </w:p>
    <w:p w14:paraId="36D9AF5F" w14:textId="77777777" w:rsidR="00726B26" w:rsidRPr="002B77A6" w:rsidRDefault="0030437C" w:rsidP="001B5F9C">
      <w:pPr>
        <w:pStyle w:val="Nadpis1"/>
      </w:pPr>
      <w:bookmarkStart w:id="19" w:name="_Ref530211193"/>
      <w:r>
        <w:t>Kvalita zboží a odpovědnost za vady</w:t>
      </w:r>
      <w:bookmarkEnd w:id="19"/>
    </w:p>
    <w:p w14:paraId="5829974B" w14:textId="77777777" w:rsidR="00763381" w:rsidRDefault="00763381" w:rsidP="00726B26">
      <w:pPr>
        <w:pStyle w:val="Zkladntext3"/>
        <w:ind w:left="709"/>
        <w:rPr>
          <w:sz w:val="22"/>
          <w:szCs w:val="22"/>
        </w:rPr>
      </w:pPr>
    </w:p>
    <w:p w14:paraId="4E9DF289" w14:textId="77777777" w:rsidR="00392A54" w:rsidRPr="00392A54" w:rsidRDefault="00392A54" w:rsidP="00C92C8B">
      <w:pPr>
        <w:pStyle w:val="Odstavecsmlouvy"/>
        <w:rPr>
          <w:color w:val="000000"/>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a to včetně Licence</w:t>
      </w:r>
      <w:r w:rsidRPr="00557002">
        <w:t>.</w:t>
      </w:r>
    </w:p>
    <w:p w14:paraId="1C6E46E4" w14:textId="77777777" w:rsidR="00392A54" w:rsidRPr="00392A54" w:rsidRDefault="00392A54" w:rsidP="00392A54">
      <w:pPr>
        <w:pStyle w:val="Odstavecsmlouvy"/>
        <w:numPr>
          <w:ilvl w:val="0"/>
          <w:numId w:val="0"/>
        </w:numPr>
        <w:ind w:left="567"/>
        <w:rPr>
          <w:color w:val="000000"/>
        </w:rPr>
      </w:pPr>
    </w:p>
    <w:p w14:paraId="4DA2597E" w14:textId="77777777" w:rsidR="00726B26" w:rsidRPr="0030437C" w:rsidRDefault="002E515C" w:rsidP="0030437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6850073F" w14:textId="77777777" w:rsidR="00726B26" w:rsidRPr="002B77A6" w:rsidRDefault="00726B26" w:rsidP="00726B26">
      <w:pPr>
        <w:jc w:val="center"/>
        <w:rPr>
          <w:b/>
          <w:bCs/>
        </w:rPr>
      </w:pPr>
    </w:p>
    <w:p w14:paraId="6132D8DF" w14:textId="77777777" w:rsidR="00A865B2" w:rsidRDefault="00A865B2" w:rsidP="00A865B2">
      <w:pPr>
        <w:pStyle w:val="Nadpis1"/>
      </w:pPr>
      <w:bookmarkStart w:id="20" w:name="_Ref497897106"/>
      <w:r>
        <w:t>Mlčenlivost</w:t>
      </w:r>
    </w:p>
    <w:p w14:paraId="76B6CCCF" w14:textId="77777777" w:rsidR="00A865B2" w:rsidRDefault="00A865B2" w:rsidP="00A865B2">
      <w:pPr>
        <w:pStyle w:val="Odstavecsmlouvy"/>
        <w:numPr>
          <w:ilvl w:val="0"/>
          <w:numId w:val="0"/>
        </w:numPr>
        <w:ind w:left="567"/>
      </w:pPr>
    </w:p>
    <w:p w14:paraId="5DDC0D52" w14:textId="77777777" w:rsidR="002F60B5" w:rsidRPr="004D3843" w:rsidRDefault="002F60B5" w:rsidP="002F60B5">
      <w:pPr>
        <w:pStyle w:val="Odstavecsmlouvy"/>
      </w:pPr>
      <w:bookmarkStart w:id="21"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1"/>
    </w:p>
    <w:p w14:paraId="5DF7E0D3" w14:textId="77777777" w:rsidR="002F60B5" w:rsidRPr="004D3843" w:rsidRDefault="002F60B5" w:rsidP="002F60B5">
      <w:pPr>
        <w:pStyle w:val="Psmenoodstavce"/>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978D6EC" w14:textId="77777777" w:rsidR="002F60B5" w:rsidRDefault="002F60B5" w:rsidP="002F60B5">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BD9CE28" w14:textId="77777777" w:rsidR="002F60B5" w:rsidRDefault="002F60B5" w:rsidP="002F60B5">
      <w:pPr>
        <w:pStyle w:val="Odstavecsmlouvy"/>
        <w:numPr>
          <w:ilvl w:val="0"/>
          <w:numId w:val="0"/>
        </w:numPr>
        <w:ind w:left="567"/>
      </w:pPr>
    </w:p>
    <w:p w14:paraId="6DC6DE19" w14:textId="77777777" w:rsidR="002F60B5" w:rsidRDefault="002F60B5" w:rsidP="002F60B5">
      <w:pPr>
        <w:pStyle w:val="Odstavecsmlouvy"/>
      </w:pPr>
      <w:bookmarkStart w:id="22" w:name="_Ref497484371"/>
      <w:r>
        <w:t>Za Důvěrné informace se vždy považují:</w:t>
      </w:r>
    </w:p>
    <w:p w14:paraId="014351CF" w14:textId="77777777" w:rsidR="002F60B5" w:rsidRDefault="002F60B5" w:rsidP="002F60B5">
      <w:pPr>
        <w:pStyle w:val="Psmenoodstavce"/>
      </w:pPr>
      <w:r>
        <w:t>veškeré Osobní údaje;</w:t>
      </w:r>
    </w:p>
    <w:p w14:paraId="0EA614E5" w14:textId="77777777" w:rsidR="002F60B5" w:rsidRDefault="002F60B5" w:rsidP="002F60B5">
      <w:pPr>
        <w:pStyle w:val="Psmenoodstavce"/>
      </w:pPr>
      <w:r>
        <w:t>informace, které jako důvěrné smluvní strana výslovně označí;</w:t>
      </w:r>
    </w:p>
    <w:p w14:paraId="147C4C7E" w14:textId="77777777" w:rsidR="002F60B5" w:rsidRDefault="002F60B5" w:rsidP="002F60B5">
      <w:pPr>
        <w:pStyle w:val="Psmenoodstavce"/>
      </w:pPr>
      <w:r>
        <w:t>veškeré informace související se zabezpečením Důvěrných informací;</w:t>
      </w:r>
    </w:p>
    <w:p w14:paraId="7F8F3EB2" w14:textId="77777777" w:rsidR="002F60B5" w:rsidRDefault="002F60B5" w:rsidP="002F60B5">
      <w:pPr>
        <w:pStyle w:val="Psmenoodstavce"/>
      </w:pPr>
      <w:r>
        <w:t>veškeré informace související s provozem a zabezpečením zdravotnických prostředků, přístrojů, počítačových programů a dalších systémů zpracovávajících Důvěrné informace; a</w:t>
      </w:r>
    </w:p>
    <w:p w14:paraId="35652EB5" w14:textId="77777777" w:rsidR="002F60B5" w:rsidRDefault="002F60B5" w:rsidP="002F60B5">
      <w:pPr>
        <w:pStyle w:val="Psmenoodstavce"/>
      </w:pPr>
      <w:r>
        <w:t>veškeré informace související s provozem a zabezpečením počítačových sítí a informační a komunikační infrastruktury Objednatele.</w:t>
      </w:r>
    </w:p>
    <w:p w14:paraId="05BDB78A" w14:textId="77777777" w:rsidR="002F60B5" w:rsidRDefault="002F60B5" w:rsidP="002F60B5">
      <w:pPr>
        <w:pStyle w:val="Odstavecsmlouvy"/>
        <w:numPr>
          <w:ilvl w:val="0"/>
          <w:numId w:val="0"/>
        </w:numPr>
        <w:ind w:left="567"/>
      </w:pPr>
    </w:p>
    <w:p w14:paraId="5A36DE2E" w14:textId="77777777" w:rsidR="002F60B5" w:rsidRDefault="002F60B5" w:rsidP="002F60B5">
      <w:pPr>
        <w:pStyle w:val="Odstavecsmlouvy"/>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5F67BA2" w14:textId="77777777" w:rsidR="002F60B5" w:rsidRDefault="002F60B5" w:rsidP="002F60B5">
      <w:pPr>
        <w:pStyle w:val="Odstavecsmlouvy"/>
        <w:numPr>
          <w:ilvl w:val="0"/>
          <w:numId w:val="0"/>
        </w:numPr>
        <w:ind w:left="567"/>
      </w:pPr>
    </w:p>
    <w:p w14:paraId="5BF19F10" w14:textId="77777777" w:rsidR="002F60B5" w:rsidRDefault="002F60B5" w:rsidP="002F60B5">
      <w:pPr>
        <w:pStyle w:val="Odstavecsmlouvy"/>
      </w:pPr>
      <w:bookmarkStart w:id="23" w:name="_Ref43804893"/>
      <w:bookmarkEnd w:id="22"/>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3"/>
    </w:p>
    <w:p w14:paraId="5F6FFEE7" w14:textId="77777777" w:rsidR="002F60B5" w:rsidRDefault="002F60B5" w:rsidP="002F60B5">
      <w:pPr>
        <w:pStyle w:val="Psmenoodstavce"/>
        <w:numPr>
          <w:ilvl w:val="0"/>
          <w:numId w:val="0"/>
        </w:numPr>
        <w:ind w:left="1134"/>
      </w:pPr>
    </w:p>
    <w:p w14:paraId="6692D8CE" w14:textId="77777777" w:rsidR="002F60B5" w:rsidRDefault="002F60B5" w:rsidP="002F60B5">
      <w:pPr>
        <w:pStyle w:val="Odstavecsmlouvy"/>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2A943E77" w14:textId="77777777" w:rsidR="002F60B5" w:rsidRDefault="002F60B5" w:rsidP="002F60B5">
      <w:pPr>
        <w:pStyle w:val="Odstavecsmlouvy"/>
        <w:numPr>
          <w:ilvl w:val="0"/>
          <w:numId w:val="0"/>
        </w:numPr>
        <w:ind w:left="567"/>
      </w:pPr>
    </w:p>
    <w:p w14:paraId="142D16BA" w14:textId="77777777" w:rsidR="002F60B5" w:rsidRDefault="002F60B5" w:rsidP="002F60B5">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20CD9997" w14:textId="77777777" w:rsidR="00A865B2" w:rsidRDefault="00A865B2" w:rsidP="00A865B2">
      <w:pPr>
        <w:pStyle w:val="Odstavecsmlouvy"/>
        <w:numPr>
          <w:ilvl w:val="0"/>
          <w:numId w:val="0"/>
        </w:numPr>
      </w:pPr>
    </w:p>
    <w:p w14:paraId="0A89FC4B" w14:textId="77777777" w:rsidR="00D27E94" w:rsidRDefault="00D27E94" w:rsidP="00D27E94">
      <w:pPr>
        <w:pStyle w:val="Nadpis3"/>
      </w:pPr>
      <w:bookmarkStart w:id="24" w:name="_Ref529435017"/>
      <w:r>
        <w:t>Ochrana osobních údajů</w:t>
      </w:r>
      <w:bookmarkEnd w:id="20"/>
      <w:bookmarkEnd w:id="24"/>
      <w:r w:rsidR="00B213D6">
        <w:t xml:space="preserve"> a bezpečnost informací</w:t>
      </w:r>
    </w:p>
    <w:p w14:paraId="6AA072D4" w14:textId="77777777" w:rsidR="00D27E94" w:rsidRDefault="00D27E94" w:rsidP="00D27E94">
      <w:pPr>
        <w:pStyle w:val="Odstavecsmlouvy"/>
        <w:numPr>
          <w:ilvl w:val="0"/>
          <w:numId w:val="0"/>
        </w:numPr>
        <w:ind w:left="567"/>
      </w:pPr>
    </w:p>
    <w:p w14:paraId="286227F4" w14:textId="77777777" w:rsidR="002F60B5" w:rsidRDefault="002F60B5" w:rsidP="002F60B5">
      <w:pPr>
        <w:pStyle w:val="Odstavecsmlouvy"/>
      </w:pPr>
      <w:bookmarkStart w:id="25" w:name="_Ref529435327"/>
      <w:bookmarkStart w:id="26"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25"/>
      <w:r>
        <w:t>zpracovávat Osobní údaje výhradně na základě pokynů Objednatele a výhradně za účelem plnění povinností vyplývajících z této smlouvy.</w:t>
      </w:r>
      <w:bookmarkEnd w:id="26"/>
      <w:r>
        <w:t xml:space="preserve"> </w:t>
      </w:r>
    </w:p>
    <w:p w14:paraId="58A3758F" w14:textId="77777777" w:rsidR="002F60B5" w:rsidRDefault="002F60B5" w:rsidP="002F60B5">
      <w:pPr>
        <w:pStyle w:val="Odstavecsmlouvy"/>
        <w:numPr>
          <w:ilvl w:val="0"/>
          <w:numId w:val="0"/>
        </w:numPr>
        <w:ind w:left="567"/>
      </w:pPr>
    </w:p>
    <w:p w14:paraId="11E1D874" w14:textId="77777777" w:rsidR="002F60B5" w:rsidRPr="00C409A0" w:rsidRDefault="002F60B5" w:rsidP="002F60B5">
      <w:pPr>
        <w:pStyle w:val="Odstavecsmlouvy"/>
        <w:rPr>
          <w:rFonts w:eastAsia="Calibri"/>
          <w:lang w:eastAsia="en-US"/>
        </w:rPr>
      </w:pPr>
      <w:bookmarkStart w:id="27" w:name="_Ref497900303"/>
      <w:r>
        <w:t>Za účelem souladu zpracování Osobních údajů s GDPR musí Software a Zboží:</w:t>
      </w:r>
      <w:bookmarkEnd w:id="27"/>
    </w:p>
    <w:p w14:paraId="20398407" w14:textId="77777777" w:rsidR="002F60B5" w:rsidRPr="00C409A0" w:rsidRDefault="002F60B5" w:rsidP="002F60B5">
      <w:pPr>
        <w:pStyle w:val="Psmenoodstavce"/>
        <w:ind w:left="1134"/>
        <w:contextualSpacing w:val="0"/>
        <w:rPr>
          <w:rFonts w:eastAsia="Calibri"/>
          <w:lang w:eastAsia="en-US"/>
        </w:rPr>
      </w:pPr>
      <w:bookmarkStart w:id="28" w:name="_Ref529439936"/>
      <w:r>
        <w:t>umožňovat Objednateli plnit veškeré jeho povinnosti vyplývající z GDPR;</w:t>
      </w:r>
      <w:bookmarkEnd w:id="28"/>
    </w:p>
    <w:p w14:paraId="598AC89F" w14:textId="77777777" w:rsidR="002F60B5" w:rsidRPr="00987E9C" w:rsidRDefault="002F60B5" w:rsidP="002F60B5">
      <w:pPr>
        <w:pStyle w:val="Psmenoodstavce"/>
        <w:ind w:left="1134"/>
        <w:contextualSpacing w:val="0"/>
        <w:rPr>
          <w:rFonts w:eastAsia="Calibri"/>
          <w:lang w:eastAsia="en-US"/>
        </w:rPr>
      </w:pPr>
      <w:bookmarkStart w:id="29" w:name="_Ref529439937"/>
      <w:r>
        <w:t>umožňovat výkon všech práv subjektů osobních údajů upravených v GDPR;</w:t>
      </w:r>
      <w:bookmarkEnd w:id="29"/>
    </w:p>
    <w:p w14:paraId="3C3F71ED" w14:textId="77777777" w:rsidR="002F60B5" w:rsidRPr="002F054B" w:rsidRDefault="002F60B5" w:rsidP="002F60B5">
      <w:pPr>
        <w:pStyle w:val="Psmenoodstavce"/>
        <w:ind w:left="1134"/>
        <w:contextualSpacing w:val="0"/>
        <w:rPr>
          <w:rFonts w:eastAsia="Calibri"/>
          <w:lang w:eastAsia="en-US"/>
        </w:rPr>
      </w:pPr>
      <w:r>
        <w:t>splňovat požadavky standardní ochrany podle čl. 25 odst. 2 GDPR; a</w:t>
      </w:r>
    </w:p>
    <w:p w14:paraId="690255BB" w14:textId="77777777" w:rsidR="002F60B5" w:rsidRPr="00C409A0" w:rsidRDefault="002F60B5" w:rsidP="002F60B5">
      <w:pPr>
        <w:pStyle w:val="Psmenoodstavce"/>
        <w:ind w:left="1134"/>
        <w:contextualSpacing w:val="0"/>
        <w:rPr>
          <w:rFonts w:eastAsia="Calibri"/>
          <w:lang w:eastAsia="en-US"/>
        </w:rPr>
      </w:pPr>
      <w:r>
        <w:t>provádět zpracování Osobních údajů v souladu se zásadami zpracování osobních údajů upravených GDPR, a to v tom rozsahu, v jakém dodržování těchto zásad závisí na Zboží nebo Software.</w:t>
      </w:r>
    </w:p>
    <w:p w14:paraId="199FCF76" w14:textId="77777777" w:rsidR="002F60B5" w:rsidRDefault="002F60B5" w:rsidP="002F60B5">
      <w:pPr>
        <w:pStyle w:val="Psmenoodstavce"/>
        <w:numPr>
          <w:ilvl w:val="0"/>
          <w:numId w:val="0"/>
        </w:numPr>
        <w:ind w:left="1134"/>
        <w:rPr>
          <w:rFonts w:eastAsia="Calibri"/>
          <w:lang w:eastAsia="en-US"/>
        </w:rPr>
      </w:pPr>
    </w:p>
    <w:p w14:paraId="22E6A441" w14:textId="77777777" w:rsidR="002F60B5" w:rsidRDefault="002F60B5" w:rsidP="002F60B5">
      <w:pPr>
        <w:pStyle w:val="Odstavecsmlouvy"/>
      </w:pPr>
      <w:bookmarkStart w:id="30" w:name="_Ref529439652"/>
      <w:r>
        <w:lastRenderedPageBreak/>
        <w:t>V případě události s dopadem na bezpečnost Software, Zboží, bezpečnost Osobních údajů nebo bezpečnost informací v Software a Zboží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30"/>
    </w:p>
    <w:p w14:paraId="053828E9" w14:textId="77777777" w:rsidR="002F60B5" w:rsidRDefault="002F60B5" w:rsidP="002F60B5">
      <w:pPr>
        <w:pStyle w:val="Odstavecsmlouvy"/>
        <w:numPr>
          <w:ilvl w:val="0"/>
          <w:numId w:val="0"/>
        </w:numPr>
        <w:ind w:left="567"/>
      </w:pPr>
    </w:p>
    <w:p w14:paraId="56861735" w14:textId="77777777" w:rsidR="002F60B5" w:rsidRDefault="002F60B5" w:rsidP="002F60B5">
      <w:pPr>
        <w:pStyle w:val="Odstavecsmlouvy"/>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Software.</w:t>
      </w:r>
    </w:p>
    <w:p w14:paraId="71353EAB" w14:textId="77777777" w:rsidR="002F60B5" w:rsidRDefault="002F60B5" w:rsidP="002F60B5">
      <w:pPr>
        <w:pStyle w:val="Odstavecsmlouvy"/>
        <w:numPr>
          <w:ilvl w:val="0"/>
          <w:numId w:val="0"/>
        </w:numPr>
        <w:ind w:left="567"/>
      </w:pPr>
    </w:p>
    <w:p w14:paraId="22B20DF9" w14:textId="77777777" w:rsidR="002F60B5" w:rsidRDefault="002F60B5" w:rsidP="002F60B5">
      <w:pPr>
        <w:pStyle w:val="Odstavecsmlouvy"/>
      </w:pPr>
      <w:r>
        <w:t>Poskytovatel je povinen poskytovat Objednateli součinnost k zavádění, provádění, revidování a aktualizaci technických a organizačních opatření týkajících se Software a Zboží a stanovených Objednatelem za účelem souladu zpracovávání osobních údajů s GDPR.</w:t>
      </w:r>
      <w:r w:rsidRPr="00850EC5">
        <w:t xml:space="preserve"> </w:t>
      </w:r>
      <w:r>
        <w:t>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23CEDA02" w14:textId="77777777" w:rsidR="002F60B5" w:rsidRDefault="002F60B5" w:rsidP="002F60B5">
      <w:pPr>
        <w:jc w:val="center"/>
        <w:rPr>
          <w:b/>
          <w:bCs/>
        </w:rPr>
      </w:pPr>
    </w:p>
    <w:p w14:paraId="518E3C51" w14:textId="77777777" w:rsidR="002F60B5" w:rsidRDefault="002F60B5" w:rsidP="002F60B5">
      <w:pPr>
        <w:pStyle w:val="Odstavecsmlouvy"/>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58ACD51A" w14:textId="77777777" w:rsidR="00C77CBC" w:rsidRDefault="00C77CBC" w:rsidP="00C77CBC">
      <w:pPr>
        <w:pStyle w:val="Odstavecsmlouvy"/>
        <w:numPr>
          <w:ilvl w:val="0"/>
          <w:numId w:val="0"/>
        </w:numPr>
        <w:ind w:left="567"/>
      </w:pPr>
    </w:p>
    <w:p w14:paraId="797832F0" w14:textId="77777777" w:rsidR="00A865B2" w:rsidRDefault="00A865B2" w:rsidP="00A865B2">
      <w:pPr>
        <w:pStyle w:val="Nadpis3"/>
      </w:pPr>
      <w:r w:rsidRPr="002B77A6">
        <w:t>Sankce</w:t>
      </w:r>
      <w:r w:rsidR="00524109">
        <w:t>, náhrada škody</w:t>
      </w:r>
      <w:r w:rsidRPr="002B77A6">
        <w:t xml:space="preserve"> a odstoupení od smlouvy</w:t>
      </w:r>
    </w:p>
    <w:p w14:paraId="134721FE" w14:textId="77777777" w:rsidR="00A865B2" w:rsidRPr="002B77A6" w:rsidRDefault="00A865B2" w:rsidP="00A865B2">
      <w:pPr>
        <w:jc w:val="center"/>
        <w:rPr>
          <w:b/>
          <w:bCs/>
        </w:rPr>
      </w:pPr>
    </w:p>
    <w:p w14:paraId="2AEFCA0B" w14:textId="77777777" w:rsidR="00A865B2" w:rsidRDefault="00A865B2" w:rsidP="00A865B2">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Pr="00557002">
        <w:t>.</w:t>
      </w:r>
    </w:p>
    <w:p w14:paraId="4C26C763" w14:textId="77777777" w:rsidR="00A865B2" w:rsidRDefault="00A865B2" w:rsidP="00A865B2">
      <w:pPr>
        <w:pStyle w:val="Odstavecsmlouvy"/>
        <w:numPr>
          <w:ilvl w:val="0"/>
          <w:numId w:val="0"/>
        </w:numPr>
        <w:ind w:left="567"/>
      </w:pPr>
    </w:p>
    <w:p w14:paraId="06BBEE12" w14:textId="77777777" w:rsidR="004F2036" w:rsidRDefault="004F2036" w:rsidP="004F2036">
      <w:pPr>
        <w:pStyle w:val="Odstavecsmlouvy"/>
      </w:pPr>
      <w:r>
        <w:t>Poskytovatel odpovídá dle věty první § 2950 občanského zákoníku za škodu způsobenou neúplnou nebo nesprávnou informací, a to zejména tehdy, pokud takovou informaci poskytnul v kterémkoli dokumentu, který byl podle této smlouvy povinen zpracovat.</w:t>
      </w:r>
    </w:p>
    <w:p w14:paraId="72A8D87E" w14:textId="77777777" w:rsidR="004F2036" w:rsidRDefault="004F2036" w:rsidP="004F2036">
      <w:pPr>
        <w:pStyle w:val="Odstavecsmlouvy"/>
        <w:numPr>
          <w:ilvl w:val="0"/>
          <w:numId w:val="0"/>
        </w:numPr>
        <w:ind w:left="567"/>
      </w:pPr>
    </w:p>
    <w:p w14:paraId="75F44DB3" w14:textId="1D22FF3F" w:rsidR="00FF080C" w:rsidRDefault="00FF080C" w:rsidP="00A865B2">
      <w:pPr>
        <w:pStyle w:val="Odstavecsmlouvy"/>
      </w:pPr>
      <w:r>
        <w:t xml:space="preserve">Celková výše všech smluvních pokut uhrazených Poskytovatelem podle této smlouvy nepřevýší částku 375 000,- Kč (slovy: </w:t>
      </w:r>
      <w:proofErr w:type="spellStart"/>
      <w:r>
        <w:t>třistasedmdesátpěttisíc</w:t>
      </w:r>
      <w:proofErr w:type="spellEnd"/>
      <w:r>
        <w:t xml:space="preserve"> korun českých).</w:t>
      </w:r>
    </w:p>
    <w:p w14:paraId="7A1F1F63" w14:textId="77777777" w:rsidR="00FF080C" w:rsidRDefault="00FF080C" w:rsidP="000D38FF">
      <w:pPr>
        <w:pStyle w:val="Odstavecsmlouvy"/>
        <w:numPr>
          <w:ilvl w:val="0"/>
          <w:numId w:val="0"/>
        </w:numPr>
        <w:ind w:left="567"/>
      </w:pPr>
    </w:p>
    <w:p w14:paraId="52863D34" w14:textId="61F47451" w:rsidR="00A865B2" w:rsidRDefault="00A865B2" w:rsidP="00A865B2">
      <w:pPr>
        <w:pStyle w:val="Odstavecsmlouvy"/>
      </w:pPr>
      <w:r>
        <w:t>V případě, že bude Poskytovatel</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2F60B5">
        <w:t>500</w:t>
      </w:r>
      <w:r>
        <w:t xml:space="preserve">,- Kč (slovy: </w:t>
      </w:r>
      <w:proofErr w:type="spellStart"/>
      <w:r w:rsidR="002F60B5">
        <w:t>pětset</w:t>
      </w:r>
      <w:proofErr w:type="spellEnd"/>
      <w:r>
        <w:t xml:space="preserve"> korun českých), a to</w:t>
      </w:r>
      <w:r w:rsidRPr="003E18B2">
        <w:t xml:space="preserve"> za každý </w:t>
      </w:r>
      <w:r>
        <w:t xml:space="preserve">takový případ a za každý i </w:t>
      </w:r>
      <w:r w:rsidRPr="003E18B2">
        <w:t>započatý den prodlení.</w:t>
      </w:r>
    </w:p>
    <w:p w14:paraId="02E6CF3B" w14:textId="77777777" w:rsidR="00A865B2" w:rsidRDefault="00A865B2" w:rsidP="00A865B2">
      <w:pPr>
        <w:pStyle w:val="Odstavecsmlouvy"/>
        <w:numPr>
          <w:ilvl w:val="0"/>
          <w:numId w:val="0"/>
        </w:numPr>
        <w:ind w:left="567"/>
      </w:pPr>
    </w:p>
    <w:p w14:paraId="6BA8CE04" w14:textId="77777777" w:rsidR="00A865B2" w:rsidRDefault="00A865B2" w:rsidP="00A865B2">
      <w:pPr>
        <w:pStyle w:val="Odstavecsmlouvy"/>
      </w:pPr>
      <w:r>
        <w:t>Poruší-li některá smluvní strana povinnosti vyplývající z této dohody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45F46983" w14:textId="77777777" w:rsidR="00A865B2" w:rsidRDefault="00A865B2" w:rsidP="00A865B2">
      <w:pPr>
        <w:pStyle w:val="Odstavecsmlouvy"/>
        <w:numPr>
          <w:ilvl w:val="0"/>
          <w:numId w:val="0"/>
        </w:numPr>
        <w:ind w:left="567"/>
      </w:pPr>
    </w:p>
    <w:p w14:paraId="4C80B34F" w14:textId="5331862B" w:rsidR="00A865B2" w:rsidRDefault="00A865B2" w:rsidP="00A865B2">
      <w:pPr>
        <w:pStyle w:val="Odstavecsmlouvy"/>
      </w:pPr>
      <w:r>
        <w:lastRenderedPageBreak/>
        <w:t xml:space="preserve">V případě, že Poskytovatel bude zpracovávat Osobní údaje v rozporu s odst. </w:t>
      </w:r>
      <w:r>
        <w:fldChar w:fldCharType="begin"/>
      </w:r>
      <w:r>
        <w:instrText xml:space="preserve"> REF _Ref529435327 \n \h </w:instrText>
      </w:r>
      <w:r>
        <w:fldChar w:fldCharType="separate"/>
      </w:r>
      <w:proofErr w:type="gramStart"/>
      <w:r w:rsidR="005730C5">
        <w:t>VIII.1</w:t>
      </w:r>
      <w:r>
        <w:fldChar w:fldCharType="end"/>
      </w:r>
      <w:r>
        <w:t xml:space="preserve"> této</w:t>
      </w:r>
      <w:proofErr w:type="gramEnd"/>
      <w:r>
        <w:t xml:space="preserve"> </w:t>
      </w:r>
      <w:r w:rsidR="00524109">
        <w:t>smlouvy</w:t>
      </w:r>
      <w:r>
        <w:t>,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006BCD0C" w14:textId="77777777" w:rsidR="00A865B2" w:rsidRDefault="00A865B2" w:rsidP="00A865B2">
      <w:pPr>
        <w:pStyle w:val="Odstavecsmlouvy"/>
        <w:numPr>
          <w:ilvl w:val="0"/>
          <w:numId w:val="0"/>
        </w:numPr>
        <w:ind w:left="567"/>
      </w:pPr>
    </w:p>
    <w:p w14:paraId="70F796F3" w14:textId="16BFF818" w:rsidR="002F60B5" w:rsidRDefault="002F60B5" w:rsidP="002F60B5">
      <w:pPr>
        <w:pStyle w:val="Odstavecsmlouvy"/>
      </w:pPr>
      <w:r>
        <w:t xml:space="preserve">V případě, že bude Prodávající v prodlení s předáním informací dle odst. </w:t>
      </w:r>
      <w:r>
        <w:fldChar w:fldCharType="begin"/>
      </w:r>
      <w:r>
        <w:instrText xml:space="preserve"> REF _Ref43804893 \n \h </w:instrText>
      </w:r>
      <w:r>
        <w:fldChar w:fldCharType="separate"/>
      </w:r>
      <w:proofErr w:type="gramStart"/>
      <w:r w:rsidR="005730C5">
        <w:t>VII.4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566EB7A" w14:textId="77777777" w:rsidR="002F60B5" w:rsidRDefault="002F60B5" w:rsidP="002F60B5">
      <w:pPr>
        <w:pStyle w:val="Odstavecsmlouvy"/>
        <w:numPr>
          <w:ilvl w:val="0"/>
          <w:numId w:val="0"/>
        </w:numPr>
        <w:ind w:left="567"/>
      </w:pPr>
    </w:p>
    <w:p w14:paraId="38648342" w14:textId="77777777" w:rsidR="00374DA6" w:rsidRDefault="00374DA6" w:rsidP="00374DA6">
      <w:pPr>
        <w:pStyle w:val="Odstavecsmlouvy"/>
      </w:pPr>
      <w:r>
        <w:t>Splatnost smluvních pokut je 21 dnů od doručení výzvy k jejich uhrazení.</w:t>
      </w:r>
    </w:p>
    <w:p w14:paraId="030C4FF3" w14:textId="77777777" w:rsidR="00374DA6" w:rsidRDefault="00374DA6" w:rsidP="00374DA6">
      <w:pPr>
        <w:pStyle w:val="Odstavecsmlouvy"/>
        <w:numPr>
          <w:ilvl w:val="0"/>
          <w:numId w:val="0"/>
        </w:numPr>
        <w:ind w:left="567"/>
      </w:pPr>
    </w:p>
    <w:p w14:paraId="0A63D002" w14:textId="77777777" w:rsidR="00524109" w:rsidRDefault="00524109" w:rsidP="00A865B2">
      <w:pPr>
        <w:pStyle w:val="Odstavecsmlouvy"/>
      </w:pPr>
      <w:r w:rsidRPr="00512E1A">
        <w:t xml:space="preserve">Pokud </w:t>
      </w:r>
      <w:r>
        <w:t xml:space="preserve">Poskytovatel </w:t>
      </w:r>
      <w:r w:rsidRPr="00512E1A">
        <w:t>poruší svou povinnost podle t</w:t>
      </w:r>
      <w:r>
        <w:t xml:space="preserve">éto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322F8F15" w14:textId="77777777" w:rsidR="00524109" w:rsidRDefault="00524109" w:rsidP="00524109">
      <w:pPr>
        <w:pStyle w:val="Odstavecsmlouvy"/>
        <w:numPr>
          <w:ilvl w:val="0"/>
          <w:numId w:val="0"/>
        </w:numPr>
        <w:ind w:left="567"/>
      </w:pPr>
    </w:p>
    <w:p w14:paraId="5CF64710" w14:textId="77777777" w:rsidR="003333C4" w:rsidRDefault="00A865B2" w:rsidP="003333C4">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2736664E" w14:textId="77777777" w:rsidR="003333C4" w:rsidRDefault="003333C4" w:rsidP="003333C4">
      <w:pPr>
        <w:pStyle w:val="Odstavecsmlouvy"/>
        <w:numPr>
          <w:ilvl w:val="0"/>
          <w:numId w:val="0"/>
        </w:numPr>
        <w:ind w:left="567"/>
      </w:pPr>
    </w:p>
    <w:p w14:paraId="5B1AA152" w14:textId="77777777" w:rsidR="003333C4" w:rsidRDefault="00A865B2" w:rsidP="003333C4">
      <w:pPr>
        <w:pStyle w:val="Odstavecsmlouvy"/>
      </w:pPr>
      <w:r>
        <w:t>Objednatel</w:t>
      </w:r>
      <w:r w:rsidRPr="00C92C8B">
        <w:t xml:space="preserve"> se v případě prodlení s úhradou </w:t>
      </w:r>
      <w:r w:rsidR="00524109">
        <w:t xml:space="preserve">kterékoli ceny, k jejíž úhradě je dle této smlouvy povinen, </w:t>
      </w:r>
      <w:r w:rsidRPr="00C92C8B">
        <w:t xml:space="preserve">zavazuje uhradit </w:t>
      </w:r>
      <w:r>
        <w:t>Poskytovateli</w:t>
      </w:r>
      <w:r w:rsidRPr="00C92C8B">
        <w:t xml:space="preserve"> úroky z prodlení ve výši stanov</w:t>
      </w:r>
      <w:r w:rsidR="003333C4">
        <w:t>ené platnými právními předpisy.</w:t>
      </w:r>
    </w:p>
    <w:p w14:paraId="3EBFD3BB" w14:textId="77777777" w:rsidR="003333C4" w:rsidRDefault="003333C4" w:rsidP="003333C4">
      <w:pPr>
        <w:pStyle w:val="Odstavecsmlouvy"/>
        <w:numPr>
          <w:ilvl w:val="0"/>
          <w:numId w:val="0"/>
        </w:numPr>
        <w:ind w:left="567"/>
      </w:pPr>
    </w:p>
    <w:p w14:paraId="28A4FA0A" w14:textId="7BDCEF87" w:rsidR="00A865B2" w:rsidRDefault="00A865B2" w:rsidP="003333C4">
      <w:pPr>
        <w:pStyle w:val="Odstavecsmlouvy"/>
      </w:pPr>
      <w:r w:rsidRPr="00C92C8B">
        <w:t xml:space="preserve">Za podstatné porušení této smlouvy, které opravňuje </w:t>
      </w:r>
      <w:r>
        <w:t>Objednatele</w:t>
      </w:r>
      <w:r w:rsidRPr="00C92C8B">
        <w:t xml:space="preserve"> k odstoupení od této smlouvy, se považuje prodlení </w:t>
      </w:r>
      <w:r>
        <w:t>Poskytovatele</w:t>
      </w:r>
      <w:r w:rsidRPr="00C92C8B">
        <w:t xml:space="preserve"> se splněním kterékoli jeho</w:t>
      </w:r>
      <w:r>
        <w:t xml:space="preserve"> povinnosti sjednané v této smlouvě delší než </w:t>
      </w:r>
      <w:r w:rsidR="00FF080C">
        <w:t>třicet</w:t>
      </w:r>
      <w:r w:rsidR="00FF080C" w:rsidRPr="00C92C8B">
        <w:t xml:space="preserve"> </w:t>
      </w:r>
      <w:r w:rsidRPr="00C92C8B">
        <w:t>kalendářních dnů.</w:t>
      </w:r>
      <w:r w:rsidR="00524109" w:rsidRPr="00524109">
        <w:t xml:space="preserve"> </w:t>
      </w:r>
      <w:r w:rsidR="00524109">
        <w:t xml:space="preserve">Nemá-li Software po podpisu Předávacího protokolu oběma smluvními stranami vlastnosti stanovené touto smlouvou, včetně přílohy č. 1, </w:t>
      </w:r>
      <w:r w:rsidR="001B68C1">
        <w:t xml:space="preserve">nebo Výzvou, </w:t>
      </w:r>
      <w:r w:rsidR="00524109">
        <w:t>jde o podstatné porušení této smlouvy.</w:t>
      </w:r>
    </w:p>
    <w:p w14:paraId="18F8B9D8" w14:textId="77777777" w:rsidR="003333C4" w:rsidRDefault="003333C4" w:rsidP="003333C4">
      <w:pPr>
        <w:pStyle w:val="Odstavecsmlouvy"/>
        <w:numPr>
          <w:ilvl w:val="0"/>
          <w:numId w:val="0"/>
        </w:numPr>
        <w:ind w:left="567"/>
      </w:pPr>
    </w:p>
    <w:p w14:paraId="7CE30B85" w14:textId="637554E9" w:rsidR="003333C4" w:rsidRDefault="003333C4" w:rsidP="003333C4">
      <w:pPr>
        <w:pStyle w:val="Odstavecsmlouvy"/>
      </w:pPr>
      <w:r>
        <w:t>Objednatel je oprávněn od této smlouvy odstoupit, pokud do 10 pracovních dnů od nabytí účinnosti této smlouvy nedojde k uzavření dodatku ke smlouvě č. U/1411/2010/</w:t>
      </w:r>
      <w:proofErr w:type="spellStart"/>
      <w:r>
        <w:t>Gl</w:t>
      </w:r>
      <w:proofErr w:type="spellEnd"/>
      <w:r>
        <w:t xml:space="preserve"> uzavřené mezi týmiž smluvní mi stranami, jehož předmětem bude poskytování služeb pro Software.</w:t>
      </w:r>
    </w:p>
    <w:p w14:paraId="30B3BC07" w14:textId="77777777" w:rsidR="003333C4" w:rsidRDefault="003333C4" w:rsidP="003333C4">
      <w:pPr>
        <w:pStyle w:val="Nadpis1"/>
        <w:numPr>
          <w:ilvl w:val="0"/>
          <w:numId w:val="0"/>
        </w:numPr>
        <w:ind w:left="1080"/>
        <w:jc w:val="both"/>
      </w:pPr>
    </w:p>
    <w:p w14:paraId="5C191C56" w14:textId="0003E6A3" w:rsidR="00726B26" w:rsidRDefault="00726B26" w:rsidP="00C92C8B">
      <w:pPr>
        <w:pStyle w:val="Nadpis1"/>
      </w:pPr>
      <w:r w:rsidRPr="002B77A6">
        <w:t>Závěrečná ujednání</w:t>
      </w:r>
    </w:p>
    <w:p w14:paraId="4A60ECC1" w14:textId="77777777" w:rsidR="00726B26" w:rsidRPr="002B77A6" w:rsidRDefault="00726B26" w:rsidP="00726B26">
      <w:pPr>
        <w:jc w:val="center"/>
        <w:rPr>
          <w:b/>
          <w:bCs/>
        </w:rPr>
      </w:pPr>
    </w:p>
    <w:p w14:paraId="036775F8"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33255401" w14:textId="77777777" w:rsidR="00C468BC" w:rsidRDefault="00C468BC" w:rsidP="00C468BC">
      <w:pPr>
        <w:pStyle w:val="Odstavecsmlouvy"/>
        <w:numPr>
          <w:ilvl w:val="0"/>
          <w:numId w:val="0"/>
        </w:numPr>
        <w:ind w:left="567"/>
      </w:pPr>
    </w:p>
    <w:p w14:paraId="3A148AF2" w14:textId="77777777" w:rsidR="00C468BC" w:rsidRDefault="00827111" w:rsidP="00C92C8B">
      <w:pPr>
        <w:pStyle w:val="Odstavecsmlouvy"/>
      </w:pPr>
      <w:r>
        <w:t>Tato smlouva nabývá účinnosti dnem zveřejnění v registru smluv podle zákona o registru smluv.</w:t>
      </w:r>
    </w:p>
    <w:p w14:paraId="412344EC" w14:textId="77777777" w:rsidR="00C468BC" w:rsidRDefault="00C468BC" w:rsidP="00C468BC">
      <w:pPr>
        <w:pStyle w:val="Odstavecsmlouvy"/>
        <w:numPr>
          <w:ilvl w:val="0"/>
          <w:numId w:val="0"/>
        </w:numPr>
        <w:ind w:left="567"/>
      </w:pPr>
    </w:p>
    <w:p w14:paraId="0117F7DE"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0F8CA2DE" w14:textId="77777777" w:rsidR="001D71E3" w:rsidRDefault="001D71E3" w:rsidP="001D71E3">
      <w:pPr>
        <w:pStyle w:val="Odstavecsmlouvy"/>
        <w:numPr>
          <w:ilvl w:val="0"/>
          <w:numId w:val="0"/>
        </w:numPr>
        <w:ind w:left="567"/>
      </w:pPr>
    </w:p>
    <w:p w14:paraId="2150E05D"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6BC1A3A" w14:textId="77777777" w:rsidR="00C92C8B" w:rsidRDefault="00C92C8B" w:rsidP="00C92C8B">
      <w:pPr>
        <w:pStyle w:val="Odstavecsmlouvy"/>
        <w:numPr>
          <w:ilvl w:val="0"/>
          <w:numId w:val="0"/>
        </w:numPr>
        <w:ind w:left="567"/>
      </w:pPr>
    </w:p>
    <w:p w14:paraId="6946FB5F" w14:textId="77777777" w:rsidR="001D71E3" w:rsidRPr="001D71E3" w:rsidRDefault="002E515C" w:rsidP="001D71E3">
      <w:pPr>
        <w:pStyle w:val="Odstavecsmlouvy"/>
      </w:pPr>
      <w:r>
        <w:lastRenderedPageBreak/>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3265B01" w14:textId="77777777" w:rsidR="001D71E3" w:rsidRPr="001D71E3" w:rsidRDefault="001D71E3" w:rsidP="001D71E3">
      <w:pPr>
        <w:pStyle w:val="Odstavecsmlouvy"/>
        <w:numPr>
          <w:ilvl w:val="0"/>
          <w:numId w:val="0"/>
        </w:numPr>
        <w:ind w:left="567"/>
      </w:pPr>
    </w:p>
    <w:p w14:paraId="517E19FE"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DB7FCF0" w14:textId="77777777" w:rsidR="001D71E3" w:rsidRDefault="001D71E3" w:rsidP="001D71E3">
      <w:pPr>
        <w:pStyle w:val="Odstavecsmlouvy"/>
        <w:numPr>
          <w:ilvl w:val="0"/>
          <w:numId w:val="0"/>
        </w:numPr>
        <w:ind w:left="567"/>
      </w:pPr>
    </w:p>
    <w:p w14:paraId="466F70F5"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3C4D44E4" w14:textId="77777777" w:rsidR="001D71E3" w:rsidRPr="001D71E3" w:rsidRDefault="001D71E3" w:rsidP="001D71E3">
      <w:pPr>
        <w:pStyle w:val="Odstavecsmlouvy"/>
        <w:numPr>
          <w:ilvl w:val="0"/>
          <w:numId w:val="0"/>
        </w:numPr>
        <w:ind w:left="567"/>
      </w:pPr>
    </w:p>
    <w:p w14:paraId="7B58A927" w14:textId="77777777" w:rsidR="00621D0C" w:rsidRDefault="00726B26" w:rsidP="00621D0C">
      <w:pPr>
        <w:pStyle w:val="Odstavecsmlouvy"/>
      </w:pPr>
      <w:r w:rsidRPr="001D71E3">
        <w:rPr>
          <w:snapToGrid w:val="0"/>
        </w:rPr>
        <w:t xml:space="preserve">Tato </w:t>
      </w:r>
      <w:r w:rsidRPr="00684BFA">
        <w:rPr>
          <w:snapToGrid w:val="0"/>
        </w:rPr>
        <w:t xml:space="preserve">smlouva je sepsána ve </w:t>
      </w:r>
      <w:r w:rsidR="009E5E68">
        <w:rPr>
          <w:snapToGrid w:val="0"/>
        </w:rPr>
        <w:t xml:space="preserve">dvou </w:t>
      </w:r>
      <w:r w:rsidRPr="00684BFA">
        <w:rPr>
          <w:snapToGrid w:val="0"/>
        </w:rPr>
        <w:t xml:space="preserve">vyhotoveních stejné platnosti a závaznosti, přičemž </w:t>
      </w:r>
      <w:r w:rsidR="009E5E68">
        <w:rPr>
          <w:snapToGrid w:val="0"/>
        </w:rPr>
        <w:t xml:space="preserve">každá smluvní strana </w:t>
      </w:r>
      <w:r w:rsidR="00023008">
        <w:rPr>
          <w:snapToGrid w:val="0"/>
        </w:rPr>
        <w:t>obdrží jedno</w:t>
      </w:r>
      <w:r w:rsidR="009E5E68">
        <w:rPr>
          <w:snapToGrid w:val="0"/>
        </w:rPr>
        <w:t xml:space="preserve"> vyhotovení</w:t>
      </w:r>
      <w:r w:rsidR="00023008">
        <w:rPr>
          <w:snapToGrid w:val="0"/>
        </w:rPr>
        <w:t>.</w:t>
      </w:r>
    </w:p>
    <w:p w14:paraId="135E4491" w14:textId="77777777" w:rsidR="00621D0C" w:rsidRDefault="00621D0C" w:rsidP="00621D0C">
      <w:pPr>
        <w:pStyle w:val="Odstavecsmlouvy"/>
        <w:numPr>
          <w:ilvl w:val="0"/>
          <w:numId w:val="0"/>
        </w:numPr>
        <w:ind w:left="567"/>
      </w:pPr>
    </w:p>
    <w:p w14:paraId="22792AD8" w14:textId="77777777" w:rsidR="00834341" w:rsidRDefault="00621D0C" w:rsidP="001D71E3">
      <w:pPr>
        <w:pStyle w:val="Odstavecsmlouvy"/>
      </w:pPr>
      <w:r>
        <w:t>N</w:t>
      </w:r>
      <w:r w:rsidR="00834341">
        <w:t>edílnou součástí této smlouvy jsou:</w:t>
      </w:r>
    </w:p>
    <w:p w14:paraId="1D6D74D7" w14:textId="77777777" w:rsidR="00621D0C" w:rsidRDefault="00621D0C" w:rsidP="00834341">
      <w:pPr>
        <w:pStyle w:val="Odstavecsmlouvy"/>
        <w:numPr>
          <w:ilvl w:val="0"/>
          <w:numId w:val="18"/>
        </w:numPr>
      </w:pPr>
      <w:r>
        <w:t>příloha č. 1 obsahujíc</w:t>
      </w:r>
      <w:r w:rsidR="00834341">
        <w:t>í specifika</w:t>
      </w:r>
      <w:r w:rsidR="002F60B5">
        <w:t>ci Software;</w:t>
      </w:r>
    </w:p>
    <w:p w14:paraId="0B2823D1" w14:textId="77777777" w:rsidR="002F60B5" w:rsidRDefault="002F60B5" w:rsidP="00834341">
      <w:pPr>
        <w:pStyle w:val="Odstavecsmlouvy"/>
        <w:numPr>
          <w:ilvl w:val="0"/>
          <w:numId w:val="18"/>
        </w:numPr>
      </w:pPr>
      <w:r>
        <w:t>příloha č. 2 obsahující požadavky na Integraci.</w:t>
      </w:r>
    </w:p>
    <w:p w14:paraId="1DF2B5E3" w14:textId="77777777" w:rsidR="001D71E3" w:rsidRDefault="001D71E3" w:rsidP="001D71E3">
      <w:pPr>
        <w:pStyle w:val="Odstavecsmlouvy"/>
        <w:numPr>
          <w:ilvl w:val="0"/>
          <w:numId w:val="0"/>
        </w:numPr>
        <w:ind w:left="567"/>
      </w:pPr>
    </w:p>
    <w:p w14:paraId="03387858"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286D8842"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361"/>
        <w:gridCol w:w="850"/>
        <w:gridCol w:w="4212"/>
      </w:tblGrid>
      <w:tr w:rsidR="004A45B0" w:rsidRPr="00D722DC" w14:paraId="3181CD4D" w14:textId="77777777" w:rsidTr="00104F0D">
        <w:tc>
          <w:tcPr>
            <w:tcW w:w="4361" w:type="dxa"/>
            <w:shd w:val="clear" w:color="auto" w:fill="auto"/>
          </w:tcPr>
          <w:p w14:paraId="0D111FFA" w14:textId="167AF5D2" w:rsidR="004A45B0" w:rsidRPr="00D722DC" w:rsidRDefault="004A45B0" w:rsidP="00104F0D">
            <w:pPr>
              <w:pStyle w:val="slovn"/>
              <w:numPr>
                <w:ilvl w:val="0"/>
                <w:numId w:val="0"/>
              </w:numPr>
              <w:tabs>
                <w:tab w:val="num" w:pos="567"/>
              </w:tabs>
              <w:spacing w:after="0" w:line="280" w:lineRule="atLeast"/>
              <w:jc w:val="left"/>
              <w:rPr>
                <w:sz w:val="22"/>
                <w:szCs w:val="22"/>
              </w:rPr>
            </w:pPr>
            <w:r w:rsidRPr="00D722DC">
              <w:rPr>
                <w:sz w:val="22"/>
                <w:szCs w:val="22"/>
              </w:rPr>
              <w:t>V</w:t>
            </w:r>
            <w:r w:rsidR="00104F0D">
              <w:rPr>
                <w:sz w:val="22"/>
                <w:szCs w:val="22"/>
              </w:rPr>
              <w:t xml:space="preserve"> Praze </w:t>
            </w:r>
            <w:r w:rsidRPr="00D722DC">
              <w:rPr>
                <w:sz w:val="22"/>
                <w:szCs w:val="22"/>
              </w:rPr>
              <w:t>dne</w:t>
            </w:r>
          </w:p>
        </w:tc>
        <w:tc>
          <w:tcPr>
            <w:tcW w:w="850" w:type="dxa"/>
            <w:shd w:val="clear" w:color="auto" w:fill="auto"/>
          </w:tcPr>
          <w:p w14:paraId="650475B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7723BFCB"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68AFCAB" w14:textId="77777777" w:rsidTr="00104F0D">
        <w:tc>
          <w:tcPr>
            <w:tcW w:w="4361" w:type="dxa"/>
            <w:tcBorders>
              <w:bottom w:val="single" w:sz="4" w:space="0" w:color="auto"/>
            </w:tcBorders>
            <w:shd w:val="clear" w:color="auto" w:fill="auto"/>
          </w:tcPr>
          <w:p w14:paraId="5BADD4D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6CC36F2" w14:textId="77777777" w:rsidR="004A45B0" w:rsidRDefault="004A45B0" w:rsidP="005B49AA">
            <w:pPr>
              <w:pStyle w:val="slovn"/>
              <w:numPr>
                <w:ilvl w:val="0"/>
                <w:numId w:val="0"/>
              </w:numPr>
              <w:tabs>
                <w:tab w:val="num" w:pos="567"/>
              </w:tabs>
              <w:spacing w:after="0" w:line="280" w:lineRule="atLeast"/>
              <w:rPr>
                <w:sz w:val="22"/>
                <w:szCs w:val="22"/>
              </w:rPr>
            </w:pPr>
          </w:p>
          <w:p w14:paraId="5364A3C6" w14:textId="77777777" w:rsidR="005B14DB" w:rsidRDefault="005B14DB" w:rsidP="005B49AA">
            <w:pPr>
              <w:pStyle w:val="slovn"/>
              <w:numPr>
                <w:ilvl w:val="0"/>
                <w:numId w:val="0"/>
              </w:numPr>
              <w:tabs>
                <w:tab w:val="num" w:pos="567"/>
              </w:tabs>
              <w:spacing w:after="0" w:line="280" w:lineRule="atLeast"/>
              <w:rPr>
                <w:sz w:val="22"/>
                <w:szCs w:val="22"/>
              </w:rPr>
            </w:pPr>
          </w:p>
          <w:p w14:paraId="56EBD62B" w14:textId="77777777" w:rsidR="009E5E68" w:rsidRDefault="009E5E68" w:rsidP="005B49AA">
            <w:pPr>
              <w:pStyle w:val="slovn"/>
              <w:numPr>
                <w:ilvl w:val="0"/>
                <w:numId w:val="0"/>
              </w:numPr>
              <w:tabs>
                <w:tab w:val="num" w:pos="567"/>
              </w:tabs>
              <w:spacing w:after="0" w:line="280" w:lineRule="atLeast"/>
              <w:rPr>
                <w:sz w:val="22"/>
                <w:szCs w:val="22"/>
              </w:rPr>
            </w:pPr>
          </w:p>
          <w:p w14:paraId="30841766"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6826D7C"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50" w:type="dxa"/>
            <w:shd w:val="clear" w:color="auto" w:fill="auto"/>
          </w:tcPr>
          <w:p w14:paraId="64AF082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D9E09F"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FB4286B" w14:textId="77777777" w:rsidTr="00104F0D">
        <w:tc>
          <w:tcPr>
            <w:tcW w:w="4361" w:type="dxa"/>
            <w:tcBorders>
              <w:top w:val="single" w:sz="4" w:space="0" w:color="auto"/>
            </w:tcBorders>
            <w:shd w:val="clear" w:color="auto" w:fill="auto"/>
          </w:tcPr>
          <w:p w14:paraId="3D0BFBD8" w14:textId="16C93B09" w:rsidR="004A45B0" w:rsidRPr="00D722DC" w:rsidRDefault="00104F0D" w:rsidP="005B49AA">
            <w:pPr>
              <w:pStyle w:val="slovn"/>
              <w:numPr>
                <w:ilvl w:val="0"/>
                <w:numId w:val="0"/>
              </w:numPr>
              <w:tabs>
                <w:tab w:val="num" w:pos="567"/>
              </w:tabs>
              <w:spacing w:after="0" w:line="280" w:lineRule="atLeast"/>
              <w:jc w:val="center"/>
              <w:rPr>
                <w:b/>
                <w:sz w:val="22"/>
                <w:szCs w:val="22"/>
              </w:rPr>
            </w:pPr>
            <w:r w:rsidRPr="00104F0D">
              <w:rPr>
                <w:b/>
                <w:sz w:val="22"/>
                <w:szCs w:val="22"/>
              </w:rPr>
              <w:t xml:space="preserve">Konica Minolta IT </w:t>
            </w:r>
            <w:proofErr w:type="spellStart"/>
            <w:r w:rsidRPr="00104F0D">
              <w:rPr>
                <w:b/>
                <w:sz w:val="22"/>
                <w:szCs w:val="22"/>
              </w:rPr>
              <w:t>Solutions</w:t>
            </w:r>
            <w:proofErr w:type="spellEnd"/>
            <w:r w:rsidRPr="00104F0D">
              <w:rPr>
                <w:b/>
                <w:sz w:val="22"/>
                <w:szCs w:val="22"/>
              </w:rPr>
              <w:t xml:space="preserve"> Czech a.s.</w:t>
            </w:r>
          </w:p>
          <w:p w14:paraId="0FC97180" w14:textId="7DC1FE5F" w:rsidR="004A45B0" w:rsidRPr="00D722DC" w:rsidRDefault="005F3D8C" w:rsidP="005B49AA">
            <w:pPr>
              <w:pStyle w:val="slovn"/>
              <w:numPr>
                <w:ilvl w:val="0"/>
                <w:numId w:val="0"/>
              </w:numPr>
              <w:tabs>
                <w:tab w:val="num" w:pos="567"/>
              </w:tabs>
              <w:spacing w:after="0" w:line="280" w:lineRule="atLeast"/>
              <w:jc w:val="center"/>
              <w:rPr>
                <w:sz w:val="22"/>
                <w:szCs w:val="22"/>
              </w:rPr>
            </w:pPr>
            <w:r>
              <w:rPr>
                <w:sz w:val="22"/>
                <w:szCs w:val="22"/>
              </w:rPr>
              <w:t>XXXXX</w:t>
            </w:r>
            <w:r w:rsidR="00104F0D">
              <w:rPr>
                <w:sz w:val="22"/>
                <w:szCs w:val="22"/>
              </w:rPr>
              <w:t>, předseda představenstva</w:t>
            </w:r>
          </w:p>
        </w:tc>
        <w:tc>
          <w:tcPr>
            <w:tcW w:w="850" w:type="dxa"/>
            <w:shd w:val="clear" w:color="auto" w:fill="auto"/>
          </w:tcPr>
          <w:p w14:paraId="3E1401C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0953E09"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187993B9" w14:textId="746F3581" w:rsidR="004A45B0" w:rsidRPr="00D722DC" w:rsidRDefault="005F3D8C" w:rsidP="005B49AA">
            <w:pPr>
              <w:pStyle w:val="slovn"/>
              <w:numPr>
                <w:ilvl w:val="0"/>
                <w:numId w:val="0"/>
              </w:numPr>
              <w:tabs>
                <w:tab w:val="num" w:pos="567"/>
              </w:tabs>
              <w:spacing w:after="0" w:line="280" w:lineRule="atLeast"/>
              <w:jc w:val="center"/>
              <w:rPr>
                <w:sz w:val="22"/>
                <w:szCs w:val="22"/>
              </w:rPr>
            </w:pPr>
            <w:r>
              <w:rPr>
                <w:sz w:val="22"/>
                <w:szCs w:val="22"/>
              </w:rPr>
              <w:t>XXXXX</w:t>
            </w:r>
            <w:bookmarkStart w:id="31" w:name="_GoBack"/>
            <w:bookmarkEnd w:id="31"/>
            <w:r w:rsidR="004A45B0" w:rsidRPr="00D722DC">
              <w:rPr>
                <w:sz w:val="22"/>
                <w:szCs w:val="22"/>
              </w:rPr>
              <w:t>, ředitel</w:t>
            </w:r>
          </w:p>
          <w:p w14:paraId="0B24D96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5D7F63F7" w14:textId="77777777" w:rsidR="00726B26" w:rsidRPr="000729CF" w:rsidRDefault="000729CF" w:rsidP="000729CF">
      <w:pPr>
        <w:jc w:val="center"/>
        <w:rPr>
          <w:b/>
        </w:rPr>
      </w:pPr>
      <w:r>
        <w:br w:type="page"/>
      </w:r>
      <w:r w:rsidRPr="000729CF">
        <w:rPr>
          <w:b/>
        </w:rPr>
        <w:lastRenderedPageBreak/>
        <w:t>PŘÍLOHA Č. 1</w:t>
      </w:r>
    </w:p>
    <w:p w14:paraId="7B2AE56D" w14:textId="77777777" w:rsidR="000729CF" w:rsidRPr="000729CF" w:rsidRDefault="000729CF" w:rsidP="000729CF">
      <w:pPr>
        <w:jc w:val="center"/>
        <w:rPr>
          <w:b/>
        </w:rPr>
      </w:pPr>
    </w:p>
    <w:p w14:paraId="37B0799D" w14:textId="0E369327" w:rsidR="000729CF" w:rsidRPr="000729CF" w:rsidRDefault="00A50004" w:rsidP="000729CF">
      <w:pPr>
        <w:jc w:val="center"/>
        <w:rPr>
          <w:b/>
        </w:rPr>
      </w:pPr>
      <w:r>
        <w:rPr>
          <w:b/>
        </w:rPr>
        <w:t>S</w:t>
      </w:r>
      <w:r w:rsidR="000729CF" w:rsidRPr="000729CF">
        <w:rPr>
          <w:b/>
        </w:rPr>
        <w:t xml:space="preserve">pecifikace </w:t>
      </w:r>
      <w:r w:rsidR="00232668">
        <w:rPr>
          <w:b/>
        </w:rPr>
        <w:t>Software</w:t>
      </w:r>
    </w:p>
    <w:p w14:paraId="08364EFC" w14:textId="77777777" w:rsidR="00624835" w:rsidRDefault="00624835" w:rsidP="000729CF"/>
    <w:p w14:paraId="1829EE88" w14:textId="77777777" w:rsidR="00A50004" w:rsidRPr="001356AA" w:rsidRDefault="00A50004" w:rsidP="00A50004">
      <w:pPr>
        <w:pStyle w:val="Nadpis2"/>
        <w:keepLines/>
        <w:numPr>
          <w:ilvl w:val="0"/>
          <w:numId w:val="27"/>
        </w:numPr>
        <w:spacing w:line="240" w:lineRule="auto"/>
        <w:jc w:val="both"/>
        <w:rPr>
          <w:sz w:val="24"/>
          <w:szCs w:val="24"/>
        </w:rPr>
      </w:pPr>
      <w:r w:rsidRPr="001356AA">
        <w:rPr>
          <w:sz w:val="24"/>
          <w:szCs w:val="24"/>
        </w:rPr>
        <w:t>Základní funkčnosti pro ověřování a vyřazování</w:t>
      </w:r>
    </w:p>
    <w:p w14:paraId="1BB09932" w14:textId="77777777" w:rsidR="00A50004" w:rsidRDefault="00A50004" w:rsidP="00A50004">
      <w:pPr>
        <w:spacing w:line="240" w:lineRule="auto"/>
      </w:pPr>
    </w:p>
    <w:p w14:paraId="60F1D912" w14:textId="77777777" w:rsidR="00A50004" w:rsidRDefault="00A50004" w:rsidP="00A50004">
      <w:pPr>
        <w:pStyle w:val="Odstavecseseznamem"/>
        <w:numPr>
          <w:ilvl w:val="1"/>
          <w:numId w:val="28"/>
        </w:numPr>
        <w:spacing w:after="0" w:line="240" w:lineRule="auto"/>
        <w:ind w:left="567" w:hanging="567"/>
        <w:contextualSpacing w:val="0"/>
      </w:pPr>
      <w:r>
        <w:t>Ověření léčiv bez návaznosti na jakýkoli doklad v MD NAV</w:t>
      </w:r>
    </w:p>
    <w:p w14:paraId="39217370" w14:textId="77777777" w:rsidR="00A50004" w:rsidRDefault="00A50004" w:rsidP="00A50004">
      <w:pPr>
        <w:pStyle w:val="Odstavecseseznamem"/>
        <w:numPr>
          <w:ilvl w:val="1"/>
          <w:numId w:val="27"/>
        </w:numPr>
        <w:spacing w:after="0" w:line="240" w:lineRule="auto"/>
        <w:ind w:left="567" w:hanging="567"/>
        <w:contextualSpacing w:val="0"/>
      </w:pPr>
      <w:r>
        <w:t>Načtení a ověření 2D kódů v návaznosti na výdejku</w:t>
      </w:r>
    </w:p>
    <w:p w14:paraId="535658BE" w14:textId="77777777" w:rsidR="00A50004" w:rsidRDefault="00A50004" w:rsidP="00A50004">
      <w:pPr>
        <w:pStyle w:val="Odstavecseseznamem"/>
        <w:numPr>
          <w:ilvl w:val="1"/>
          <w:numId w:val="27"/>
        </w:numPr>
        <w:spacing w:after="0" w:line="240" w:lineRule="auto"/>
        <w:ind w:left="567" w:hanging="567"/>
        <w:contextualSpacing w:val="0"/>
      </w:pPr>
      <w:r>
        <w:t>Ověření 2D kódů přiřazených k výdejce</w:t>
      </w:r>
    </w:p>
    <w:p w14:paraId="32974EAF" w14:textId="77777777" w:rsidR="00A50004" w:rsidRDefault="00A50004" w:rsidP="00A50004">
      <w:pPr>
        <w:pStyle w:val="Odstavecseseznamem"/>
        <w:numPr>
          <w:ilvl w:val="1"/>
          <w:numId w:val="27"/>
        </w:numPr>
        <w:spacing w:after="0" w:line="240" w:lineRule="auto"/>
        <w:ind w:left="567" w:hanging="567"/>
        <w:contextualSpacing w:val="0"/>
      </w:pPr>
      <w:r>
        <w:t>Zrušení návaznosti načtených 2D kódů na konkrétní výdejku</w:t>
      </w:r>
    </w:p>
    <w:p w14:paraId="71B26B5C" w14:textId="77777777" w:rsidR="00A50004" w:rsidRDefault="00A50004" w:rsidP="00A50004">
      <w:pPr>
        <w:pStyle w:val="Odstavecseseznamem"/>
        <w:numPr>
          <w:ilvl w:val="1"/>
          <w:numId w:val="27"/>
        </w:numPr>
        <w:spacing w:after="0" w:line="240" w:lineRule="auto"/>
        <w:ind w:left="567" w:hanging="567"/>
        <w:contextualSpacing w:val="0"/>
      </w:pPr>
      <w:r>
        <w:t>Vyřazení léčiv</w:t>
      </w:r>
    </w:p>
    <w:p w14:paraId="64CD95D1" w14:textId="77777777" w:rsidR="00A50004" w:rsidRDefault="00A50004" w:rsidP="00A50004">
      <w:pPr>
        <w:pStyle w:val="Odstavecseseznamem"/>
        <w:numPr>
          <w:ilvl w:val="1"/>
          <w:numId w:val="27"/>
        </w:numPr>
        <w:spacing w:after="0" w:line="240" w:lineRule="auto"/>
        <w:ind w:left="567" w:hanging="567"/>
        <w:contextualSpacing w:val="0"/>
      </w:pPr>
      <w:r>
        <w:t xml:space="preserve">Vrácení vyřazeného léčiva </w:t>
      </w:r>
    </w:p>
    <w:p w14:paraId="3DF95442" w14:textId="77777777" w:rsidR="00A50004" w:rsidRDefault="00A50004" w:rsidP="00A50004">
      <w:pPr>
        <w:pStyle w:val="Odstavecseseznamem"/>
        <w:numPr>
          <w:ilvl w:val="1"/>
          <w:numId w:val="27"/>
        </w:numPr>
        <w:spacing w:after="0" w:line="240" w:lineRule="auto"/>
        <w:ind w:left="567" w:hanging="567"/>
        <w:contextualSpacing w:val="0"/>
      </w:pPr>
      <w:r>
        <w:t>Ruční přiřazení načtených 2D kódů</w:t>
      </w:r>
    </w:p>
    <w:p w14:paraId="21223FF2" w14:textId="77777777" w:rsidR="00A50004" w:rsidRDefault="00A50004" w:rsidP="00A50004">
      <w:pPr>
        <w:pStyle w:val="Odstavecseseznamem"/>
        <w:spacing w:after="0" w:line="240" w:lineRule="auto"/>
        <w:ind w:left="567"/>
      </w:pPr>
    </w:p>
    <w:p w14:paraId="39FBE3D5" w14:textId="77777777" w:rsidR="00A50004" w:rsidRPr="001356AA" w:rsidRDefault="00A50004" w:rsidP="00A50004">
      <w:pPr>
        <w:pStyle w:val="Nadpis2"/>
        <w:keepLines/>
        <w:numPr>
          <w:ilvl w:val="0"/>
          <w:numId w:val="27"/>
        </w:numPr>
        <w:spacing w:line="240" w:lineRule="auto"/>
        <w:jc w:val="both"/>
        <w:rPr>
          <w:sz w:val="24"/>
          <w:szCs w:val="24"/>
        </w:rPr>
      </w:pPr>
      <w:r w:rsidRPr="001356AA">
        <w:rPr>
          <w:sz w:val="24"/>
          <w:szCs w:val="24"/>
        </w:rPr>
        <w:t>Další a návazné úpravy MD NAV</w:t>
      </w:r>
    </w:p>
    <w:p w14:paraId="0F602FB5" w14:textId="77777777" w:rsidR="00A50004" w:rsidRDefault="00A50004" w:rsidP="00A50004">
      <w:pPr>
        <w:spacing w:line="240" w:lineRule="auto"/>
      </w:pPr>
    </w:p>
    <w:p w14:paraId="7812F79C" w14:textId="77777777" w:rsidR="00A50004" w:rsidRDefault="00A50004" w:rsidP="00A50004">
      <w:pPr>
        <w:pStyle w:val="Odstavecseseznamem"/>
        <w:numPr>
          <w:ilvl w:val="1"/>
          <w:numId w:val="29"/>
        </w:numPr>
        <w:spacing w:after="0" w:line="240" w:lineRule="auto"/>
        <w:ind w:left="567" w:hanging="567"/>
        <w:contextualSpacing w:val="0"/>
      </w:pPr>
      <w:r>
        <w:t>Doplnění funkčnosti pro zpracování fronty úloh</w:t>
      </w:r>
    </w:p>
    <w:p w14:paraId="0AB2191B" w14:textId="77777777" w:rsidR="00A50004" w:rsidRDefault="00A50004" w:rsidP="00A50004">
      <w:pPr>
        <w:pStyle w:val="Odstavecseseznamem"/>
        <w:numPr>
          <w:ilvl w:val="1"/>
          <w:numId w:val="29"/>
        </w:numPr>
        <w:spacing w:after="0" w:line="240" w:lineRule="auto"/>
        <w:ind w:left="567" w:hanging="567"/>
        <w:contextualSpacing w:val="0"/>
      </w:pPr>
      <w:r>
        <w:t>Rozšíření tabulky zboží LP</w:t>
      </w:r>
    </w:p>
    <w:p w14:paraId="6D79D6FB" w14:textId="77777777" w:rsidR="00A50004" w:rsidRDefault="00A50004" w:rsidP="00A50004">
      <w:pPr>
        <w:pStyle w:val="Odstavecseseznamem"/>
        <w:numPr>
          <w:ilvl w:val="1"/>
          <w:numId w:val="29"/>
        </w:numPr>
        <w:spacing w:after="0" w:line="240" w:lineRule="auto"/>
        <w:ind w:left="567" w:hanging="567"/>
        <w:contextualSpacing w:val="0"/>
      </w:pPr>
      <w:r>
        <w:t>Rozšíření tabulek o příznaky podléhá kontrole</w:t>
      </w:r>
    </w:p>
    <w:p w14:paraId="76394188" w14:textId="77777777" w:rsidR="00A50004" w:rsidRDefault="00A50004" w:rsidP="00A50004">
      <w:pPr>
        <w:pStyle w:val="Odstavecseseznamem"/>
        <w:numPr>
          <w:ilvl w:val="1"/>
          <w:numId w:val="29"/>
        </w:numPr>
        <w:spacing w:after="0" w:line="240" w:lineRule="auto"/>
        <w:ind w:left="567" w:hanging="567"/>
        <w:contextualSpacing w:val="0"/>
      </w:pPr>
      <w:r>
        <w:t>Úprava načítání dodacího listu PDK</w:t>
      </w:r>
    </w:p>
    <w:p w14:paraId="0D940368" w14:textId="77777777" w:rsidR="00A50004" w:rsidRDefault="00A50004" w:rsidP="00A50004">
      <w:pPr>
        <w:pStyle w:val="Odstavecseseznamem"/>
        <w:numPr>
          <w:ilvl w:val="1"/>
          <w:numId w:val="29"/>
        </w:numPr>
        <w:spacing w:after="0" w:line="240" w:lineRule="auto"/>
        <w:ind w:left="567" w:hanging="567"/>
        <w:contextualSpacing w:val="0"/>
      </w:pPr>
      <w:r>
        <w:t>Nová tabulka „Log ověření a vyřazení léčiv“</w:t>
      </w:r>
    </w:p>
    <w:p w14:paraId="02537025" w14:textId="77777777" w:rsidR="00A50004" w:rsidRDefault="00A50004" w:rsidP="00A50004">
      <w:pPr>
        <w:pStyle w:val="Odstavecseseznamem"/>
        <w:numPr>
          <w:ilvl w:val="1"/>
          <w:numId w:val="29"/>
        </w:numPr>
        <w:spacing w:after="0" w:line="240" w:lineRule="auto"/>
        <w:ind w:left="567" w:hanging="567"/>
        <w:contextualSpacing w:val="0"/>
      </w:pPr>
      <w:r>
        <w:t>Kontrola před účtováním</w:t>
      </w:r>
    </w:p>
    <w:p w14:paraId="5601FA3B" w14:textId="24BFB167" w:rsidR="00A50004" w:rsidRDefault="00A50004" w:rsidP="00A50004">
      <w:pPr>
        <w:pStyle w:val="Odstavecseseznamem"/>
        <w:numPr>
          <w:ilvl w:val="1"/>
          <w:numId w:val="29"/>
        </w:numPr>
        <w:spacing w:after="0" w:line="240" w:lineRule="auto"/>
        <w:ind w:left="567" w:hanging="567"/>
        <w:contextualSpacing w:val="0"/>
      </w:pPr>
      <w:r>
        <w:t>Úprava výdejek</w:t>
      </w:r>
    </w:p>
    <w:p w14:paraId="1509432C" w14:textId="77777777" w:rsidR="00BE0CA2" w:rsidRDefault="00BE0CA2" w:rsidP="000D38FF">
      <w:pPr>
        <w:pStyle w:val="Odstavecseseznamem"/>
        <w:numPr>
          <w:ilvl w:val="1"/>
          <w:numId w:val="29"/>
        </w:numPr>
        <w:spacing w:after="0" w:line="240" w:lineRule="auto"/>
        <w:ind w:left="567" w:hanging="567"/>
        <w:contextualSpacing w:val="0"/>
        <w:rPr>
          <w:sz w:val="24"/>
          <w:szCs w:val="24"/>
        </w:rPr>
      </w:pPr>
      <w:r w:rsidRPr="000D38FF">
        <w:t>Konfigurační</w:t>
      </w:r>
      <w:r w:rsidRPr="00CB0470">
        <w:rPr>
          <w:sz w:val="24"/>
          <w:szCs w:val="24"/>
        </w:rPr>
        <w:t xml:space="preserve"> funkce</w:t>
      </w:r>
    </w:p>
    <w:p w14:paraId="69058D43" w14:textId="77777777" w:rsidR="00BE0CA2" w:rsidRDefault="00BE0CA2" w:rsidP="00A50004">
      <w:pPr>
        <w:pStyle w:val="Odstavecseseznamem"/>
        <w:numPr>
          <w:ilvl w:val="1"/>
          <w:numId w:val="29"/>
        </w:numPr>
        <w:spacing w:after="0" w:line="240" w:lineRule="auto"/>
        <w:ind w:left="567" w:hanging="567"/>
        <w:contextualSpacing w:val="0"/>
      </w:pPr>
    </w:p>
    <w:p w14:paraId="24E98B85" w14:textId="77777777" w:rsidR="00A50004" w:rsidRDefault="00A50004" w:rsidP="00A50004">
      <w:pPr>
        <w:pStyle w:val="Odstavecseseznamem"/>
        <w:spacing w:after="0" w:line="240" w:lineRule="auto"/>
        <w:ind w:left="567"/>
      </w:pPr>
    </w:p>
    <w:p w14:paraId="2E9A2EE1" w14:textId="77777777" w:rsidR="00A50004" w:rsidRPr="00CB0470" w:rsidRDefault="00A50004" w:rsidP="00A50004">
      <w:pPr>
        <w:pStyle w:val="Nadpis2"/>
        <w:keepLines/>
        <w:numPr>
          <w:ilvl w:val="0"/>
          <w:numId w:val="27"/>
        </w:numPr>
        <w:spacing w:line="240" w:lineRule="auto"/>
        <w:jc w:val="both"/>
        <w:rPr>
          <w:sz w:val="24"/>
          <w:szCs w:val="24"/>
        </w:rPr>
      </w:pPr>
      <w:r w:rsidRPr="00CB0470">
        <w:rPr>
          <w:sz w:val="24"/>
          <w:szCs w:val="24"/>
        </w:rPr>
        <w:t>Funkce externího modulu:</w:t>
      </w:r>
    </w:p>
    <w:p w14:paraId="6C05451A" w14:textId="77777777" w:rsidR="00A50004" w:rsidRPr="00CB0470" w:rsidRDefault="00A50004" w:rsidP="00A50004">
      <w:pPr>
        <w:spacing w:line="240" w:lineRule="auto"/>
        <w:ind w:firstLine="11"/>
        <w:rPr>
          <w:szCs w:val="20"/>
          <w:u w:val="single"/>
        </w:rPr>
      </w:pPr>
      <w:r w:rsidRPr="00CB0470">
        <w:rPr>
          <w:szCs w:val="20"/>
          <w:u w:val="single"/>
        </w:rPr>
        <w:t xml:space="preserve">Řešení bude dodáno jako </w:t>
      </w:r>
      <w:r>
        <w:rPr>
          <w:szCs w:val="20"/>
          <w:u w:val="single"/>
        </w:rPr>
        <w:t xml:space="preserve">soubor spustitelného souboru a </w:t>
      </w:r>
      <w:r w:rsidRPr="00CB0470">
        <w:rPr>
          <w:szCs w:val="20"/>
          <w:u w:val="single"/>
        </w:rPr>
        <w:t>dynamick</w:t>
      </w:r>
      <w:r>
        <w:rPr>
          <w:szCs w:val="20"/>
          <w:u w:val="single"/>
        </w:rPr>
        <w:t>ých</w:t>
      </w:r>
      <w:r w:rsidRPr="00CB0470">
        <w:rPr>
          <w:szCs w:val="20"/>
          <w:u w:val="single"/>
        </w:rPr>
        <w:t xml:space="preserve"> knihov</w:t>
      </w:r>
      <w:r>
        <w:rPr>
          <w:szCs w:val="20"/>
          <w:u w:val="single"/>
        </w:rPr>
        <w:t>e</w:t>
      </w:r>
      <w:r w:rsidRPr="00CB0470">
        <w:rPr>
          <w:szCs w:val="20"/>
          <w:u w:val="single"/>
        </w:rPr>
        <w:t>n (DLL pro OS Windows)</w:t>
      </w:r>
      <w:r>
        <w:rPr>
          <w:szCs w:val="20"/>
          <w:u w:val="single"/>
        </w:rPr>
        <w:t>,</w:t>
      </w:r>
      <w:r w:rsidRPr="00CB0470">
        <w:rPr>
          <w:szCs w:val="20"/>
          <w:u w:val="single"/>
        </w:rPr>
        <w:t xml:space="preserve"> kter</w:t>
      </w:r>
      <w:r>
        <w:rPr>
          <w:szCs w:val="20"/>
          <w:u w:val="single"/>
        </w:rPr>
        <w:t>ý</w:t>
      </w:r>
      <w:r w:rsidRPr="00CB0470">
        <w:rPr>
          <w:szCs w:val="20"/>
          <w:u w:val="single"/>
        </w:rPr>
        <w:t xml:space="preserve"> se bude skládat ze dvou částí:</w:t>
      </w:r>
    </w:p>
    <w:p w14:paraId="2138EEB5" w14:textId="77777777" w:rsidR="00A50004" w:rsidRPr="00CB0470" w:rsidRDefault="00A50004" w:rsidP="00A50004">
      <w:pPr>
        <w:pStyle w:val="Odstavecseseznamem"/>
        <w:numPr>
          <w:ilvl w:val="0"/>
          <w:numId w:val="25"/>
        </w:numPr>
        <w:spacing w:after="0" w:line="240" w:lineRule="auto"/>
        <w:ind w:left="567" w:hanging="567"/>
        <w:rPr>
          <w:szCs w:val="20"/>
        </w:rPr>
      </w:pPr>
      <w:r w:rsidRPr="00CB0470">
        <w:rPr>
          <w:szCs w:val="20"/>
        </w:rPr>
        <w:t>Komunikační modul s</w:t>
      </w:r>
      <w:r>
        <w:rPr>
          <w:szCs w:val="20"/>
        </w:rPr>
        <w:t> </w:t>
      </w:r>
      <w:r w:rsidRPr="00CB0470">
        <w:rPr>
          <w:szCs w:val="20"/>
        </w:rPr>
        <w:t>NMVS</w:t>
      </w:r>
      <w:r>
        <w:rPr>
          <w:szCs w:val="20"/>
        </w:rPr>
        <w:t xml:space="preserve"> (Národní systém – úložiště dat)</w:t>
      </w:r>
      <w:r w:rsidRPr="00CB0470">
        <w:rPr>
          <w:szCs w:val="20"/>
        </w:rPr>
        <w:t>.</w:t>
      </w:r>
    </w:p>
    <w:p w14:paraId="202A5DC3" w14:textId="77777777" w:rsidR="00A50004" w:rsidRPr="00CB0470" w:rsidRDefault="00A50004" w:rsidP="00A50004">
      <w:pPr>
        <w:pStyle w:val="Odstavecseseznamem"/>
        <w:numPr>
          <w:ilvl w:val="0"/>
          <w:numId w:val="25"/>
        </w:numPr>
        <w:spacing w:after="0" w:line="240" w:lineRule="auto"/>
        <w:ind w:left="567" w:hanging="567"/>
        <w:rPr>
          <w:szCs w:val="20"/>
        </w:rPr>
      </w:pPr>
      <w:r w:rsidRPr="00CB0470">
        <w:rPr>
          <w:szCs w:val="20"/>
        </w:rPr>
        <w:t>Uživatelský modul pro ovládání operací pro komunikaci s</w:t>
      </w:r>
      <w:r>
        <w:rPr>
          <w:szCs w:val="20"/>
        </w:rPr>
        <w:t> </w:t>
      </w:r>
      <w:r w:rsidRPr="00CB0470">
        <w:rPr>
          <w:szCs w:val="20"/>
        </w:rPr>
        <w:t>NMVS</w:t>
      </w:r>
      <w:r>
        <w:rPr>
          <w:szCs w:val="20"/>
        </w:rPr>
        <w:t xml:space="preserve"> </w:t>
      </w:r>
      <w:r w:rsidRPr="00CB0470">
        <w:rPr>
          <w:szCs w:val="20"/>
        </w:rPr>
        <w:t>.</w:t>
      </w:r>
    </w:p>
    <w:p w14:paraId="145BCAAC" w14:textId="77777777" w:rsidR="00A50004" w:rsidRPr="00CB0470" w:rsidRDefault="00A50004" w:rsidP="00A50004">
      <w:pPr>
        <w:spacing w:line="240" w:lineRule="auto"/>
        <w:ind w:left="360" w:hanging="360"/>
        <w:rPr>
          <w:szCs w:val="20"/>
        </w:rPr>
      </w:pPr>
      <w:r w:rsidRPr="00CB0470">
        <w:rPr>
          <w:szCs w:val="20"/>
        </w:rPr>
        <w:t>Jedná se o funkce:</w:t>
      </w:r>
    </w:p>
    <w:p w14:paraId="207AF13E" w14:textId="77777777" w:rsidR="00A50004" w:rsidRPr="00CB0470" w:rsidRDefault="00A50004" w:rsidP="00A50004">
      <w:pPr>
        <w:pStyle w:val="Odstavecseseznamem"/>
        <w:numPr>
          <w:ilvl w:val="0"/>
          <w:numId w:val="26"/>
        </w:numPr>
        <w:spacing w:after="0" w:line="240" w:lineRule="auto"/>
        <w:ind w:left="1134" w:hanging="708"/>
        <w:rPr>
          <w:szCs w:val="20"/>
        </w:rPr>
      </w:pPr>
      <w:r w:rsidRPr="00CB0470">
        <w:rPr>
          <w:szCs w:val="20"/>
        </w:rPr>
        <w:t>Načtení a ověření 2D kódu balení pomocí čtečky čárového kódu.</w:t>
      </w:r>
    </w:p>
    <w:p w14:paraId="27859950" w14:textId="77777777" w:rsidR="00A50004" w:rsidRPr="00CB0470" w:rsidRDefault="00A50004" w:rsidP="00A50004">
      <w:pPr>
        <w:pStyle w:val="Odstavecseseznamem"/>
        <w:numPr>
          <w:ilvl w:val="0"/>
          <w:numId w:val="26"/>
        </w:numPr>
        <w:spacing w:after="0" w:line="240" w:lineRule="auto"/>
        <w:ind w:left="1134" w:hanging="708"/>
        <w:rPr>
          <w:szCs w:val="20"/>
        </w:rPr>
      </w:pPr>
      <w:r w:rsidRPr="00CB0470">
        <w:rPr>
          <w:szCs w:val="20"/>
        </w:rPr>
        <w:t>Ruční zadání potřebných údajů pro ověření v případě nečitelnosti 2D kódu.</w:t>
      </w:r>
    </w:p>
    <w:p w14:paraId="4B5757F8" w14:textId="77777777" w:rsidR="00A50004" w:rsidRPr="00CB0470" w:rsidRDefault="00A50004" w:rsidP="00A50004">
      <w:pPr>
        <w:pStyle w:val="Odstavecseseznamem"/>
        <w:numPr>
          <w:ilvl w:val="0"/>
          <w:numId w:val="26"/>
        </w:numPr>
        <w:spacing w:after="0" w:line="240" w:lineRule="auto"/>
        <w:ind w:left="1134" w:hanging="708"/>
        <w:rPr>
          <w:szCs w:val="20"/>
        </w:rPr>
      </w:pPr>
      <w:r w:rsidRPr="00CB0470">
        <w:rPr>
          <w:szCs w:val="20"/>
        </w:rPr>
        <w:t>Jednokrokové ověření a vyřazení unikátního identifikátoru pomocí čtečky čárového kódu.</w:t>
      </w:r>
    </w:p>
    <w:p w14:paraId="70D6B0FD" w14:textId="77777777" w:rsidR="00A50004" w:rsidRPr="00CB0470" w:rsidRDefault="00A50004" w:rsidP="00A50004">
      <w:pPr>
        <w:pStyle w:val="Odstavecseseznamem"/>
        <w:numPr>
          <w:ilvl w:val="0"/>
          <w:numId w:val="26"/>
        </w:numPr>
        <w:spacing w:after="0" w:line="240" w:lineRule="auto"/>
        <w:ind w:left="1134" w:hanging="708"/>
        <w:rPr>
          <w:szCs w:val="20"/>
        </w:rPr>
      </w:pPr>
      <w:r w:rsidRPr="00CB0470">
        <w:rPr>
          <w:szCs w:val="20"/>
        </w:rPr>
        <w:t>Ověření balení přípravků na dokladu (výdejce/příjemce).</w:t>
      </w:r>
    </w:p>
    <w:p w14:paraId="7750C953" w14:textId="77777777" w:rsidR="00A50004" w:rsidRPr="00CB0470" w:rsidRDefault="00A50004" w:rsidP="00A50004">
      <w:pPr>
        <w:pStyle w:val="Odstavecseseznamem"/>
        <w:numPr>
          <w:ilvl w:val="0"/>
          <w:numId w:val="26"/>
        </w:numPr>
        <w:spacing w:after="0" w:line="240" w:lineRule="auto"/>
        <w:ind w:left="1134" w:hanging="708"/>
        <w:rPr>
          <w:szCs w:val="20"/>
        </w:rPr>
      </w:pPr>
      <w:r w:rsidRPr="00CB0470">
        <w:rPr>
          <w:szCs w:val="20"/>
        </w:rPr>
        <w:t>Hromadné vyřazení unikátních identifikátorů včetně důvodu vyřazení.</w:t>
      </w:r>
    </w:p>
    <w:p w14:paraId="71487940" w14:textId="77777777" w:rsidR="00A50004" w:rsidRPr="00CB0470" w:rsidRDefault="00A50004" w:rsidP="00A50004">
      <w:pPr>
        <w:pStyle w:val="Odstavecseseznamem"/>
        <w:spacing w:after="0" w:line="240" w:lineRule="auto"/>
        <w:ind w:left="1440"/>
        <w:rPr>
          <w:szCs w:val="20"/>
        </w:rPr>
      </w:pPr>
    </w:p>
    <w:p w14:paraId="6354F347" w14:textId="63ACBF82" w:rsidR="00A50004" w:rsidRDefault="00A50004" w:rsidP="00A50004">
      <w:pPr>
        <w:spacing w:line="240" w:lineRule="auto"/>
        <w:jc w:val="left"/>
        <w:rPr>
          <w:highlight w:val="yellow"/>
        </w:rPr>
      </w:pPr>
      <w:r>
        <w:rPr>
          <w:highlight w:val="yellow"/>
        </w:rPr>
        <w:br w:type="page"/>
      </w:r>
    </w:p>
    <w:p w14:paraId="77B61B74" w14:textId="490F1604" w:rsidR="00A50004" w:rsidRPr="000729CF" w:rsidRDefault="00A50004" w:rsidP="00A50004">
      <w:pPr>
        <w:jc w:val="center"/>
        <w:rPr>
          <w:b/>
        </w:rPr>
      </w:pPr>
      <w:r w:rsidRPr="000729CF">
        <w:rPr>
          <w:b/>
        </w:rPr>
        <w:lastRenderedPageBreak/>
        <w:t xml:space="preserve">PŘÍLOHA Č. </w:t>
      </w:r>
      <w:r>
        <w:rPr>
          <w:b/>
        </w:rPr>
        <w:t>2</w:t>
      </w:r>
    </w:p>
    <w:p w14:paraId="204839E3" w14:textId="77777777" w:rsidR="00A50004" w:rsidRPr="000729CF" w:rsidRDefault="00A50004" w:rsidP="00A50004">
      <w:pPr>
        <w:jc w:val="center"/>
        <w:rPr>
          <w:b/>
        </w:rPr>
      </w:pPr>
    </w:p>
    <w:p w14:paraId="0DE17FFA" w14:textId="25CB74CC" w:rsidR="00A50004" w:rsidRPr="000729CF" w:rsidRDefault="00A50004" w:rsidP="00A50004">
      <w:pPr>
        <w:jc w:val="center"/>
        <w:rPr>
          <w:b/>
        </w:rPr>
      </w:pPr>
      <w:r>
        <w:rPr>
          <w:b/>
        </w:rPr>
        <w:t>Požadavky na Integraci</w:t>
      </w:r>
    </w:p>
    <w:p w14:paraId="753BCCF8" w14:textId="0E99392F" w:rsidR="00A50004" w:rsidRDefault="00A50004" w:rsidP="000729CF"/>
    <w:p w14:paraId="27336DC8" w14:textId="547F2CCD" w:rsidR="00A50004" w:rsidRDefault="00A50004" w:rsidP="000729CF">
      <w:r>
        <w:t>…</w:t>
      </w:r>
    </w:p>
    <w:p w14:paraId="36B64BCF" w14:textId="77777777" w:rsidR="00834341" w:rsidRDefault="00834341" w:rsidP="003B45F7"/>
    <w:sectPr w:rsidR="00834341" w:rsidSect="00D930BD">
      <w:pgSz w:w="11906" w:h="16838"/>
      <w:pgMar w:top="1417" w:right="926" w:bottom="1417" w:left="90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BAAD" w16cex:dateUtc="2020-09-16T14:24:00Z"/>
  <w16cex:commentExtensible w16cex:durableId="230C9ED4" w16cex:dateUtc="2020-09-16T12:25:00Z"/>
  <w16cex:commentExtensible w16cex:durableId="230CBC17" w16cex:dateUtc="2020-09-16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0FEF1" w16cid:durableId="230C9A30"/>
  <w16cid:commentId w16cid:paraId="51311AA2" w16cid:durableId="230C9A31"/>
  <w16cid:commentId w16cid:paraId="67DB3744" w16cid:durableId="230C9A33"/>
  <w16cid:commentId w16cid:paraId="2A5145F4" w16cid:durableId="230CBAAD"/>
  <w16cid:commentId w16cid:paraId="2F21A794" w16cid:durableId="230C9ED4"/>
  <w16cid:commentId w16cid:paraId="65BDD0DF" w16cid:durableId="230C9A34"/>
  <w16cid:commentId w16cid:paraId="4A1A34C2" w16cid:durableId="230C9A35"/>
  <w16cid:commentId w16cid:paraId="74536E08" w16cid:durableId="230C9A36"/>
  <w16cid:commentId w16cid:paraId="0F03408C" w16cid:durableId="230C9A37"/>
  <w16cid:commentId w16cid:paraId="6436E73B" w16cid:durableId="230CBC17"/>
  <w16cid:commentId w16cid:paraId="79AF9CA6" w16cid:durableId="230C9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9AFF" w14:textId="77777777" w:rsidR="002B1019" w:rsidRDefault="002B1019" w:rsidP="006337DC">
      <w:r>
        <w:separator/>
      </w:r>
    </w:p>
  </w:endnote>
  <w:endnote w:type="continuationSeparator" w:id="0">
    <w:p w14:paraId="706F74A3" w14:textId="77777777" w:rsidR="002B1019" w:rsidRDefault="002B101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6F3" w14:textId="2726AE0F" w:rsidR="003D7E2C" w:rsidRPr="00150F89" w:rsidRDefault="003D7E2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F3D8C">
      <w:rPr>
        <w:noProof/>
        <w:sz w:val="20"/>
        <w:szCs w:val="20"/>
      </w:rPr>
      <w:t>10</w:t>
    </w:r>
    <w:r w:rsidRPr="00150F89">
      <w:rPr>
        <w:sz w:val="20"/>
        <w:szCs w:val="20"/>
      </w:rPr>
      <w:fldChar w:fldCharType="end"/>
    </w:r>
  </w:p>
  <w:p w14:paraId="53159901" w14:textId="77777777" w:rsidR="003D7E2C" w:rsidRDefault="003D7E2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F9AF" w14:textId="2E386E3E" w:rsidR="003D7E2C" w:rsidRDefault="003D7E2C">
    <w:pPr>
      <w:pStyle w:val="Zpat"/>
      <w:jc w:val="center"/>
    </w:pPr>
    <w:r>
      <w:fldChar w:fldCharType="begin"/>
    </w:r>
    <w:r>
      <w:instrText>PAGE   \* MERGEFORMAT</w:instrText>
    </w:r>
    <w:r>
      <w:fldChar w:fldCharType="separate"/>
    </w:r>
    <w:r w:rsidR="005F3D8C">
      <w:rPr>
        <w:noProof/>
      </w:rPr>
      <w:t>2</w:t>
    </w:r>
    <w:r>
      <w:fldChar w:fldCharType="end"/>
    </w:r>
  </w:p>
  <w:p w14:paraId="5D307F6C" w14:textId="77777777" w:rsidR="003D7E2C" w:rsidRDefault="003D7E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08F52" w14:textId="77777777" w:rsidR="002B1019" w:rsidRDefault="002B1019" w:rsidP="006337DC">
      <w:r>
        <w:separator/>
      </w:r>
    </w:p>
  </w:footnote>
  <w:footnote w:type="continuationSeparator" w:id="0">
    <w:p w14:paraId="73954210" w14:textId="77777777" w:rsidR="002B1019" w:rsidRDefault="002B1019"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14E557C"/>
    <w:multiLevelType w:val="multilevel"/>
    <w:tmpl w:val="8FDC74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7E16C0"/>
    <w:multiLevelType w:val="hybridMultilevel"/>
    <w:tmpl w:val="2E141C44"/>
    <w:lvl w:ilvl="0" w:tplc="78FCDA24">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352D97"/>
    <w:multiLevelType w:val="multilevel"/>
    <w:tmpl w:val="BEF445A4"/>
    <w:name w:val="BICZ"/>
    <w:lvl w:ilvl="0">
      <w:start w:val="1"/>
      <w:numFmt w:val="bullet"/>
      <w:lvlText w:val=""/>
      <w:lvlJc w:val="left"/>
      <w:pPr>
        <w:ind w:left="360" w:hanging="360"/>
      </w:pPr>
      <w:rPr>
        <w:rFonts w:ascii="Symbol" w:hAnsi="Symbol" w:hint="default"/>
        <w:color w:val="4F81BD" w:themeColor="accent1"/>
      </w:rPr>
    </w:lvl>
    <w:lvl w:ilvl="1">
      <w:start w:val="1"/>
      <w:numFmt w:val="bullet"/>
      <w:lvlText w:val=""/>
      <w:lvlJc w:val="left"/>
      <w:pPr>
        <w:ind w:left="720" w:hanging="360"/>
      </w:pPr>
      <w:rPr>
        <w:rFonts w:ascii="Symbol" w:hAnsi="Symbol" w:hint="default"/>
        <w:color w:val="95B3D7" w:themeColor="accent1" w:themeTint="99"/>
      </w:rPr>
    </w:lvl>
    <w:lvl w:ilvl="2">
      <w:start w:val="1"/>
      <w:numFmt w:val="bullet"/>
      <w:lvlText w:val=""/>
      <w:lvlJc w:val="left"/>
      <w:pPr>
        <w:ind w:left="1080" w:hanging="360"/>
      </w:pPr>
      <w:rPr>
        <w:rFonts w:ascii="Wingdings" w:hAnsi="Wingdings" w:hint="default"/>
        <w:color w:val="95B3D7" w:themeColor="accent1" w:themeTint="99"/>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31D22D0"/>
    <w:multiLevelType w:val="multilevel"/>
    <w:tmpl w:val="785C0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CED7170"/>
    <w:multiLevelType w:val="multilevel"/>
    <w:tmpl w:val="6D221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37206"/>
    <w:multiLevelType w:val="hybridMultilevel"/>
    <w:tmpl w:val="235AB770"/>
    <w:lvl w:ilvl="0" w:tplc="CBAC3C7E">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4"/>
  </w:num>
  <w:num w:numId="2">
    <w:abstractNumId w:val="8"/>
  </w:num>
  <w:num w:numId="3">
    <w:abstractNumId w:val="0"/>
  </w:num>
  <w:num w:numId="4">
    <w:abstractNumId w:val="10"/>
  </w:num>
  <w:num w:numId="5">
    <w:abstractNumId w:val="2"/>
  </w:num>
  <w:num w:numId="6">
    <w:abstractNumId w:val="11"/>
  </w:num>
  <w:num w:numId="7">
    <w:abstractNumId w:val="8"/>
  </w:num>
  <w:num w:numId="8">
    <w:abstractNumId w:val="8"/>
  </w:num>
  <w:num w:numId="9">
    <w:abstractNumId w:val="8"/>
  </w:num>
  <w:num w:numId="10">
    <w:abstractNumId w:val="8"/>
  </w:num>
  <w:num w:numId="11">
    <w:abstractNumId w:val="6"/>
  </w:num>
  <w:num w:numId="12">
    <w:abstractNumId w:val="1"/>
  </w:num>
  <w:num w:numId="13">
    <w:abstractNumId w:val="13"/>
  </w:num>
  <w:num w:numId="14">
    <w:abstractNumId w:val="8"/>
  </w:num>
  <w:num w:numId="15">
    <w:abstractNumId w:val="9"/>
  </w:num>
  <w:num w:numId="16">
    <w:abstractNumId w:val="8"/>
  </w:num>
  <w:num w:numId="17">
    <w:abstractNumId w:val="8"/>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5"/>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928"/>
    <w:rsid w:val="00027592"/>
    <w:rsid w:val="0003021E"/>
    <w:rsid w:val="00030B09"/>
    <w:rsid w:val="0003714D"/>
    <w:rsid w:val="00055588"/>
    <w:rsid w:val="00061455"/>
    <w:rsid w:val="00064A2C"/>
    <w:rsid w:val="000679BD"/>
    <w:rsid w:val="000729CF"/>
    <w:rsid w:val="00075387"/>
    <w:rsid w:val="00081D58"/>
    <w:rsid w:val="000862FF"/>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4E61"/>
    <w:rsid w:val="000C5285"/>
    <w:rsid w:val="000D38FF"/>
    <w:rsid w:val="000D6CC1"/>
    <w:rsid w:val="000F0CFA"/>
    <w:rsid w:val="000F233C"/>
    <w:rsid w:val="000F5076"/>
    <w:rsid w:val="000F5D02"/>
    <w:rsid w:val="000F6286"/>
    <w:rsid w:val="00104F0D"/>
    <w:rsid w:val="00105B0E"/>
    <w:rsid w:val="00111B0E"/>
    <w:rsid w:val="00115C4E"/>
    <w:rsid w:val="00116BD7"/>
    <w:rsid w:val="00117398"/>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73D6"/>
    <w:rsid w:val="00183B7C"/>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2EAE"/>
    <w:rsid w:val="001F4AA6"/>
    <w:rsid w:val="00200073"/>
    <w:rsid w:val="00201DB5"/>
    <w:rsid w:val="00207F94"/>
    <w:rsid w:val="00217B9D"/>
    <w:rsid w:val="00221180"/>
    <w:rsid w:val="0022612F"/>
    <w:rsid w:val="00232668"/>
    <w:rsid w:val="0023578D"/>
    <w:rsid w:val="00236D62"/>
    <w:rsid w:val="00237B38"/>
    <w:rsid w:val="00241FA8"/>
    <w:rsid w:val="00245011"/>
    <w:rsid w:val="002531BE"/>
    <w:rsid w:val="00257643"/>
    <w:rsid w:val="002804F4"/>
    <w:rsid w:val="00286F30"/>
    <w:rsid w:val="002906DA"/>
    <w:rsid w:val="0029236A"/>
    <w:rsid w:val="002959B0"/>
    <w:rsid w:val="00297F3A"/>
    <w:rsid w:val="002A2DB8"/>
    <w:rsid w:val="002A51C4"/>
    <w:rsid w:val="002A5831"/>
    <w:rsid w:val="002B0C06"/>
    <w:rsid w:val="002B1019"/>
    <w:rsid w:val="002B68E8"/>
    <w:rsid w:val="002C0743"/>
    <w:rsid w:val="002C243A"/>
    <w:rsid w:val="002C2D59"/>
    <w:rsid w:val="002D5641"/>
    <w:rsid w:val="002D7B98"/>
    <w:rsid w:val="002E1C03"/>
    <w:rsid w:val="002E1D0C"/>
    <w:rsid w:val="002E3B6D"/>
    <w:rsid w:val="002E4D60"/>
    <w:rsid w:val="002E515C"/>
    <w:rsid w:val="002E5DF3"/>
    <w:rsid w:val="002E5DFE"/>
    <w:rsid w:val="002F4739"/>
    <w:rsid w:val="002F60B5"/>
    <w:rsid w:val="0030119B"/>
    <w:rsid w:val="0030437C"/>
    <w:rsid w:val="003127FA"/>
    <w:rsid w:val="00315187"/>
    <w:rsid w:val="00322554"/>
    <w:rsid w:val="0033048B"/>
    <w:rsid w:val="003333C4"/>
    <w:rsid w:val="003371CD"/>
    <w:rsid w:val="003376AD"/>
    <w:rsid w:val="003419F4"/>
    <w:rsid w:val="00343B9B"/>
    <w:rsid w:val="0034523E"/>
    <w:rsid w:val="003503FC"/>
    <w:rsid w:val="00352CD1"/>
    <w:rsid w:val="003571AB"/>
    <w:rsid w:val="003603C6"/>
    <w:rsid w:val="00371230"/>
    <w:rsid w:val="00372B4E"/>
    <w:rsid w:val="003743FE"/>
    <w:rsid w:val="00374DA6"/>
    <w:rsid w:val="0037595E"/>
    <w:rsid w:val="00381055"/>
    <w:rsid w:val="00381987"/>
    <w:rsid w:val="00383349"/>
    <w:rsid w:val="00384256"/>
    <w:rsid w:val="003874CE"/>
    <w:rsid w:val="00392A54"/>
    <w:rsid w:val="00393C4D"/>
    <w:rsid w:val="003A2513"/>
    <w:rsid w:val="003A4E4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30BDA"/>
    <w:rsid w:val="00437306"/>
    <w:rsid w:val="004601D0"/>
    <w:rsid w:val="00465985"/>
    <w:rsid w:val="004672FC"/>
    <w:rsid w:val="00472769"/>
    <w:rsid w:val="004756DA"/>
    <w:rsid w:val="0048715C"/>
    <w:rsid w:val="004924D3"/>
    <w:rsid w:val="00492818"/>
    <w:rsid w:val="00494454"/>
    <w:rsid w:val="00494744"/>
    <w:rsid w:val="004953EF"/>
    <w:rsid w:val="00496E63"/>
    <w:rsid w:val="004A45B0"/>
    <w:rsid w:val="004B1019"/>
    <w:rsid w:val="004C2C98"/>
    <w:rsid w:val="004E7425"/>
    <w:rsid w:val="004F1661"/>
    <w:rsid w:val="004F2012"/>
    <w:rsid w:val="004F2036"/>
    <w:rsid w:val="004F6C95"/>
    <w:rsid w:val="00500A87"/>
    <w:rsid w:val="00501DF8"/>
    <w:rsid w:val="00504461"/>
    <w:rsid w:val="00505883"/>
    <w:rsid w:val="005063F3"/>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30C5"/>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9AA"/>
    <w:rsid w:val="005B4FD6"/>
    <w:rsid w:val="005C340C"/>
    <w:rsid w:val="005D13E0"/>
    <w:rsid w:val="005D19EA"/>
    <w:rsid w:val="005D630E"/>
    <w:rsid w:val="005E224A"/>
    <w:rsid w:val="005E41BA"/>
    <w:rsid w:val="005F3D8C"/>
    <w:rsid w:val="005F47C4"/>
    <w:rsid w:val="005F606A"/>
    <w:rsid w:val="0060020F"/>
    <w:rsid w:val="0060495E"/>
    <w:rsid w:val="006130D0"/>
    <w:rsid w:val="00621D0C"/>
    <w:rsid w:val="00624835"/>
    <w:rsid w:val="0062677D"/>
    <w:rsid w:val="0062741D"/>
    <w:rsid w:val="00631A50"/>
    <w:rsid w:val="006337DC"/>
    <w:rsid w:val="006401C9"/>
    <w:rsid w:val="00642A17"/>
    <w:rsid w:val="00646E8E"/>
    <w:rsid w:val="00661C03"/>
    <w:rsid w:val="006714E5"/>
    <w:rsid w:val="00674566"/>
    <w:rsid w:val="006778A2"/>
    <w:rsid w:val="006807B1"/>
    <w:rsid w:val="00682B01"/>
    <w:rsid w:val="00684BFA"/>
    <w:rsid w:val="006913C4"/>
    <w:rsid w:val="006925A2"/>
    <w:rsid w:val="00692870"/>
    <w:rsid w:val="0069784C"/>
    <w:rsid w:val="006A0496"/>
    <w:rsid w:val="006B14CF"/>
    <w:rsid w:val="006B56E5"/>
    <w:rsid w:val="006B5C04"/>
    <w:rsid w:val="006C44FA"/>
    <w:rsid w:val="006D0000"/>
    <w:rsid w:val="006D074E"/>
    <w:rsid w:val="006D3968"/>
    <w:rsid w:val="006D7214"/>
    <w:rsid w:val="006D7971"/>
    <w:rsid w:val="006E4E2A"/>
    <w:rsid w:val="006E6018"/>
    <w:rsid w:val="006F5E44"/>
    <w:rsid w:val="006F6220"/>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56ADC"/>
    <w:rsid w:val="00757411"/>
    <w:rsid w:val="00760797"/>
    <w:rsid w:val="00763381"/>
    <w:rsid w:val="0076415C"/>
    <w:rsid w:val="00765CC7"/>
    <w:rsid w:val="00774539"/>
    <w:rsid w:val="00776CB0"/>
    <w:rsid w:val="00776DBD"/>
    <w:rsid w:val="007800BC"/>
    <w:rsid w:val="00780477"/>
    <w:rsid w:val="00786DD8"/>
    <w:rsid w:val="007930D9"/>
    <w:rsid w:val="007A32F9"/>
    <w:rsid w:val="007A7A0F"/>
    <w:rsid w:val="007B298D"/>
    <w:rsid w:val="007B4F60"/>
    <w:rsid w:val="007B4F96"/>
    <w:rsid w:val="007B5200"/>
    <w:rsid w:val="007B5FDD"/>
    <w:rsid w:val="007C19F2"/>
    <w:rsid w:val="007D0D56"/>
    <w:rsid w:val="007D13B2"/>
    <w:rsid w:val="007D3523"/>
    <w:rsid w:val="007E1B81"/>
    <w:rsid w:val="007E3A84"/>
    <w:rsid w:val="007F0866"/>
    <w:rsid w:val="007F216E"/>
    <w:rsid w:val="00801C57"/>
    <w:rsid w:val="00803984"/>
    <w:rsid w:val="008059D3"/>
    <w:rsid w:val="00812EA1"/>
    <w:rsid w:val="00815539"/>
    <w:rsid w:val="008227EE"/>
    <w:rsid w:val="00827111"/>
    <w:rsid w:val="008316A7"/>
    <w:rsid w:val="00834341"/>
    <w:rsid w:val="00836A00"/>
    <w:rsid w:val="00843126"/>
    <w:rsid w:val="00844063"/>
    <w:rsid w:val="00846663"/>
    <w:rsid w:val="008470BF"/>
    <w:rsid w:val="00847B4A"/>
    <w:rsid w:val="00850EC5"/>
    <w:rsid w:val="008524EE"/>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A31F3"/>
    <w:rsid w:val="008A57E9"/>
    <w:rsid w:val="008B2B91"/>
    <w:rsid w:val="008B5825"/>
    <w:rsid w:val="008B732B"/>
    <w:rsid w:val="008C06CE"/>
    <w:rsid w:val="008C3784"/>
    <w:rsid w:val="008D3394"/>
    <w:rsid w:val="008E627E"/>
    <w:rsid w:val="008F23B0"/>
    <w:rsid w:val="008F5E25"/>
    <w:rsid w:val="008F658D"/>
    <w:rsid w:val="00901A9D"/>
    <w:rsid w:val="00926B15"/>
    <w:rsid w:val="009315A1"/>
    <w:rsid w:val="009349D0"/>
    <w:rsid w:val="009364A6"/>
    <w:rsid w:val="009404F7"/>
    <w:rsid w:val="009436C7"/>
    <w:rsid w:val="00945D74"/>
    <w:rsid w:val="00950039"/>
    <w:rsid w:val="0095515E"/>
    <w:rsid w:val="00960B1F"/>
    <w:rsid w:val="009618B5"/>
    <w:rsid w:val="00971AB6"/>
    <w:rsid w:val="0097477E"/>
    <w:rsid w:val="009811BA"/>
    <w:rsid w:val="00982C4A"/>
    <w:rsid w:val="00985F35"/>
    <w:rsid w:val="0098764F"/>
    <w:rsid w:val="00987E9C"/>
    <w:rsid w:val="00993127"/>
    <w:rsid w:val="00997664"/>
    <w:rsid w:val="009A4267"/>
    <w:rsid w:val="009B0178"/>
    <w:rsid w:val="009B5A6C"/>
    <w:rsid w:val="009C3B3B"/>
    <w:rsid w:val="009C75CE"/>
    <w:rsid w:val="009C7B44"/>
    <w:rsid w:val="009D6F7A"/>
    <w:rsid w:val="009E5E68"/>
    <w:rsid w:val="009F59BB"/>
    <w:rsid w:val="00A00107"/>
    <w:rsid w:val="00A05687"/>
    <w:rsid w:val="00A06BF1"/>
    <w:rsid w:val="00A07E80"/>
    <w:rsid w:val="00A10247"/>
    <w:rsid w:val="00A1270C"/>
    <w:rsid w:val="00A2087D"/>
    <w:rsid w:val="00A2783D"/>
    <w:rsid w:val="00A34037"/>
    <w:rsid w:val="00A34988"/>
    <w:rsid w:val="00A3675B"/>
    <w:rsid w:val="00A46C93"/>
    <w:rsid w:val="00A4770D"/>
    <w:rsid w:val="00A47C60"/>
    <w:rsid w:val="00A50004"/>
    <w:rsid w:val="00A50BC9"/>
    <w:rsid w:val="00A5141C"/>
    <w:rsid w:val="00A54E2B"/>
    <w:rsid w:val="00A6010B"/>
    <w:rsid w:val="00A71E64"/>
    <w:rsid w:val="00A72619"/>
    <w:rsid w:val="00A83813"/>
    <w:rsid w:val="00A865B2"/>
    <w:rsid w:val="00A907EE"/>
    <w:rsid w:val="00A93C3D"/>
    <w:rsid w:val="00A95DAD"/>
    <w:rsid w:val="00A966E9"/>
    <w:rsid w:val="00AA34DF"/>
    <w:rsid w:val="00AA5571"/>
    <w:rsid w:val="00AA752D"/>
    <w:rsid w:val="00AC4202"/>
    <w:rsid w:val="00AC7710"/>
    <w:rsid w:val="00AD7170"/>
    <w:rsid w:val="00AE1423"/>
    <w:rsid w:val="00AE1821"/>
    <w:rsid w:val="00AE2234"/>
    <w:rsid w:val="00AF347D"/>
    <w:rsid w:val="00AF6AA4"/>
    <w:rsid w:val="00B00244"/>
    <w:rsid w:val="00B04FA5"/>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62BE7"/>
    <w:rsid w:val="00B652EC"/>
    <w:rsid w:val="00B67019"/>
    <w:rsid w:val="00B673DC"/>
    <w:rsid w:val="00B72644"/>
    <w:rsid w:val="00B77B55"/>
    <w:rsid w:val="00B8081A"/>
    <w:rsid w:val="00B86A07"/>
    <w:rsid w:val="00B92D38"/>
    <w:rsid w:val="00B945BB"/>
    <w:rsid w:val="00B9584D"/>
    <w:rsid w:val="00BA7DC7"/>
    <w:rsid w:val="00BB3C2F"/>
    <w:rsid w:val="00BB5167"/>
    <w:rsid w:val="00BB6959"/>
    <w:rsid w:val="00BC0763"/>
    <w:rsid w:val="00BC0779"/>
    <w:rsid w:val="00BC1018"/>
    <w:rsid w:val="00BC38C5"/>
    <w:rsid w:val="00BD0B6F"/>
    <w:rsid w:val="00BD3BCD"/>
    <w:rsid w:val="00BD6F4D"/>
    <w:rsid w:val="00BE02E4"/>
    <w:rsid w:val="00BE0CA2"/>
    <w:rsid w:val="00BE1529"/>
    <w:rsid w:val="00BE50CA"/>
    <w:rsid w:val="00BE6F07"/>
    <w:rsid w:val="00BF0811"/>
    <w:rsid w:val="00BF0D07"/>
    <w:rsid w:val="00BF2F20"/>
    <w:rsid w:val="00BF5954"/>
    <w:rsid w:val="00C02A5C"/>
    <w:rsid w:val="00C0348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5B18"/>
    <w:rsid w:val="00C70EF6"/>
    <w:rsid w:val="00C715D8"/>
    <w:rsid w:val="00C71705"/>
    <w:rsid w:val="00C7284F"/>
    <w:rsid w:val="00C752D3"/>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C81"/>
    <w:rsid w:val="00D15E7A"/>
    <w:rsid w:val="00D20310"/>
    <w:rsid w:val="00D221A4"/>
    <w:rsid w:val="00D27E94"/>
    <w:rsid w:val="00D33510"/>
    <w:rsid w:val="00D3417E"/>
    <w:rsid w:val="00D35D83"/>
    <w:rsid w:val="00D4239D"/>
    <w:rsid w:val="00D441FB"/>
    <w:rsid w:val="00D46D7C"/>
    <w:rsid w:val="00D50C1C"/>
    <w:rsid w:val="00D52C27"/>
    <w:rsid w:val="00D54237"/>
    <w:rsid w:val="00D56CD6"/>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C76"/>
    <w:rsid w:val="00DA63C3"/>
    <w:rsid w:val="00DB4BAB"/>
    <w:rsid w:val="00DB6E4C"/>
    <w:rsid w:val="00DC4260"/>
    <w:rsid w:val="00DC647E"/>
    <w:rsid w:val="00DD12BB"/>
    <w:rsid w:val="00DD456C"/>
    <w:rsid w:val="00DF0B22"/>
    <w:rsid w:val="00E02379"/>
    <w:rsid w:val="00E034D5"/>
    <w:rsid w:val="00E052D0"/>
    <w:rsid w:val="00E13E9F"/>
    <w:rsid w:val="00E25574"/>
    <w:rsid w:val="00E315B2"/>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35F2"/>
    <w:rsid w:val="00E81865"/>
    <w:rsid w:val="00E820FB"/>
    <w:rsid w:val="00E8416E"/>
    <w:rsid w:val="00EA0296"/>
    <w:rsid w:val="00EA1A12"/>
    <w:rsid w:val="00EA2854"/>
    <w:rsid w:val="00EA393E"/>
    <w:rsid w:val="00EB2D15"/>
    <w:rsid w:val="00EB3860"/>
    <w:rsid w:val="00EB4FF0"/>
    <w:rsid w:val="00EC6A23"/>
    <w:rsid w:val="00ED0547"/>
    <w:rsid w:val="00ED4756"/>
    <w:rsid w:val="00ED744A"/>
    <w:rsid w:val="00EE571A"/>
    <w:rsid w:val="00EF274D"/>
    <w:rsid w:val="00EF3FF1"/>
    <w:rsid w:val="00EF503F"/>
    <w:rsid w:val="00EF728C"/>
    <w:rsid w:val="00F04E2B"/>
    <w:rsid w:val="00F07A05"/>
    <w:rsid w:val="00F1093C"/>
    <w:rsid w:val="00F10D7B"/>
    <w:rsid w:val="00F24370"/>
    <w:rsid w:val="00F25645"/>
    <w:rsid w:val="00F43EC4"/>
    <w:rsid w:val="00F45871"/>
    <w:rsid w:val="00F45BDE"/>
    <w:rsid w:val="00F47A25"/>
    <w:rsid w:val="00F5367A"/>
    <w:rsid w:val="00F55E3B"/>
    <w:rsid w:val="00F6327E"/>
    <w:rsid w:val="00F7071B"/>
    <w:rsid w:val="00F70BA0"/>
    <w:rsid w:val="00F72C37"/>
    <w:rsid w:val="00F870CA"/>
    <w:rsid w:val="00F87AD3"/>
    <w:rsid w:val="00F91396"/>
    <w:rsid w:val="00F921A1"/>
    <w:rsid w:val="00F92FBB"/>
    <w:rsid w:val="00F93A20"/>
    <w:rsid w:val="00FA05B5"/>
    <w:rsid w:val="00FA1911"/>
    <w:rsid w:val="00FA41D0"/>
    <w:rsid w:val="00FA78DA"/>
    <w:rsid w:val="00FB0C57"/>
    <w:rsid w:val="00FB23A7"/>
    <w:rsid w:val="00FB4FC8"/>
    <w:rsid w:val="00FB50AA"/>
    <w:rsid w:val="00FC798F"/>
    <w:rsid w:val="00FD7577"/>
    <w:rsid w:val="00FE08E1"/>
    <w:rsid w:val="00FE2069"/>
    <w:rsid w:val="00FE5557"/>
    <w:rsid w:val="00FF080C"/>
    <w:rsid w:val="00FF15A0"/>
    <w:rsid w:val="00FF41F7"/>
    <w:rsid w:val="00FF4CCA"/>
    <w:rsid w:val="00FF5A1C"/>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46197E"/>
  <w15:docId w15:val="{AED7FBE6-F03D-4C77-91DA-E4EAA1E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5279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A9C4-6467-495B-9DD5-33E7192BB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5.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6.xml><?xml version="1.0" encoding="utf-8"?>
<ds:datastoreItem xmlns:ds="http://schemas.openxmlformats.org/officeDocument/2006/customXml" ds:itemID="{D24E89CF-3E9D-4D06-96AA-4D0CE4CE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4080</Words>
  <Characters>24349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28373</CharactersWithSpaces>
  <SharedDoc>false</SharedDoc>
  <HLinks>
    <vt:vector size="6" baseType="variant">
      <vt:variant>
        <vt:i4>5046311</vt:i4>
      </vt:variant>
      <vt:variant>
        <vt:i4>3</vt:i4>
      </vt:variant>
      <vt:variant>
        <vt:i4>0</vt:i4>
      </vt:variant>
      <vt:variant>
        <vt:i4>5</vt:i4>
      </vt:variant>
      <vt:variant>
        <vt:lpwstr>mailto:Prochazka.Miloslav@fnbrno.cz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Kotzian Robert</dc:creator>
  <cp:lastModifiedBy>Kotzian Robert</cp:lastModifiedBy>
  <cp:revision>5</cp:revision>
  <cp:lastPrinted>2020-09-11T12:08:00Z</cp:lastPrinted>
  <dcterms:created xsi:type="dcterms:W3CDTF">2020-09-24T07:48:00Z</dcterms:created>
  <dcterms:modified xsi:type="dcterms:W3CDTF">2020-10-16T09:19:00Z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