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E9F" w:rsidRDefault="00D45D9C">
      <w:pPr>
        <w:pStyle w:val="NoList1"/>
        <w:jc w:val="right"/>
        <w:rPr>
          <w:rFonts w:ascii="Arial" w:eastAsia="Arial" w:hAnsi="Arial" w:cs="Arial"/>
          <w:b/>
          <w:spacing w:val="8"/>
          <w:sz w:val="22"/>
          <w:szCs w:val="22"/>
          <w:lang w:val="cs-CZ"/>
        </w:rPr>
      </w:pPr>
      <w:bookmarkStart w:id="0" w:name="_GoBack"/>
      <w:bookmarkEnd w:id="0"/>
      <w:r>
        <w:rPr>
          <w:rFonts w:ascii="Arial" w:eastAsia="Arial" w:hAnsi="Arial" w:cs="Arial"/>
          <w:spacing w:val="8"/>
          <w:lang w:val="cs-CZ" w:eastAsia="cs-CZ"/>
        </w:rPr>
        <w:pict>
          <v:shapetype id="_x0000_t32" coordsize="21600,21600" o:spt="32" o:oned="t" path="m,l21600,21600e" filled="f">
            <v:path arrowok="t" fillok="f" o:connecttype="none"/>
            <o:lock v:ext="edit" shapetype="t"/>
          </v:shapetype>
          <v:shape id="_x0000_s4053" type="#_x0000_t32" style="position:absolute;left:0;text-align:left;margin-left:28.35pt;margin-top:277.85pt;width:14.15pt;height:0;flip:y;z-index:251657216;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color2="black" joinstyle="miter"/>
            <v:textbox>
              <w:txbxContent>
                <w:p w:rsidR="002B6E9F" w:rsidRDefault="002B6E9F"/>
              </w:txbxContent>
            </v:textbox>
            <w10:wrap anchorx="page" anchory="page"/>
          </v:shape>
        </w:pict>
      </w:r>
      <w:r>
        <w:rPr>
          <w:rFonts w:ascii="Arial" w:eastAsia="Arial" w:hAnsi="Arial" w:cs="Arial"/>
          <w:lang w:val="cs-CZ"/>
        </w:rPr>
        <w:pict>
          <v:group id="_x0000_s4050" style="position:absolute;left:0;text-align:left;margin-left:-37.4pt;margin-top:-55.95pt;width:204.6pt;height:118.5pt;z-index:-25165824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2"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9D5828">
        <w:rPr>
          <w:rFonts w:ascii="Arial" w:eastAsia="Arial" w:hAnsi="Arial" w:cs="Arial"/>
          <w:spacing w:val="14"/>
          <w:lang w:val="cs-CZ"/>
        </w:rPr>
        <w:t xml:space="preserve"> </w:t>
      </w:r>
      <w:r w:rsidR="009D5828">
        <w:rPr>
          <w:rFonts w:ascii="Arial" w:eastAsia="Arial" w:hAnsi="Arial" w:cs="Arial"/>
          <w:b/>
          <w:i/>
          <w:spacing w:val="8"/>
          <w:sz w:val="28"/>
          <w:lang w:val="cs-CZ"/>
        </w:rPr>
        <w:t xml:space="preserve"> </w:t>
      </w:r>
      <w:r w:rsidR="009D5828">
        <w:rPr>
          <w:noProof/>
          <w:lang w:val="cs-CZ" w:eastAsia="cs-CZ"/>
        </w:rPr>
        <mc:AlternateContent>
          <mc:Choice Requires="wps">
            <w:drawing>
              <wp:inline distT="0" distB="0" distL="0" distR="0">
                <wp:extent cx="1746000" cy="666750"/>
                <wp:effectExtent l="0" t="0" r="0" b="0"/>
                <wp:docPr id="1" name="Rectangle"/>
                <wp:cNvGraphicFramePr/>
                <a:graphic xmlns:a="http://schemas.openxmlformats.org/drawingml/2006/main">
                  <a:graphicData uri="http://schemas.microsoft.com/office/word/2010/wordprocessingShape">
                    <wps:wsp>
                      <wps:cNvSpPr/>
                      <wps:spPr>
                        <a:xfrm>
                          <a:off x="0" y="0"/>
                          <a:ext cx="1746000" cy="666750"/>
                        </a:xfrm>
                        <a:prstGeom prst="rect">
                          <a:avLst/>
                        </a:prstGeom>
                        <a:solidFill>
                          <a:srgbClr val="FFFFFF">
                            <a:alpha val="100000"/>
                          </a:srgbClr>
                        </a:solidFill>
                        <a:ln w="12700" cap="flat" cmpd="sng">
                          <a:prstDash val="solid"/>
                        </a:ln>
                      </wps:spPr>
                      <wps:txbx>
                        <w:txbxContent>
                          <w:p w:rsidR="002B6E9F" w:rsidRDefault="009D5828">
                            <w:pPr>
                              <w:spacing w:after="60"/>
                              <w:jc w:val="center"/>
                            </w:pPr>
                            <w:r>
                              <w:rPr>
                                <w:sz w:val="18"/>
                              </w:rPr>
                              <w:t>41577/2020-MZE-11141</w:t>
                            </w:r>
                          </w:p>
                          <w:p w:rsidR="002B6E9F" w:rsidRDefault="009D5828">
                            <w:pPr>
                              <w:jc w:val="center"/>
                            </w:pPr>
                            <w:r>
                              <w:rPr>
                                <w:noProof/>
                                <w:lang w:eastAsia="cs-CZ"/>
                              </w:rPr>
                              <w:drawing>
                                <wp:inline distT="0" distB="0" distL="0" distR="0">
                                  <wp:extent cx="1733550" cy="285750"/>
                                  <wp:effectExtent l="0" t="0" r="0" b="0"/>
                                  <wp:docPr id="2" name="Picture 4"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550" cy="285750"/>
                                          </a:xfrm>
                                          <a:prstGeom prst="rect">
                                            <a:avLst/>
                                          </a:prstGeom>
                                        </pic:spPr>
                                      </pic:pic>
                                    </a:graphicData>
                                  </a:graphic>
                                </wp:inline>
                              </w:drawing>
                            </w:r>
                          </w:p>
                          <w:p w:rsidR="002B6E9F" w:rsidRDefault="009D5828">
                            <w:pPr>
                              <w:jc w:val="center"/>
                            </w:pPr>
                            <w:r>
                              <w:rPr>
                                <w:sz w:val="18"/>
                              </w:rPr>
                              <w:t>mze000019495020</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Text Box 1" type="#_x0000_t202" style="margin-left:0pt;margin-top:0pt;width:137.48pt;height:52.5pt;z-index:3072;;v-text-anchor:top;mso-wrap-distance-left:9pt;mso-wrap-distance-top:0pt;mso-wrap-distance-right:9pt;mso-wrap-distance-bottom:0pt;mso-wrap-style:square" fillcolor="#FFFFFF" strokecolor="#000000" strokeweight="0.75pt" stroked="f">
                <w10:wrap type="none"/>
                <v:textbox style="" inset="0pt,3.685pt,0pt,3.685pt">
                  <w:txbxContent>
                    <w:p>
                      <w:pPr>
                        <w:spacing w:after="60"/>
                        <w:jc w:val="center"/>
                        <w:rPr/>
                      </w:pPr>
                      <w:r>
                        <w:rPr>
                          <w:rFonts w:ascii="Arial" w:hAnsi="Arial" w:eastAsia="Arial" w:cs="Arial"/>
                          <w:sz w:val="18"/>
                        </w:rPr>
                        <w:t xml:space="preserve">41577/2020-MZE-11141</w:t>
                      </w:r>
                    </w:p>
                    <w:p>
                      <w:pPr>
                        <w:spacing/>
                        <w:jc w:val="center"/>
                        <w:rPr/>
                      </w:pPr>
                      <w:r>
                        <w:rPr/>
                        <w:drawing>
                          <wp:inline>
                            <wp:extent cx="1733550" cy="285750"/>
                            <wp:docPr id="3" descr="dms_carovy_kod" name="Picture 4" titl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550" cy="285750"/>
                                    </a:xfrm>
                                    <a:prstGeom prst="rect">
                                      <a:avLst/>
                                    </a:prstGeom>
                                  </pic:spPr>
                                </pic:pic>
                              </a:graphicData>
                            </a:graphic>
                          </wp:inline>
                        </w:drawing>
                      </w:r>
                    </w:p>
                    <w:p>
                      <w:pPr>
                        <w:spacing/>
                        <w:jc w:val="center"/>
                        <w:rPr/>
                      </w:pPr>
                      <w:r>
                        <w:rPr>
                          <w:rFonts w:ascii="Arial" w:hAnsi="Arial" w:eastAsia="Arial" w:cs="Arial"/>
                          <w:sz w:val="18"/>
                        </w:rPr>
                        <w:t xml:space="preserve">mze000019495020</w:t>
                      </w:r>
                    </w:p>
                  </w:txbxContent>
                </v:textbox>
              </v:shape>
            </w:pict>
          </mc:Fallback>
        </mc:AlternateContent>
      </w:r>
    </w:p>
    <w:p w:rsidR="002B6E9F" w:rsidRDefault="009D5828">
      <w:pPr>
        <w:rPr>
          <w:szCs w:val="22"/>
        </w:rPr>
      </w:pPr>
      <w:r>
        <w:rPr>
          <w:szCs w:val="22"/>
        </w:rPr>
        <w:t xml:space="preserve"> </w:t>
      </w:r>
    </w:p>
    <w:p w:rsidR="002B6E9F" w:rsidRDefault="009D5828">
      <w:pPr>
        <w:pStyle w:val="Nadpis2"/>
        <w:jc w:val="right"/>
        <w:rPr>
          <w:rFonts w:ascii="Times New Roman" w:eastAsia="Times New Roman" w:hAnsi="Times New Roman" w:cs="Times New Roman"/>
          <w:b/>
          <w:i w:val="0"/>
          <w:sz w:val="16"/>
          <w:szCs w:val="16"/>
        </w:rPr>
      </w:pPr>
      <w:r>
        <w:rPr>
          <w:szCs w:val="22"/>
        </w:rPr>
        <w:t xml:space="preserve"> </w:t>
      </w:r>
      <w:r>
        <w:rPr>
          <w:rFonts w:ascii="Times New Roman" w:eastAsia="Times New Roman" w:hAnsi="Times New Roman" w:cs="Times New Roman"/>
          <w:b/>
          <w:i w:val="0"/>
          <w:sz w:val="16"/>
          <w:szCs w:val="16"/>
        </w:rPr>
        <w:t>347-2019-11141/1</w:t>
      </w:r>
    </w:p>
    <w:p w:rsidR="002B6E9F" w:rsidRDefault="002B6E9F">
      <w:pPr>
        <w:pStyle w:val="Nadpis2"/>
        <w:jc w:val="center"/>
        <w:rPr>
          <w:rFonts w:ascii="Times New Roman" w:eastAsia="Times New Roman" w:hAnsi="Times New Roman" w:cs="Times New Roman"/>
          <w:b/>
          <w:i w:val="0"/>
          <w:szCs w:val="22"/>
        </w:rPr>
      </w:pPr>
    </w:p>
    <w:p w:rsidR="002B6E9F" w:rsidRDefault="009D5828">
      <w:pPr>
        <w:pStyle w:val="Nadpis2"/>
        <w:jc w:val="center"/>
        <w:rPr>
          <w:rFonts w:ascii="Times New Roman" w:eastAsia="Times New Roman" w:hAnsi="Times New Roman" w:cs="Times New Roman"/>
          <w:b/>
          <w:i w:val="0"/>
          <w:szCs w:val="22"/>
        </w:rPr>
      </w:pPr>
      <w:r>
        <w:rPr>
          <w:rFonts w:ascii="Times New Roman" w:eastAsia="Times New Roman" w:hAnsi="Times New Roman" w:cs="Times New Roman"/>
          <w:b/>
          <w:i w:val="0"/>
          <w:szCs w:val="22"/>
        </w:rPr>
        <w:t xml:space="preserve">Dodatek č. 1 </w:t>
      </w:r>
    </w:p>
    <w:p w:rsidR="002B6E9F" w:rsidRDefault="009D5828">
      <w:pPr>
        <w:pStyle w:val="Nadpis2"/>
        <w:jc w:val="center"/>
        <w:rPr>
          <w:rFonts w:ascii="Times New Roman" w:eastAsia="Times New Roman" w:hAnsi="Times New Roman" w:cs="Times New Roman"/>
          <w:b/>
          <w:i w:val="0"/>
          <w:szCs w:val="22"/>
        </w:rPr>
      </w:pPr>
      <w:r>
        <w:rPr>
          <w:rFonts w:ascii="Times New Roman" w:eastAsia="Times New Roman" w:hAnsi="Times New Roman" w:cs="Times New Roman"/>
          <w:b/>
          <w:i w:val="0"/>
          <w:szCs w:val="22"/>
        </w:rPr>
        <w:t>ke Smlouvě o nájmu prostoru sloužícího podnikání</w:t>
      </w:r>
    </w:p>
    <w:p w:rsidR="002B6E9F" w:rsidRDefault="009D5828">
      <w:pPr>
        <w:rPr>
          <w:rFonts w:ascii="Times New Roman" w:eastAsia="Times New Roman" w:hAnsi="Times New Roman" w:cs="Times New Roman"/>
          <w:szCs w:val="22"/>
        </w:rPr>
      </w:pPr>
      <w:r>
        <w:rPr>
          <w:rFonts w:ascii="Times New Roman" w:eastAsia="Times New Roman" w:hAnsi="Times New Roman" w:cs="Times New Roman"/>
        </w:rP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rsidR="002B6E9F" w:rsidRDefault="009D5828">
      <w:pPr>
        <w:rPr>
          <w:rFonts w:ascii="Times New Roman" w:eastAsia="Times New Roman" w:hAnsi="Times New Roman" w:cs="Times New Roman"/>
        </w:rPr>
      </w:pPr>
      <w:r>
        <w:rPr>
          <w:rFonts w:ascii="Times New Roman" w:eastAsia="Times New Roman" w:hAnsi="Times New Roman" w:cs="Times New Roman"/>
        </w:rPr>
        <w:t>mezi stranami:</w:t>
      </w:r>
    </w:p>
    <w:p w:rsidR="002B6E9F" w:rsidRDefault="002B6E9F">
      <w:pPr>
        <w:rPr>
          <w:rFonts w:ascii="Times New Roman" w:eastAsia="Times New Roman" w:hAnsi="Times New Roman" w:cs="Times New Roman"/>
        </w:rPr>
      </w:pPr>
    </w:p>
    <w:p w:rsidR="002B6E9F" w:rsidRDefault="009D5828">
      <w:pPr>
        <w:pStyle w:val="Zkladntext"/>
        <w:rPr>
          <w:rFonts w:eastAsia="Arial"/>
          <w:sz w:val="22"/>
          <w:szCs w:val="22"/>
        </w:rPr>
      </w:pPr>
      <w:r>
        <w:rPr>
          <w:rFonts w:eastAsia="Arial"/>
          <w:b/>
          <w:sz w:val="22"/>
          <w:szCs w:val="22"/>
        </w:rPr>
        <w:t xml:space="preserve">Česká republika – Ministerstvo zemědělství </w:t>
      </w:r>
      <w:r>
        <w:rPr>
          <w:rFonts w:eastAsia="Arial"/>
          <w:sz w:val="22"/>
          <w:szCs w:val="22"/>
        </w:rPr>
        <w:t xml:space="preserve"> </w:t>
      </w:r>
    </w:p>
    <w:p w:rsidR="002B6E9F" w:rsidRDefault="009D5828">
      <w:pPr>
        <w:pStyle w:val="Zkladntext"/>
        <w:rPr>
          <w:rFonts w:eastAsia="Arial"/>
          <w:sz w:val="22"/>
          <w:szCs w:val="22"/>
        </w:rPr>
      </w:pPr>
      <w:r>
        <w:rPr>
          <w:rFonts w:eastAsia="Arial"/>
          <w:sz w:val="22"/>
          <w:szCs w:val="22"/>
        </w:rPr>
        <w:t xml:space="preserve">se sídlem Těšnov 65/17, Nové Město, 110 00 Praha 1, </w:t>
      </w:r>
    </w:p>
    <w:p w:rsidR="002B6E9F" w:rsidRDefault="009D5828">
      <w:pPr>
        <w:pStyle w:val="Zkladntext"/>
        <w:rPr>
          <w:rFonts w:eastAsia="Arial"/>
          <w:sz w:val="22"/>
          <w:szCs w:val="22"/>
        </w:rPr>
      </w:pPr>
      <w:r>
        <w:rPr>
          <w:rFonts w:eastAsia="Arial"/>
          <w:sz w:val="22"/>
          <w:szCs w:val="22"/>
        </w:rPr>
        <w:t xml:space="preserve">za kterou právně jedná Mgr. Pavel Brokeš, ředitel odboru vnitřní správy, na základě Organizačního řádu Ministerstva zemědělství v platném znění, </w:t>
      </w:r>
    </w:p>
    <w:p w:rsidR="002B6E9F" w:rsidRDefault="009D5828">
      <w:pPr>
        <w:pStyle w:val="Zkladntext"/>
        <w:rPr>
          <w:rFonts w:eastAsia="Arial"/>
          <w:sz w:val="22"/>
          <w:szCs w:val="22"/>
        </w:rPr>
      </w:pPr>
      <w:r>
        <w:rPr>
          <w:rFonts w:eastAsia="Arial"/>
          <w:sz w:val="22"/>
          <w:szCs w:val="22"/>
        </w:rPr>
        <w:t>IČ: 00020478</w:t>
      </w:r>
    </w:p>
    <w:p w:rsidR="002B6E9F" w:rsidRDefault="009D5828">
      <w:pPr>
        <w:pStyle w:val="Zkladntext"/>
        <w:rPr>
          <w:rFonts w:eastAsia="Arial"/>
          <w:sz w:val="22"/>
          <w:szCs w:val="22"/>
        </w:rPr>
      </w:pPr>
      <w:r>
        <w:rPr>
          <w:rFonts w:eastAsia="Arial"/>
          <w:sz w:val="22"/>
          <w:szCs w:val="22"/>
        </w:rPr>
        <w:t>DIČ: CZ00020478</w:t>
      </w:r>
      <w:r>
        <w:rPr>
          <w:rFonts w:eastAsia="Arial"/>
          <w:b/>
          <w:color w:val="7030A0"/>
          <w:sz w:val="22"/>
          <w:szCs w:val="22"/>
        </w:rPr>
        <w:t xml:space="preserve"> </w:t>
      </w:r>
      <w:r>
        <w:rPr>
          <w:rFonts w:eastAsia="Arial"/>
          <w:sz w:val="22"/>
          <w:szCs w:val="22"/>
        </w:rPr>
        <w:t>(v postavení výkonu samostatné ekonomické činnosti, osoba povinná k dani, s odkazem na § 5 odst. 1 a 2 a plátce dle § 6 zákona č. 235/2004 Sb., o dani z přidané hodnoty, ve znění pozdějších předpisů)</w:t>
      </w:r>
    </w:p>
    <w:p w:rsidR="002B6E9F" w:rsidRDefault="009D5828">
      <w:pPr>
        <w:pStyle w:val="Zkladntext"/>
        <w:rPr>
          <w:rFonts w:eastAsia="Arial"/>
          <w:sz w:val="22"/>
          <w:szCs w:val="22"/>
        </w:rPr>
      </w:pPr>
      <w:r>
        <w:rPr>
          <w:rFonts w:eastAsia="Arial"/>
          <w:sz w:val="22"/>
          <w:szCs w:val="22"/>
        </w:rPr>
        <w:t>bankovní spojení: ČNB Praha 1</w:t>
      </w:r>
    </w:p>
    <w:p w:rsidR="002B6E9F" w:rsidRDefault="009D5828">
      <w:pPr>
        <w:pStyle w:val="Zkladntext"/>
        <w:rPr>
          <w:rFonts w:eastAsia="Arial"/>
          <w:sz w:val="22"/>
          <w:szCs w:val="22"/>
        </w:rPr>
      </w:pPr>
      <w:r>
        <w:rPr>
          <w:rFonts w:eastAsia="Arial"/>
          <w:sz w:val="22"/>
          <w:szCs w:val="22"/>
        </w:rPr>
        <w:t xml:space="preserve">číslo účtu: </w:t>
      </w:r>
      <w:r w:rsidR="00937E3B">
        <w:rPr>
          <w:rFonts w:eastAsia="Arial"/>
          <w:sz w:val="22"/>
          <w:szCs w:val="22"/>
        </w:rPr>
        <w:t>xxxxxxxxxxxxx</w:t>
      </w:r>
    </w:p>
    <w:p w:rsidR="002B6E9F" w:rsidRDefault="009D5828">
      <w:pPr>
        <w:pStyle w:val="Zkladntext"/>
        <w:rPr>
          <w:rFonts w:eastAsia="Arial"/>
          <w:sz w:val="22"/>
          <w:szCs w:val="22"/>
        </w:rPr>
      </w:pPr>
      <w:r>
        <w:rPr>
          <w:rFonts w:eastAsia="Arial"/>
          <w:sz w:val="22"/>
          <w:szCs w:val="22"/>
        </w:rPr>
        <w:t xml:space="preserve">                       </w:t>
      </w:r>
    </w:p>
    <w:p w:rsidR="002B6E9F" w:rsidRDefault="002B6E9F">
      <w:pPr>
        <w:pStyle w:val="Zkladntext"/>
        <w:ind w:left="708" w:firstLine="708"/>
      </w:pPr>
    </w:p>
    <w:p w:rsidR="002B6E9F" w:rsidRDefault="009D5828">
      <w:pPr>
        <w:rPr>
          <w:rFonts w:ascii="Times New Roman" w:eastAsia="Times New Roman" w:hAnsi="Times New Roman" w:cs="Times New Roman"/>
        </w:rPr>
      </w:pPr>
      <w:r>
        <w:rPr>
          <w:rFonts w:ascii="Times New Roman" w:eastAsia="Times New Roman" w:hAnsi="Times New Roman" w:cs="Times New Roman"/>
        </w:rPr>
        <w:t>Kontaktní osoba: Dana Machačová, referent ORSB.</w:t>
      </w:r>
    </w:p>
    <w:p w:rsidR="002B6E9F" w:rsidRDefault="009D5828">
      <w:pPr>
        <w:rPr>
          <w:rFonts w:ascii="Times New Roman" w:eastAsia="Times New Roman" w:hAnsi="Times New Roman" w:cs="Times New Roman"/>
        </w:rPr>
      </w:pPr>
      <w:r>
        <w:rPr>
          <w:rFonts w:ascii="Times New Roman" w:eastAsia="Times New Roman" w:hAnsi="Times New Roman" w:cs="Times New Roman"/>
        </w:rPr>
        <w:t>se sídlem: Poděbradova 909, 537 01 Chrudim</w:t>
      </w:r>
    </w:p>
    <w:p w:rsidR="002B6E9F" w:rsidRDefault="009D5828">
      <w:pPr>
        <w:rPr>
          <w:rFonts w:ascii="Times New Roman" w:eastAsia="Times New Roman" w:hAnsi="Times New Roman" w:cs="Times New Roman"/>
        </w:rPr>
      </w:pPr>
      <w:r>
        <w:rPr>
          <w:rFonts w:ascii="Times New Roman" w:eastAsia="Times New Roman" w:hAnsi="Times New Roman" w:cs="Times New Roman"/>
        </w:rPr>
        <w:t>tel. 721212371</w:t>
      </w:r>
    </w:p>
    <w:p w:rsidR="002B6E9F" w:rsidRDefault="009D5828">
      <w:pPr>
        <w:rPr>
          <w:rFonts w:ascii="Times New Roman" w:eastAsia="Times New Roman" w:hAnsi="Times New Roman" w:cs="Times New Roman"/>
        </w:rPr>
      </w:pPr>
      <w:r>
        <w:rPr>
          <w:rFonts w:ascii="Times New Roman" w:eastAsia="Times New Roman" w:hAnsi="Times New Roman" w:cs="Times New Roman"/>
        </w:rPr>
        <w:t>e-mail: dana.machacova@mze.cz</w:t>
      </w:r>
    </w:p>
    <w:p w:rsidR="002B6E9F" w:rsidRDefault="009D5828">
      <w:pPr>
        <w:rPr>
          <w:rFonts w:ascii="Times New Roman" w:eastAsia="Times New Roman" w:hAnsi="Times New Roman" w:cs="Times New Roman"/>
        </w:rPr>
      </w:pPr>
      <w:r>
        <w:rPr>
          <w:rFonts w:ascii="Times New Roman" w:eastAsia="Times New Roman" w:hAnsi="Times New Roman" w:cs="Times New Roman"/>
        </w:rPr>
        <w:t xml:space="preserve">Fakturační adresa: sídlo zaměstnance ORSB  </w:t>
      </w:r>
    </w:p>
    <w:p w:rsidR="002B6E9F" w:rsidRDefault="009D5828">
      <w:pPr>
        <w:rPr>
          <w:rFonts w:ascii="Times New Roman" w:eastAsia="Times New Roman" w:hAnsi="Times New Roman" w:cs="Times New Roman"/>
        </w:rPr>
      </w:pPr>
      <w:r>
        <w:rPr>
          <w:rFonts w:ascii="Times New Roman" w:eastAsia="Times New Roman" w:hAnsi="Times New Roman" w:cs="Times New Roman"/>
        </w:rPr>
        <w:t>(dále jen „pronajímatel“ na straně jedné)</w:t>
      </w:r>
    </w:p>
    <w:p w:rsidR="002B6E9F" w:rsidRDefault="002B6E9F">
      <w:pPr>
        <w:rPr>
          <w:rFonts w:ascii="Times New Roman" w:eastAsia="Times New Roman" w:hAnsi="Times New Roman" w:cs="Times New Roman"/>
        </w:rPr>
      </w:pPr>
    </w:p>
    <w:p w:rsidR="002B6E9F" w:rsidRDefault="009D5828">
      <w:pPr>
        <w:rPr>
          <w:rFonts w:ascii="Times New Roman" w:eastAsia="Times New Roman" w:hAnsi="Times New Roman" w:cs="Times New Roman"/>
        </w:rPr>
      </w:pPr>
      <w:r>
        <w:rPr>
          <w:rFonts w:ascii="Times New Roman" w:eastAsia="Times New Roman" w:hAnsi="Times New Roman" w:cs="Times New Roman"/>
        </w:rPr>
        <w:t>a</w:t>
      </w:r>
    </w:p>
    <w:p w:rsidR="002B6E9F" w:rsidRDefault="002B6E9F">
      <w:pPr>
        <w:rPr>
          <w:rFonts w:ascii="Times New Roman" w:eastAsia="Times New Roman" w:hAnsi="Times New Roman" w:cs="Times New Roman"/>
        </w:rPr>
      </w:pPr>
    </w:p>
    <w:p w:rsidR="002B6E9F" w:rsidRDefault="009D5828">
      <w:pPr>
        <w:rPr>
          <w:rFonts w:ascii="Times New Roman" w:eastAsia="Times New Roman" w:hAnsi="Times New Roman" w:cs="Times New Roman"/>
          <w:b/>
          <w:color w:val="000000"/>
        </w:rPr>
      </w:pPr>
      <w:r>
        <w:rPr>
          <w:rFonts w:ascii="Times New Roman" w:eastAsia="Times New Roman" w:hAnsi="Times New Roman" w:cs="Times New Roman"/>
          <w:b/>
          <w:color w:val="000000"/>
        </w:rPr>
        <w:t>Pavel Michalec</w:t>
      </w:r>
    </w:p>
    <w:p w:rsidR="002B6E9F" w:rsidRDefault="009D5828">
      <w:pPr>
        <w:rPr>
          <w:rFonts w:ascii="Times New Roman" w:eastAsia="Times New Roman" w:hAnsi="Times New Roman" w:cs="Times New Roman"/>
          <w:color w:val="000000"/>
        </w:rPr>
      </w:pPr>
      <w:r>
        <w:rPr>
          <w:rFonts w:ascii="Times New Roman" w:eastAsia="Times New Roman" w:hAnsi="Times New Roman" w:cs="Times New Roman"/>
          <w:color w:val="000000"/>
        </w:rPr>
        <w:t>Běstovice 56, Choceň 565 01</w:t>
      </w:r>
    </w:p>
    <w:p w:rsidR="002B6E9F" w:rsidRDefault="009D5828">
      <w:pPr>
        <w:rPr>
          <w:rFonts w:ascii="Times New Roman" w:eastAsia="Times New Roman" w:hAnsi="Times New Roman" w:cs="Times New Roman"/>
          <w:color w:val="000000"/>
        </w:rPr>
      </w:pPr>
      <w:r>
        <w:rPr>
          <w:rFonts w:ascii="Times New Roman" w:eastAsia="Times New Roman" w:hAnsi="Times New Roman" w:cs="Times New Roman"/>
          <w:color w:val="000000"/>
        </w:rPr>
        <w:t>IČ: 42211425</w:t>
      </w:r>
    </w:p>
    <w:p w:rsidR="002B6E9F" w:rsidRDefault="009D582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č. účtu </w:t>
      </w:r>
      <w:r w:rsidR="00BB62A0">
        <w:rPr>
          <w:rFonts w:ascii="Times New Roman" w:eastAsia="Times New Roman" w:hAnsi="Times New Roman" w:cs="Times New Roman"/>
          <w:color w:val="000000"/>
        </w:rPr>
        <w:t>xxxxxxxxxxxxxx</w:t>
      </w:r>
    </w:p>
    <w:p w:rsidR="002B6E9F" w:rsidRDefault="002B6E9F">
      <w:pPr>
        <w:rPr>
          <w:rFonts w:ascii="Times New Roman" w:eastAsia="Times New Roman" w:hAnsi="Times New Roman" w:cs="Times New Roman"/>
          <w:szCs w:val="22"/>
        </w:rPr>
      </w:pPr>
    </w:p>
    <w:p w:rsidR="002B6E9F" w:rsidRDefault="009D5828">
      <w:pPr>
        <w:rPr>
          <w:rFonts w:ascii="Times New Roman" w:eastAsia="Times New Roman" w:hAnsi="Times New Roman" w:cs="Times New Roman"/>
        </w:rPr>
      </w:pPr>
      <w:r>
        <w:rPr>
          <w:rFonts w:ascii="Times New Roman" w:eastAsia="Times New Roman" w:hAnsi="Times New Roman" w:cs="Times New Roman"/>
        </w:rPr>
        <w:t xml:space="preserve">(a oba společně </w:t>
      </w:r>
      <w:r>
        <w:rPr>
          <w:rFonts w:ascii="Times New Roman" w:eastAsia="Times New Roman" w:hAnsi="Times New Roman" w:cs="Times New Roman"/>
          <w:b/>
        </w:rPr>
        <w:t>„smluvní strany“</w:t>
      </w:r>
      <w:r>
        <w:rPr>
          <w:rFonts w:ascii="Times New Roman" w:eastAsia="Times New Roman" w:hAnsi="Times New Roman" w:cs="Times New Roman"/>
        </w:rPr>
        <w:t>)</w:t>
      </w:r>
    </w:p>
    <w:p w:rsidR="002B6E9F" w:rsidRDefault="002B6E9F">
      <w:pPr>
        <w:rPr>
          <w:rFonts w:ascii="Times New Roman" w:eastAsia="Times New Roman" w:hAnsi="Times New Roman" w:cs="Times New Roman"/>
        </w:rPr>
      </w:pPr>
    </w:p>
    <w:p w:rsidR="002B6E9F" w:rsidRDefault="002B6E9F">
      <w:pPr>
        <w:rPr>
          <w:rFonts w:ascii="Times New Roman" w:eastAsia="Times New Roman" w:hAnsi="Times New Roman" w:cs="Times New Roman"/>
        </w:rPr>
      </w:pPr>
    </w:p>
    <w:p w:rsidR="002B6E9F" w:rsidRDefault="009D5828">
      <w:pPr>
        <w:jc w:val="center"/>
        <w:rPr>
          <w:rFonts w:ascii="Times New Roman" w:eastAsia="Times New Roman" w:hAnsi="Times New Roman" w:cs="Times New Roman"/>
          <w:bCs/>
          <w:szCs w:val="22"/>
        </w:rPr>
      </w:pPr>
      <w:r>
        <w:rPr>
          <w:rFonts w:ascii="Times New Roman" w:eastAsia="Times New Roman" w:hAnsi="Times New Roman" w:cs="Times New Roman"/>
          <w:bCs/>
          <w:szCs w:val="22"/>
        </w:rPr>
        <w:t>Článek I</w:t>
      </w:r>
    </w:p>
    <w:p w:rsidR="002B6E9F" w:rsidRDefault="009D5828">
      <w:pPr>
        <w:jc w:val="center"/>
        <w:rPr>
          <w:rFonts w:ascii="Times New Roman" w:eastAsia="Times New Roman" w:hAnsi="Times New Roman" w:cs="Times New Roman"/>
          <w:b/>
          <w:bCs/>
          <w:szCs w:val="22"/>
        </w:rPr>
      </w:pPr>
      <w:r>
        <w:rPr>
          <w:rFonts w:ascii="Times New Roman" w:eastAsia="Times New Roman" w:hAnsi="Times New Roman" w:cs="Times New Roman"/>
          <w:b/>
          <w:bCs/>
          <w:szCs w:val="22"/>
        </w:rPr>
        <w:t>Předmět dodatku</w:t>
      </w:r>
    </w:p>
    <w:p w:rsidR="002B6E9F" w:rsidRDefault="002B6E9F">
      <w:pPr>
        <w:jc w:val="center"/>
        <w:rPr>
          <w:rFonts w:ascii="Times New Roman" w:eastAsia="Times New Roman" w:hAnsi="Times New Roman" w:cs="Times New Roman"/>
          <w:b/>
          <w:bCs/>
          <w:szCs w:val="22"/>
        </w:rPr>
      </w:pPr>
    </w:p>
    <w:p w:rsidR="002B6E9F" w:rsidRDefault="009D5828">
      <w:pPr>
        <w:rPr>
          <w:rFonts w:ascii="Times New Roman" w:eastAsia="Times New Roman" w:hAnsi="Times New Roman" w:cs="Times New Roman"/>
          <w:b/>
          <w:bCs/>
          <w:szCs w:val="22"/>
        </w:rPr>
      </w:pPr>
      <w:r>
        <w:rPr>
          <w:rFonts w:ascii="Times New Roman" w:eastAsia="Times New Roman" w:hAnsi="Times New Roman" w:cs="Times New Roman"/>
          <w:b/>
          <w:bCs/>
          <w:szCs w:val="22"/>
        </w:rPr>
        <w:t xml:space="preserve"> </w:t>
      </w:r>
    </w:p>
    <w:p w:rsidR="002B6E9F" w:rsidRDefault="009D5828">
      <w:pPr>
        <w:rPr>
          <w:rFonts w:ascii="Times New Roman" w:eastAsia="Times New Roman" w:hAnsi="Times New Roman" w:cs="Times New Roman"/>
          <w:bCs/>
          <w:szCs w:val="22"/>
        </w:rPr>
      </w:pPr>
      <w:r>
        <w:rPr>
          <w:rFonts w:ascii="Times New Roman" w:eastAsia="Times New Roman" w:hAnsi="Times New Roman" w:cs="Times New Roman"/>
          <w:bCs/>
          <w:szCs w:val="22"/>
        </w:rPr>
        <w:t>Smluvní strany uzavřely dne 3. 7. 2019 Smlouvu o nájmu nebytových prostor situovaných v budově MZe Pardubicích B. Němcové 231.</w:t>
      </w:r>
    </w:p>
    <w:p w:rsidR="002B6E9F" w:rsidRDefault="009D5828">
      <w:pPr>
        <w:rPr>
          <w:rFonts w:ascii="Times New Roman" w:eastAsia="Times New Roman" w:hAnsi="Times New Roman" w:cs="Times New Roman"/>
          <w:szCs w:val="22"/>
        </w:rPr>
      </w:pPr>
      <w:r>
        <w:rPr>
          <w:rFonts w:ascii="Times New Roman" w:eastAsia="Times New Roman" w:hAnsi="Times New Roman" w:cs="Times New Roman"/>
          <w:szCs w:val="22"/>
        </w:rPr>
        <w:t>Smluvní strany tímto uzavírají dodatek č. 1, přičemž jeho předmětem je úprava čl. IV. Doba trvání nájmu nebytových prostor, jak je uvedeno v čl. II. tohoto Dodatku č. 1.</w:t>
      </w:r>
    </w:p>
    <w:p w:rsidR="002B6E9F" w:rsidRDefault="002B6E9F">
      <w:pPr>
        <w:rPr>
          <w:rFonts w:ascii="Times New Roman" w:eastAsia="Times New Roman" w:hAnsi="Times New Roman" w:cs="Times New Roman"/>
          <w:b/>
          <w:bCs/>
          <w:szCs w:val="22"/>
        </w:rPr>
      </w:pPr>
    </w:p>
    <w:p w:rsidR="002B6E9F" w:rsidRDefault="009D5828">
      <w:pPr>
        <w:rPr>
          <w:rFonts w:ascii="Times New Roman" w:eastAsia="Times New Roman" w:hAnsi="Times New Roman" w:cs="Times New Roman"/>
          <w:szCs w:val="22"/>
        </w:rPr>
      </w:pPr>
      <w:r>
        <w:rPr>
          <w:rFonts w:ascii="Times New Roman" w:eastAsia="Times New Roman" w:hAnsi="Times New Roman" w:cs="Times New Roman"/>
          <w:szCs w:val="22"/>
        </w:rPr>
        <w:t xml:space="preserve"> Česká republika je vlastníkem a Ministerstvo zemědělství je příslušné hospodařit s pozemkem parc. č. st. 6930/2,  na níž se nachází budova č. p. 231 v k. ú. Pardubice, vše zapsané na LV 13014 u Katastrálního úřadu pro Pardubický kraj, Katastrální pracoviště Pardubice na adrese Čechovo nábřeží </w:t>
      </w:r>
      <w:r>
        <w:rPr>
          <w:rFonts w:ascii="Times New Roman" w:eastAsia="Times New Roman" w:hAnsi="Times New Roman" w:cs="Times New Roman"/>
          <w:szCs w:val="22"/>
        </w:rPr>
        <w:lastRenderedPageBreak/>
        <w:t xml:space="preserve">1791, 530 03 Pardubice. Příslušnost hospodařit s majetkem státu vznikla na základě Smlouvy o převodu práva hospodaření s majetkem státu ze dne 31. 12. 1998 a základě kupní smlouvy 122-2019-11141. Budova č. p. 231 se dále nachází na parc. č. 6930/4, zapsané na LV </w:t>
      </w:r>
      <w:r>
        <w:rPr>
          <w:rFonts w:ascii="Times New Roman" w:eastAsia="Times New Roman" w:hAnsi="Times New Roman" w:cs="Times New Roman"/>
          <w:szCs w:val="22"/>
          <w:lang w:eastAsia="cs-CZ"/>
        </w:rPr>
        <w:t>50001,</w:t>
      </w:r>
      <w:r>
        <w:rPr>
          <w:rFonts w:ascii="Times New Roman" w:eastAsia="Times New Roman" w:hAnsi="Times New Roman" w:cs="Times New Roman"/>
          <w:szCs w:val="22"/>
        </w:rPr>
        <w:t xml:space="preserve"> jejímž vlastníkem je </w:t>
      </w:r>
      <w:r>
        <w:rPr>
          <w:rFonts w:ascii="Times New Roman" w:eastAsia="Times New Roman" w:hAnsi="Times New Roman" w:cs="Times New Roman"/>
          <w:szCs w:val="22"/>
          <w:lang w:eastAsia="cs-CZ"/>
        </w:rPr>
        <w:t>Statutární město Pardubice</w:t>
      </w:r>
    </w:p>
    <w:p w:rsidR="002B6E9F" w:rsidRDefault="009D5828">
      <w:pPr>
        <w:pStyle w:val="Zkladntext"/>
        <w:rPr>
          <w:sz w:val="22"/>
          <w:szCs w:val="22"/>
        </w:rPr>
      </w:pPr>
      <w:r>
        <w:rPr>
          <w:sz w:val="22"/>
          <w:szCs w:val="22"/>
        </w:rPr>
        <w:t>(dále jen „budova“).</w:t>
      </w:r>
    </w:p>
    <w:p w:rsidR="002B6E9F" w:rsidRDefault="009D5828">
      <w:pPr>
        <w:jc w:val="center"/>
        <w:rPr>
          <w:rFonts w:ascii="Times New Roman" w:eastAsia="Times New Roman" w:hAnsi="Times New Roman" w:cs="Times New Roman"/>
          <w:szCs w:val="22"/>
        </w:rPr>
      </w:pPr>
      <w:r>
        <w:rPr>
          <w:rFonts w:ascii="Times New Roman" w:eastAsia="Times New Roman" w:hAnsi="Times New Roman" w:cs="Times New Roman"/>
          <w:szCs w:val="22"/>
        </w:rPr>
        <w:t>Článek II.</w:t>
      </w:r>
    </w:p>
    <w:p w:rsidR="002B6E9F" w:rsidRDefault="009D5828">
      <w:pPr>
        <w:jc w:val="center"/>
        <w:rPr>
          <w:rFonts w:ascii="Times New Roman" w:eastAsia="Times New Roman" w:hAnsi="Times New Roman" w:cs="Times New Roman"/>
          <w:b/>
          <w:szCs w:val="22"/>
        </w:rPr>
      </w:pPr>
      <w:r>
        <w:rPr>
          <w:rFonts w:ascii="Times New Roman" w:eastAsia="Times New Roman" w:hAnsi="Times New Roman" w:cs="Times New Roman"/>
          <w:b/>
          <w:szCs w:val="22"/>
        </w:rPr>
        <w:t>Doba trvání nájmu</w:t>
      </w:r>
    </w:p>
    <w:p w:rsidR="002B6E9F" w:rsidRDefault="002B6E9F">
      <w:pPr>
        <w:jc w:val="left"/>
        <w:rPr>
          <w:rFonts w:ascii="Times New Roman" w:eastAsia="Times New Roman" w:hAnsi="Times New Roman" w:cs="Times New Roman"/>
          <w:b/>
          <w:szCs w:val="22"/>
        </w:rPr>
      </w:pPr>
    </w:p>
    <w:p w:rsidR="002B6E9F" w:rsidRDefault="002B6E9F">
      <w:pPr>
        <w:jc w:val="left"/>
        <w:rPr>
          <w:rFonts w:ascii="Times New Roman" w:eastAsia="Times New Roman" w:hAnsi="Times New Roman" w:cs="Times New Roman"/>
          <w:b/>
          <w:szCs w:val="22"/>
        </w:rPr>
      </w:pPr>
    </w:p>
    <w:p w:rsidR="002B6E9F" w:rsidRDefault="009D5828">
      <w:pPr>
        <w:pStyle w:val="Odstavecseseznamem"/>
        <w:numPr>
          <w:ilvl w:val="0"/>
          <w:numId w:val="19"/>
        </w:numPr>
        <w:jc w:val="left"/>
        <w:rPr>
          <w:rFonts w:ascii="Times New Roman" w:eastAsia="Times New Roman" w:hAnsi="Times New Roman" w:cs="Times New Roman"/>
          <w:szCs w:val="22"/>
        </w:rPr>
      </w:pPr>
      <w:r>
        <w:rPr>
          <w:rFonts w:ascii="Times New Roman" w:eastAsia="Times New Roman" w:hAnsi="Times New Roman" w:cs="Times New Roman"/>
          <w:szCs w:val="22"/>
        </w:rPr>
        <w:t xml:space="preserve">Nájem podle tohoto dodatku se sjednává na dobu určitou </w:t>
      </w:r>
    </w:p>
    <w:p w:rsidR="002B6E9F" w:rsidRDefault="009D5828">
      <w:pPr>
        <w:pStyle w:val="Odstavecseseznamem"/>
        <w:jc w:val="left"/>
        <w:rPr>
          <w:rFonts w:ascii="Times New Roman" w:eastAsia="Times New Roman" w:hAnsi="Times New Roman" w:cs="Times New Roman"/>
          <w:szCs w:val="22"/>
        </w:rPr>
      </w:pPr>
      <w:r>
        <w:rPr>
          <w:rFonts w:ascii="Times New Roman" w:eastAsia="Times New Roman" w:hAnsi="Times New Roman" w:cs="Times New Roman"/>
          <w:szCs w:val="22"/>
        </w:rPr>
        <w:t xml:space="preserve">od </w:t>
      </w:r>
      <w:r>
        <w:rPr>
          <w:rFonts w:ascii="Times New Roman" w:eastAsia="Times New Roman" w:hAnsi="Times New Roman" w:cs="Times New Roman"/>
          <w:b/>
          <w:szCs w:val="22"/>
        </w:rPr>
        <w:t>1. 7. 2019 do 30. 6. 2023</w:t>
      </w:r>
      <w:r>
        <w:rPr>
          <w:rFonts w:ascii="Times New Roman" w:eastAsia="Times New Roman" w:hAnsi="Times New Roman" w:cs="Times New Roman"/>
          <w:szCs w:val="22"/>
        </w:rPr>
        <w:t>.</w:t>
      </w:r>
    </w:p>
    <w:p w:rsidR="002B6E9F" w:rsidRDefault="002B6E9F">
      <w:pPr>
        <w:pStyle w:val="Odstavecseseznamem"/>
        <w:jc w:val="left"/>
        <w:rPr>
          <w:rFonts w:ascii="Times New Roman" w:eastAsia="Times New Roman" w:hAnsi="Times New Roman" w:cs="Times New Roman"/>
          <w:szCs w:val="22"/>
        </w:rPr>
      </w:pPr>
    </w:p>
    <w:p w:rsidR="002B6E9F" w:rsidRDefault="002B6E9F">
      <w:pPr>
        <w:pStyle w:val="Odstavecseseznamem"/>
        <w:jc w:val="left"/>
        <w:rPr>
          <w:rFonts w:ascii="Times New Roman" w:eastAsia="Times New Roman" w:hAnsi="Times New Roman" w:cs="Times New Roman"/>
          <w:szCs w:val="22"/>
        </w:rPr>
      </w:pPr>
    </w:p>
    <w:p w:rsidR="002B6E9F" w:rsidRDefault="009D5828">
      <w:pPr>
        <w:pStyle w:val="Zkladntext"/>
        <w:tabs>
          <w:tab w:val="left" w:pos="142"/>
          <w:tab w:val="left" w:pos="5245"/>
        </w:tabs>
        <w:jc w:val="center"/>
        <w:rPr>
          <w:sz w:val="22"/>
          <w:szCs w:val="22"/>
        </w:rPr>
      </w:pPr>
      <w:r>
        <w:rPr>
          <w:sz w:val="22"/>
          <w:szCs w:val="22"/>
        </w:rPr>
        <w:t>Článek III</w:t>
      </w:r>
    </w:p>
    <w:p w:rsidR="002B6E9F" w:rsidRDefault="009D5828">
      <w:pPr>
        <w:pStyle w:val="Zkladntext"/>
        <w:tabs>
          <w:tab w:val="left" w:pos="142"/>
          <w:tab w:val="left" w:pos="5245"/>
        </w:tabs>
        <w:jc w:val="center"/>
        <w:rPr>
          <w:b/>
          <w:sz w:val="22"/>
          <w:szCs w:val="22"/>
        </w:rPr>
      </w:pPr>
      <w:r>
        <w:rPr>
          <w:b/>
          <w:sz w:val="22"/>
          <w:szCs w:val="22"/>
        </w:rPr>
        <w:t>Závěrečná ustanovení</w:t>
      </w:r>
    </w:p>
    <w:p w:rsidR="002B6E9F" w:rsidRDefault="002B6E9F">
      <w:pPr>
        <w:pStyle w:val="Zkladntext"/>
        <w:tabs>
          <w:tab w:val="left" w:pos="142"/>
          <w:tab w:val="left" w:pos="5245"/>
        </w:tabs>
        <w:jc w:val="left"/>
        <w:rPr>
          <w:b/>
          <w:sz w:val="22"/>
          <w:szCs w:val="22"/>
        </w:rPr>
      </w:pPr>
    </w:p>
    <w:p w:rsidR="002B6E9F" w:rsidRDefault="009D5828">
      <w:pPr>
        <w:pStyle w:val="Zkladntext"/>
        <w:numPr>
          <w:ilvl w:val="0"/>
          <w:numId w:val="20"/>
        </w:numPr>
        <w:tabs>
          <w:tab w:val="left" w:pos="142"/>
          <w:tab w:val="left" w:pos="5245"/>
        </w:tabs>
        <w:jc w:val="left"/>
        <w:rPr>
          <w:sz w:val="22"/>
          <w:szCs w:val="22"/>
        </w:rPr>
      </w:pPr>
      <w:r>
        <w:rPr>
          <w:sz w:val="22"/>
          <w:szCs w:val="22"/>
        </w:rPr>
        <w:t xml:space="preserve">Tento dodatek nabývá účinnosti k datu </w:t>
      </w:r>
      <w:r>
        <w:rPr>
          <w:b/>
          <w:sz w:val="22"/>
          <w:szCs w:val="22"/>
        </w:rPr>
        <w:t>1. 1. 2021</w:t>
      </w:r>
      <w:r>
        <w:rPr>
          <w:sz w:val="22"/>
          <w:szCs w:val="22"/>
        </w:rPr>
        <w:t>.</w:t>
      </w:r>
    </w:p>
    <w:p w:rsidR="002B6E9F" w:rsidRDefault="009D5828">
      <w:pPr>
        <w:pStyle w:val="Zkladntext"/>
        <w:numPr>
          <w:ilvl w:val="0"/>
          <w:numId w:val="20"/>
        </w:numPr>
        <w:tabs>
          <w:tab w:val="left" w:pos="142"/>
          <w:tab w:val="left" w:pos="5245"/>
        </w:tabs>
        <w:jc w:val="left"/>
        <w:rPr>
          <w:sz w:val="22"/>
          <w:szCs w:val="22"/>
        </w:rPr>
      </w:pPr>
      <w:r>
        <w:rPr>
          <w:sz w:val="22"/>
          <w:szCs w:val="22"/>
        </w:rPr>
        <w:t>Ostatní ujednání zápisu se nemění.</w:t>
      </w:r>
    </w:p>
    <w:p w:rsidR="002B6E9F" w:rsidRDefault="009D5828">
      <w:pPr>
        <w:pStyle w:val="Zkladntext"/>
        <w:numPr>
          <w:ilvl w:val="0"/>
          <w:numId w:val="20"/>
        </w:numPr>
        <w:tabs>
          <w:tab w:val="left" w:pos="142"/>
          <w:tab w:val="left" w:pos="5245"/>
        </w:tabs>
        <w:jc w:val="left"/>
        <w:rPr>
          <w:sz w:val="22"/>
          <w:szCs w:val="22"/>
        </w:rPr>
      </w:pPr>
      <w:r>
        <w:rPr>
          <w:sz w:val="22"/>
          <w:szCs w:val="22"/>
        </w:rPr>
        <w:t>Dodatek je vyhotoven ve čtyřech stejnopisech, každý s platnosti originálu, z nichž předávající a uživatel obdrží po dvou stejnopisech.</w:t>
      </w:r>
    </w:p>
    <w:p w:rsidR="002B6E9F" w:rsidRDefault="009D5828">
      <w:pPr>
        <w:pStyle w:val="Zkladntext"/>
        <w:numPr>
          <w:ilvl w:val="0"/>
          <w:numId w:val="20"/>
        </w:numPr>
        <w:tabs>
          <w:tab w:val="left" w:pos="142"/>
          <w:tab w:val="left" w:pos="5245"/>
        </w:tabs>
        <w:jc w:val="left"/>
        <w:rPr>
          <w:sz w:val="22"/>
          <w:szCs w:val="22"/>
        </w:rPr>
      </w:pPr>
      <w:r>
        <w:rPr>
          <w:sz w:val="22"/>
          <w:szCs w:val="22"/>
        </w:rPr>
        <w:t xml:space="preserve">Smluvní strany prohlašují, že se s tímto dodatkem seznámily a s jeho obsahem souhlasí a na důkaz své svobodné a určité vůle jej podepisují. </w:t>
      </w:r>
    </w:p>
    <w:p w:rsidR="002B6E9F" w:rsidRDefault="009D5828">
      <w:pPr>
        <w:pStyle w:val="Zkladntext"/>
        <w:numPr>
          <w:ilvl w:val="0"/>
          <w:numId w:val="20"/>
        </w:numPr>
        <w:rPr>
          <w:b/>
          <w:sz w:val="22"/>
          <w:szCs w:val="22"/>
        </w:rPr>
      </w:pPr>
      <w:r>
        <w:rPr>
          <w:sz w:val="22"/>
          <w:szCs w:val="22"/>
        </w:rPr>
        <w:t>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Pr>
          <w:b/>
          <w:i/>
          <w:sz w:val="22"/>
          <w:szCs w:val="22"/>
        </w:rPr>
        <w:t>.</w:t>
      </w:r>
      <w:r>
        <w:rPr>
          <w:color w:val="984806"/>
          <w:sz w:val="22"/>
          <w:szCs w:val="22"/>
        </w:rPr>
        <w:t xml:space="preserve"> </w:t>
      </w:r>
      <w:r>
        <w:rPr>
          <w:sz w:val="22"/>
          <w:szCs w:val="22"/>
        </w:rPr>
        <w:t>Nájemce bere na vědomí, že tato smlouva nabude účinnosti nejdříve dnem uveřejnění v registru smluv</w:t>
      </w:r>
    </w:p>
    <w:p w:rsidR="002B6E9F" w:rsidRDefault="002B6E9F">
      <w:pPr>
        <w:pStyle w:val="Zkladntext"/>
        <w:tabs>
          <w:tab w:val="left" w:pos="142"/>
          <w:tab w:val="left" w:pos="5245"/>
        </w:tabs>
        <w:jc w:val="center"/>
        <w:rPr>
          <w:b/>
          <w:sz w:val="22"/>
          <w:szCs w:val="22"/>
        </w:rPr>
      </w:pPr>
    </w:p>
    <w:p w:rsidR="002B6E9F" w:rsidRDefault="002B6E9F">
      <w:pPr>
        <w:pStyle w:val="Odstavecseseznamem"/>
        <w:jc w:val="left"/>
        <w:rPr>
          <w:rFonts w:ascii="Times New Roman" w:eastAsia="Times New Roman" w:hAnsi="Times New Roman" w:cs="Times New Roman"/>
          <w:szCs w:val="22"/>
        </w:rPr>
      </w:pPr>
    </w:p>
    <w:p w:rsidR="002B6E9F" w:rsidRDefault="002B6E9F">
      <w:pPr>
        <w:jc w:val="center"/>
        <w:rPr>
          <w:rFonts w:ascii="Times New Roman" w:eastAsia="Times New Roman" w:hAnsi="Times New Roman" w:cs="Times New Roman"/>
          <w:szCs w:val="22"/>
        </w:rPr>
      </w:pPr>
    </w:p>
    <w:p w:rsidR="002B6E9F" w:rsidRDefault="002B6E9F">
      <w:pPr>
        <w:jc w:val="center"/>
        <w:rPr>
          <w:rFonts w:ascii="Times New Roman" w:eastAsia="Times New Roman" w:hAnsi="Times New Roman" w:cs="Times New Roman"/>
          <w:szCs w:val="22"/>
        </w:rPr>
      </w:pPr>
    </w:p>
    <w:p w:rsidR="002B6E9F" w:rsidRDefault="002B6E9F">
      <w:pPr>
        <w:jc w:val="center"/>
        <w:rPr>
          <w:rFonts w:ascii="Times New Roman" w:eastAsia="Times New Roman" w:hAnsi="Times New Roman" w:cs="Times New Roman"/>
          <w:szCs w:val="22"/>
        </w:rPr>
      </w:pPr>
    </w:p>
    <w:p w:rsidR="002B6E9F" w:rsidRDefault="002B6E9F">
      <w:pPr>
        <w:jc w:val="center"/>
        <w:rPr>
          <w:rFonts w:ascii="Times New Roman" w:eastAsia="Times New Roman" w:hAnsi="Times New Roman" w:cs="Times New Roman"/>
          <w:szCs w:val="22"/>
        </w:rPr>
      </w:pPr>
    </w:p>
    <w:p w:rsidR="002B6E9F" w:rsidRDefault="002B6E9F">
      <w:pPr>
        <w:jc w:val="center"/>
        <w:rPr>
          <w:rFonts w:ascii="Times New Roman" w:eastAsia="Times New Roman" w:hAnsi="Times New Roman" w:cs="Times New Roman"/>
          <w:szCs w:val="22"/>
        </w:rPr>
      </w:pPr>
    </w:p>
    <w:p w:rsidR="002B6E9F" w:rsidRDefault="002B6E9F">
      <w:pPr>
        <w:pStyle w:val="Zkladntext"/>
        <w:rPr>
          <w:sz w:val="22"/>
          <w:szCs w:val="22"/>
        </w:rPr>
      </w:pPr>
    </w:p>
    <w:p w:rsidR="002B6E9F" w:rsidRDefault="009D5828">
      <w:pPr>
        <w:rPr>
          <w:rFonts w:ascii="Times New Roman" w:eastAsia="Times New Roman" w:hAnsi="Times New Roman" w:cs="Times New Roman"/>
          <w:szCs w:val="22"/>
        </w:rPr>
      </w:pPr>
      <w:r>
        <w:rPr>
          <w:rFonts w:ascii="Times New Roman" w:eastAsia="Times New Roman" w:hAnsi="Times New Roman" w:cs="Times New Roman"/>
          <w:szCs w:val="22"/>
        </w:rPr>
        <w:t xml:space="preserve">V Praze dne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   V ….…. .            dne</w:t>
      </w:r>
    </w:p>
    <w:p w:rsidR="002B6E9F" w:rsidRDefault="002B6E9F">
      <w:pPr>
        <w:ind w:left="567" w:hanging="283"/>
        <w:rPr>
          <w:rFonts w:ascii="Times New Roman" w:eastAsia="Times New Roman" w:hAnsi="Times New Roman" w:cs="Times New Roman"/>
          <w:szCs w:val="22"/>
        </w:rPr>
      </w:pPr>
    </w:p>
    <w:p w:rsidR="002B6E9F" w:rsidRDefault="009D5828">
      <w:pPr>
        <w:ind w:left="567" w:hanging="283"/>
        <w:rPr>
          <w:rFonts w:ascii="Times New Roman" w:eastAsia="Times New Roman" w:hAnsi="Times New Roman" w:cs="Times New Roman"/>
          <w:szCs w:val="22"/>
        </w:rPr>
      </w:pPr>
      <w:r>
        <w:rPr>
          <w:rFonts w:ascii="Times New Roman" w:eastAsia="Times New Roman" w:hAnsi="Times New Roman" w:cs="Times New Roman"/>
          <w:szCs w:val="22"/>
        </w:rPr>
        <w:tab/>
      </w:r>
    </w:p>
    <w:p w:rsidR="002B6E9F" w:rsidRDefault="002B6E9F">
      <w:pPr>
        <w:rPr>
          <w:rFonts w:ascii="Times New Roman" w:eastAsia="Times New Roman" w:hAnsi="Times New Roman" w:cs="Times New Roman"/>
          <w:szCs w:val="22"/>
        </w:rPr>
      </w:pPr>
    </w:p>
    <w:p w:rsidR="002B6E9F" w:rsidRDefault="009D5828">
      <w:pPr>
        <w:pStyle w:val="Defaul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Pronajímatel:</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Nájemce:                            </w:t>
      </w:r>
    </w:p>
    <w:p w:rsidR="002B6E9F" w:rsidRDefault="002B6E9F">
      <w:pPr>
        <w:pStyle w:val="Zkladntext"/>
        <w:rPr>
          <w:sz w:val="22"/>
          <w:szCs w:val="22"/>
        </w:rPr>
      </w:pPr>
    </w:p>
    <w:p w:rsidR="002B6E9F" w:rsidRDefault="009D5828">
      <w:pPr>
        <w:pStyle w:val="Defaul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p w:rsidR="002B6E9F" w:rsidRDefault="009D5828">
      <w:pPr>
        <w:pStyle w:val="Default"/>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Česká republika – Ministerstvo zemědělství </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 xml:space="preserve">                   </w:t>
      </w:r>
      <w:r w:rsidR="00BB62A0">
        <w:rPr>
          <w:rFonts w:ascii="Times New Roman" w:eastAsia="Times New Roman" w:hAnsi="Times New Roman" w:cs="Times New Roman"/>
          <w:sz w:val="22"/>
          <w:szCs w:val="22"/>
        </w:rPr>
        <w:t>xxxxxxxxxxxx</w:t>
      </w:r>
    </w:p>
    <w:p w:rsidR="002B6E9F" w:rsidRDefault="009D5828">
      <w:pPr>
        <w:rPr>
          <w:rFonts w:ascii="Times New Roman" w:eastAsia="Times New Roman" w:hAnsi="Times New Roman" w:cs="Times New Roman"/>
          <w:szCs w:val="22"/>
        </w:rPr>
      </w:pPr>
      <w:r>
        <w:rPr>
          <w:rFonts w:ascii="Times New Roman" w:eastAsia="Times New Roman" w:hAnsi="Times New Roman" w:cs="Times New Roman"/>
          <w:szCs w:val="22"/>
        </w:rPr>
        <w:t xml:space="preserve">                      Mgr. Pavel Brokeš                                     </w:t>
      </w:r>
    </w:p>
    <w:p w:rsidR="002B6E9F" w:rsidRDefault="009D5828">
      <w:pPr>
        <w:rPr>
          <w:rFonts w:ascii="Times New Roman" w:eastAsia="Times New Roman" w:hAnsi="Times New Roman" w:cs="Times New Roman"/>
          <w:szCs w:val="22"/>
        </w:rPr>
      </w:pPr>
      <w:r>
        <w:rPr>
          <w:rFonts w:ascii="Times New Roman" w:eastAsia="Times New Roman" w:hAnsi="Times New Roman" w:cs="Times New Roman"/>
          <w:szCs w:val="22"/>
        </w:rPr>
        <w:t xml:space="preserve">           ředitel odboru vnitřní správy</w:t>
      </w:r>
      <w:r>
        <w:rPr>
          <w:rFonts w:ascii="Times New Roman" w:eastAsia="Times New Roman" w:hAnsi="Times New Roman" w:cs="Times New Roman"/>
          <w:szCs w:val="22"/>
        </w:rPr>
        <w:tab/>
      </w:r>
      <w:r>
        <w:rPr>
          <w:rFonts w:ascii="Times New Roman" w:eastAsia="Times New Roman" w:hAnsi="Times New Roman" w:cs="Times New Roman"/>
          <w:szCs w:val="22"/>
        </w:rPr>
        <w:tab/>
      </w:r>
    </w:p>
    <w:p w:rsidR="002B6E9F" w:rsidRDefault="002B6E9F">
      <w:pPr>
        <w:rPr>
          <w:rFonts w:ascii="Times New Roman" w:eastAsia="Times New Roman" w:hAnsi="Times New Roman" w:cs="Times New Roman"/>
          <w:szCs w:val="22"/>
        </w:rPr>
      </w:pPr>
    </w:p>
    <w:p w:rsidR="002B6E9F" w:rsidRDefault="002B6E9F">
      <w:pPr>
        <w:jc w:val="center"/>
        <w:rPr>
          <w:rFonts w:ascii="Times New Roman" w:eastAsia="Times New Roman" w:hAnsi="Times New Roman" w:cs="Times New Roman"/>
          <w:szCs w:val="22"/>
        </w:rPr>
      </w:pPr>
    </w:p>
    <w:p w:rsidR="002B6E9F" w:rsidRDefault="002B6E9F">
      <w:pPr>
        <w:rPr>
          <w:szCs w:val="22"/>
        </w:rPr>
      </w:pPr>
    </w:p>
    <w:sectPr w:rsidR="002B6E9F">
      <w:headerReference w:type="even" r:id="rId10"/>
      <w:headerReference w:type="default" r:id="rId11"/>
      <w:footerReference w:type="default" r:id="rId12"/>
      <w:headerReference w:type="first" r:id="rId1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D9C" w:rsidRDefault="00D45D9C">
      <w:r>
        <w:separator/>
      </w:r>
    </w:p>
  </w:endnote>
  <w:endnote w:type="continuationSeparator" w:id="0">
    <w:p w:rsidR="00D45D9C" w:rsidRDefault="00D4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1"/>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E9F" w:rsidRDefault="00D45D9C">
    <w:pPr>
      <w:pStyle w:val="Zpat"/>
    </w:pPr>
    <w:r>
      <w:fldChar w:fldCharType="begin"/>
    </w:r>
    <w:r>
      <w:instrText xml:space="preserve"> DOCVARIABLE  dms_cj  \* MERGEFORMAT </w:instrText>
    </w:r>
    <w:r>
      <w:fldChar w:fldCharType="separate"/>
    </w:r>
    <w:r w:rsidR="009D5828">
      <w:rPr>
        <w:bCs/>
      </w:rPr>
      <w:t>41577/2020-MZE-11141</w:t>
    </w:r>
    <w:r>
      <w:rPr>
        <w:bCs/>
      </w:rPr>
      <w:fldChar w:fldCharType="end"/>
    </w:r>
    <w:r w:rsidR="009D5828">
      <w:tab/>
    </w:r>
    <w:r w:rsidR="009D5828">
      <w:fldChar w:fldCharType="begin"/>
    </w:r>
    <w:r w:rsidR="009D5828">
      <w:instrText>PAGE   \* MERGEFORMAT</w:instrText>
    </w:r>
    <w:r w:rsidR="009D5828">
      <w:fldChar w:fldCharType="separate"/>
    </w:r>
    <w:r w:rsidR="00721C28">
      <w:rPr>
        <w:noProof/>
      </w:rPr>
      <w:t>2</w:t>
    </w:r>
    <w:r w:rsidR="009D5828">
      <w:fldChar w:fldCharType="end"/>
    </w:r>
  </w:p>
  <w:p w:rsidR="002B6E9F" w:rsidRDefault="002B6E9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D9C" w:rsidRDefault="00D45D9C">
      <w:r>
        <w:separator/>
      </w:r>
    </w:p>
  </w:footnote>
  <w:footnote w:type="continuationSeparator" w:id="0">
    <w:p w:rsidR="00D45D9C" w:rsidRDefault="00D4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E9F" w:rsidRDefault="00D45D9C">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9617b1e-9fb1-47eb-9c25-57fc092ed120"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E9F" w:rsidRDefault="00D45D9C">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ad6438f-4470-4d20-b878-d5e7e9697b61"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E9F" w:rsidRDefault="00D45D9C">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1d054d8-a75e-47a4-95ba-335cb93d5b6c"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6051F"/>
    <w:multiLevelType w:val="multilevel"/>
    <w:tmpl w:val="C2A6F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32EFB5"/>
    <w:multiLevelType w:val="multilevel"/>
    <w:tmpl w:val="84B21C9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204632A8"/>
    <w:multiLevelType w:val="multilevel"/>
    <w:tmpl w:val="A956BAB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26F5C478"/>
    <w:multiLevelType w:val="multilevel"/>
    <w:tmpl w:val="458090B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28945F62"/>
    <w:multiLevelType w:val="multilevel"/>
    <w:tmpl w:val="2AF8DDD8"/>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F3B812"/>
    <w:multiLevelType w:val="multilevel"/>
    <w:tmpl w:val="528A0EB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34A384C1"/>
    <w:multiLevelType w:val="multilevel"/>
    <w:tmpl w:val="E2FA25F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37CD36A9"/>
    <w:multiLevelType w:val="multilevel"/>
    <w:tmpl w:val="7CDC777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3816A179"/>
    <w:multiLevelType w:val="multilevel"/>
    <w:tmpl w:val="80DC137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4174B5B1"/>
    <w:multiLevelType w:val="multilevel"/>
    <w:tmpl w:val="D55CE33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4BF059C8"/>
    <w:multiLevelType w:val="multilevel"/>
    <w:tmpl w:val="66DEBA9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506D49B8"/>
    <w:multiLevelType w:val="multilevel"/>
    <w:tmpl w:val="C5D63C3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52AF279A"/>
    <w:multiLevelType w:val="multilevel"/>
    <w:tmpl w:val="ED5A393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5AE10ACA"/>
    <w:multiLevelType w:val="multilevel"/>
    <w:tmpl w:val="BEF67E4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5C1755AB"/>
    <w:multiLevelType w:val="multilevel"/>
    <w:tmpl w:val="EBAE00B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5E1943E8"/>
    <w:multiLevelType w:val="multilevel"/>
    <w:tmpl w:val="0AA8106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618F19BF"/>
    <w:multiLevelType w:val="multilevel"/>
    <w:tmpl w:val="DD1056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731ECBE9"/>
    <w:multiLevelType w:val="multilevel"/>
    <w:tmpl w:val="1D30089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19495020"/>
    <w:docVar w:name="dms_carovy_kod_cj" w:val="41577/2020-MZE-11141"/>
    <w:docVar w:name="dms_cj" w:val="41577/2020-MZE-11141"/>
    <w:docVar w:name="dms_datum" w:val="16. 9. 2020"/>
    <w:docVar w:name="dms_datum_textem" w:val="16. září 2020"/>
    <w:docVar w:name="dms_datum_vzniku" w:val="7. 8. 2020 8:52:01"/>
    <w:docVar w:name="dms_el_pecet" w:val="%%%el_pecet%%%"/>
    <w:docVar w:name="dms_el_podpis" w:val="%%%el_podpis%%%"/>
    <w:docVar w:name="dms_nadrizeny_reditel" w:val="Mgr. Jan Sixta"/>
    <w:docVar w:name="dms_ObsahParam1" w:val=" "/>
    <w:docVar w:name="dms_otisk_razitka" w:val=" "/>
    <w:docVar w:name="dms_PNASpravce" w:val=" "/>
    <w:docVar w:name="dms_podpisova_dolozka" w:val="Mgr. Pavel Brokeš_x000d__x000a_ředitel odboru"/>
    <w:docVar w:name="dms_podpisova_dolozka_funkce" w:val="ředitel odboru"/>
    <w:docVar w:name="dms_podpisova_dolozka_jmeno" w:val="Mgr. Pavel Brokeš"/>
    <w:docVar w:name="dms_PPASpravce" w:val=" "/>
    <w:docVar w:name="dms_prijaty_cj" w:val=" "/>
    <w:docVar w:name="dms_prijaty_ze_dne" w:val=" "/>
    <w:docVar w:name="dms_prilohy" w:val=" "/>
    <w:docVar w:name="dms_pripojene_dokumenty" w:val=" "/>
    <w:docVar w:name="dms_spisova_znacka" w:val="50VD12571/2019-11141"/>
    <w:docVar w:name="dms_spravce_jmeno" w:val="Dana Machačová"/>
    <w:docVar w:name="dms_spravce_mail" w:val="Dana.Machacova@mze.cz"/>
    <w:docVar w:name="dms_spravce_telefon" w:val="721212371"/>
    <w:docVar w:name="dms_statni_symbol" w:val="statni_symbol"/>
    <w:docVar w:name="dms_SZSSpravce" w:val=" "/>
    <w:docVar w:name="dms_text" w:val=" "/>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Dodatek ke Smlouvě Michalec"/>
    <w:docVar w:name="dms_VNVSpravce" w:val=" "/>
    <w:docVar w:name="dms_zpracoval_jmeno" w:val="Dana Machačová"/>
    <w:docVar w:name="dms_zpracoval_mail" w:val="Dana.Machacova@mze.cz"/>
    <w:docVar w:name="dms_zpracoval_telefon" w:val="721212371"/>
  </w:docVars>
  <w:rsids>
    <w:rsidRoot w:val="002B6E9F"/>
    <w:rsid w:val="002B6E9F"/>
    <w:rsid w:val="00721C28"/>
    <w:rsid w:val="007A1E71"/>
    <w:rsid w:val="00937E3B"/>
    <w:rsid w:val="00962B07"/>
    <w:rsid w:val="009D5828"/>
    <w:rsid w:val="00BB62A0"/>
    <w:rsid w:val="00D45D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rules v:ext="edit">
        <o:r id="V:Rule1" type="connector" idref="#_x0000_s4053"/>
      </o:rules>
    </o:shapelayout>
  </w:shapeDefaults>
  <w:decimalSymbol w:val=","/>
  <w:listSeparator w:val=";"/>
  <w15:docId w15:val="{AC564E08-8FD0-46E9-BC93-75D597D6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2Char">
    <w:name w:val="Nadpis 2 Char"/>
    <w:basedOn w:val="Standardnpsmoodstavce"/>
    <w:link w:val="Nadpis2"/>
    <w:rPr>
      <w:rFonts w:ascii="Arial" w:eastAsia="Arial" w:hAnsi="Arial" w:cs="Arial"/>
      <w:i/>
      <w:sz w:val="22"/>
      <w:szCs w:val="24"/>
      <w:lang w:eastAsia="en-US"/>
    </w:rPr>
  </w:style>
  <w:style w:type="paragraph" w:styleId="Zkladntext">
    <w:name w:val="Body Text"/>
    <w:basedOn w:val="Normln"/>
    <w:semiHidden/>
    <w:unhideWhenUsed/>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Odstavecseseznamem">
    <w:name w:val="List Paragraph"/>
    <w:basedOn w:val="Normln"/>
    <w:uiPriority w:val="34"/>
    <w:qFormat/>
    <w:pPr>
      <w:ind w:left="720"/>
      <w:contextualSpacing/>
    </w:p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3271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Horáčková Vladana</cp:lastModifiedBy>
  <cp:revision>2</cp:revision>
  <dcterms:created xsi:type="dcterms:W3CDTF">2020-10-20T10:35:00Z</dcterms:created>
  <dcterms:modified xsi:type="dcterms:W3CDTF">2020-10-20T10:35:00Z</dcterms:modified>
</cp:coreProperties>
</file>