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spacing w:before="0" w:after="231" w:line="240" w:lineRule="exact"/>
        <w:ind w:left="20" w:right="0" w:firstLine="0"/>
      </w:pPr>
      <w:bookmarkStart w:id="0" w:name="bookmark0"/>
      <w:r>
        <w:rPr>
          <w:lang w:val="cs-CZ" w:eastAsia="cs-CZ" w:bidi="cs-CZ"/>
          <w:w w:val="100"/>
          <w:spacing w:val="0"/>
          <w:color w:val="000000"/>
          <w:position w:val="0"/>
        </w:rPr>
        <w:t>KUPNÍ SMLOUVA</w:t>
      </w:r>
      <w:bookmarkEnd w:id="0"/>
    </w:p>
    <w:p>
      <w:pPr>
        <w:pStyle w:val="Style5"/>
        <w:widowControl w:val="0"/>
        <w:keepNext/>
        <w:keepLines/>
        <w:shd w:val="clear" w:color="auto" w:fill="auto"/>
        <w:bidi w:val="0"/>
        <w:spacing w:before="0" w:after="0" w:line="200" w:lineRule="exact"/>
        <w:ind w:left="0" w:right="0" w:firstLine="0"/>
      </w:pPr>
      <w:bookmarkStart w:id="1" w:name="bookmark1"/>
      <w:r>
        <w:rPr>
          <w:lang w:val="cs-CZ" w:eastAsia="cs-CZ" w:bidi="cs-CZ"/>
          <w:w w:val="100"/>
          <w:spacing w:val="0"/>
          <w:color w:val="000000"/>
          <w:position w:val="0"/>
        </w:rPr>
        <w:t>Prodávající:</w:t>
      </w:r>
      <w:bookmarkEnd w:id="1"/>
    </w:p>
    <w:p>
      <w:pPr>
        <w:pStyle w:val="Style7"/>
        <w:widowControl w:val="0"/>
        <w:keepNext w:val="0"/>
        <w:keepLines w:val="0"/>
        <w:shd w:val="clear" w:color="auto" w:fill="auto"/>
        <w:bidi w:val="0"/>
        <w:jc w:val="both"/>
        <w:spacing w:before="0" w:after="0"/>
        <w:ind w:left="440" w:right="0" w:firstLine="0"/>
      </w:pPr>
      <w:r>
        <w:rPr>
          <w:lang w:val="cs-CZ" w:eastAsia="cs-CZ" w:bidi="cs-CZ"/>
          <w:w w:val="100"/>
          <w:spacing w:val="0"/>
          <w:color w:val="000000"/>
          <w:position w:val="0"/>
        </w:rPr>
        <w:t>Krajská správa a údržba silnic Vysočiny, příspěvková organizace,</w:t>
      </w:r>
    </w:p>
    <w:p>
      <w:pPr>
        <w:pStyle w:val="Style7"/>
        <w:widowControl w:val="0"/>
        <w:keepNext w:val="0"/>
        <w:keepLines w:val="0"/>
        <w:shd w:val="clear" w:color="auto" w:fill="auto"/>
        <w:bidi w:val="0"/>
        <w:jc w:val="left"/>
        <w:spacing w:before="0" w:after="0"/>
        <w:ind w:left="440" w:right="5340" w:firstLine="0"/>
      </w:pPr>
      <w:r>
        <w:rPr>
          <w:lang w:val="cs-CZ" w:eastAsia="cs-CZ" w:bidi="cs-CZ"/>
          <w:w w:val="100"/>
          <w:spacing w:val="0"/>
          <w:color w:val="000000"/>
          <w:position w:val="0"/>
        </w:rPr>
        <w:t>Kosovská 1122/16, 586 01 Jihlava zastoupená ředitelem Ing. Radovanem Necidem</w:t>
      </w:r>
    </w:p>
    <w:p>
      <w:pPr>
        <w:pStyle w:val="Style7"/>
        <w:tabs>
          <w:tab w:leader="none" w:pos="6234" w:val="left"/>
        </w:tabs>
        <w:widowControl w:val="0"/>
        <w:keepNext w:val="0"/>
        <w:keepLines w:val="0"/>
        <w:shd w:val="clear" w:color="auto" w:fill="auto"/>
        <w:bidi w:val="0"/>
        <w:jc w:val="both"/>
        <w:spacing w:before="0" w:after="0"/>
        <w:ind w:left="440" w:right="0" w:firstLine="0"/>
      </w:pPr>
      <w:r>
        <w:rPr>
          <w:lang w:val="cs-CZ" w:eastAsia="cs-CZ" w:bidi="cs-CZ"/>
          <w:w w:val="100"/>
          <w:spacing w:val="0"/>
          <w:color w:val="000000"/>
          <w:position w:val="0"/>
        </w:rPr>
        <w:t>osoba pověřená jednat ve věcech obchodních:</w:t>
        <w:tab/>
        <w:t>vedoucím oddělení MTZ</w:t>
      </w:r>
    </w:p>
    <w:p>
      <w:pPr>
        <w:pStyle w:val="Style7"/>
        <w:widowControl w:val="0"/>
        <w:keepNext w:val="0"/>
        <w:keepLines w:val="0"/>
        <w:shd w:val="clear" w:color="auto" w:fill="auto"/>
        <w:bidi w:val="0"/>
        <w:jc w:val="left"/>
        <w:spacing w:before="0" w:after="0"/>
        <w:ind w:left="440" w:right="9100" w:firstLine="0"/>
      </w:pPr>
      <w:r>
        <w:rPr>
          <w:lang w:val="cs-CZ" w:eastAsia="cs-CZ" w:bidi="cs-CZ"/>
          <w:w w:val="100"/>
          <w:spacing w:val="0"/>
          <w:color w:val="000000"/>
          <w:position w:val="0"/>
        </w:rPr>
        <w:t>IČO: 00090450 DIČ: CZ00090450</w:t>
      </w:r>
    </w:p>
    <w:p>
      <w:pPr>
        <w:pStyle w:val="Style7"/>
        <w:tabs>
          <w:tab w:leader="none" w:pos="2509" w:val="left"/>
        </w:tabs>
        <w:widowControl w:val="0"/>
        <w:keepNext w:val="0"/>
        <w:keepLines w:val="0"/>
        <w:shd w:val="clear" w:color="auto" w:fill="auto"/>
        <w:bidi w:val="0"/>
        <w:jc w:val="both"/>
        <w:spacing w:before="0" w:after="0"/>
        <w:ind w:left="440" w:right="0" w:firstLine="0"/>
      </w:pPr>
      <w:r>
        <w:rPr>
          <w:lang w:val="cs-CZ" w:eastAsia="cs-CZ" w:bidi="cs-CZ"/>
          <w:w w:val="100"/>
          <w:spacing w:val="0"/>
          <w:color w:val="000000"/>
          <w:position w:val="0"/>
        </w:rPr>
        <w:t>účet:</w:t>
        <w:tab/>
        <w:t>KB, a.s., pobočka Jihlava</w:t>
      </w:r>
    </w:p>
    <w:p>
      <w:pPr>
        <w:pStyle w:val="Style7"/>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a</w:t>
      </w:r>
    </w:p>
    <w:p>
      <w:pPr>
        <w:pStyle w:val="Style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Kupující:</w:t>
      </w:r>
    </w:p>
    <w:p>
      <w:pPr>
        <w:pStyle w:val="Style7"/>
        <w:widowControl w:val="0"/>
        <w:keepNext w:val="0"/>
        <w:keepLines w:val="0"/>
        <w:shd w:val="clear" w:color="auto" w:fill="auto"/>
        <w:bidi w:val="0"/>
        <w:jc w:val="both"/>
        <w:spacing w:before="0" w:after="0"/>
        <w:ind w:left="440" w:right="0" w:firstLine="0"/>
      </w:pPr>
      <w:r>
        <w:rPr>
          <w:lang w:val="cs-CZ" w:eastAsia="cs-CZ" w:bidi="cs-CZ"/>
          <w:w w:val="100"/>
          <w:spacing w:val="0"/>
          <w:color w:val="000000"/>
          <w:position w:val="0"/>
        </w:rPr>
        <w:t>Zahradnictví v Kaštanech, s.r.o.</w:t>
      </w:r>
    </w:p>
    <w:p>
      <w:pPr>
        <w:pStyle w:val="Style7"/>
        <w:widowControl w:val="0"/>
        <w:keepNext w:val="0"/>
        <w:keepLines w:val="0"/>
        <w:shd w:val="clear" w:color="auto" w:fill="auto"/>
        <w:bidi w:val="0"/>
        <w:jc w:val="left"/>
        <w:spacing w:before="0" w:after="0"/>
        <w:ind w:left="440" w:right="7820" w:firstLine="0"/>
      </w:pPr>
      <w:r>
        <w:rPr>
          <w:lang w:val="cs-CZ" w:eastAsia="cs-CZ" w:bidi="cs-CZ"/>
          <w:w w:val="100"/>
          <w:spacing w:val="0"/>
          <w:color w:val="000000"/>
          <w:position w:val="0"/>
        </w:rPr>
        <w:t xml:space="preserve">V kaštanech 89, 388 </w:t>
      </w:r>
      <w:r>
        <w:rPr>
          <w:rStyle w:val="CharStyle11"/>
          <w:b w:val="0"/>
          <w:bCs w:val="0"/>
        </w:rPr>
        <w:t>01 Dačice</w:t>
      </w:r>
      <w:r>
        <w:rPr>
          <w:lang w:val="cs-CZ" w:eastAsia="cs-CZ" w:bidi="cs-CZ"/>
          <w:w w:val="100"/>
          <w:spacing w:val="0"/>
          <w:color w:val="000000"/>
          <w:position w:val="0"/>
        </w:rPr>
        <w:t xml:space="preserve"> II Zastoupené majitelem:</w:t>
      </w:r>
    </w:p>
    <w:p>
      <w:pPr>
        <w:pStyle w:val="Style7"/>
        <w:widowControl w:val="0"/>
        <w:keepNext w:val="0"/>
        <w:keepLines w:val="0"/>
        <w:shd w:val="clear" w:color="auto" w:fill="auto"/>
        <w:bidi w:val="0"/>
        <w:jc w:val="both"/>
        <w:spacing w:before="0" w:after="1172"/>
        <w:ind w:left="440" w:right="0" w:firstLine="0"/>
      </w:pPr>
      <w:r>
        <w:rPr>
          <w:lang w:val="cs-CZ" w:eastAsia="cs-CZ" w:bidi="cs-CZ"/>
          <w:w w:val="100"/>
          <w:spacing w:val="0"/>
          <w:color w:val="000000"/>
          <w:position w:val="0"/>
        </w:rPr>
        <w:t>IČO:28093291</w:t>
      </w:r>
    </w:p>
    <w:p>
      <w:pPr>
        <w:pStyle w:val="Style7"/>
        <w:widowControl w:val="0"/>
        <w:keepNext w:val="0"/>
        <w:keepLines w:val="0"/>
        <w:shd w:val="clear" w:color="auto" w:fill="auto"/>
        <w:bidi w:val="0"/>
        <w:jc w:val="both"/>
        <w:spacing w:before="0" w:after="92" w:line="200" w:lineRule="exact"/>
        <w:ind w:left="0" w:right="0" w:firstLine="0"/>
      </w:pPr>
      <w:r>
        <w:rPr>
          <w:lang w:val="cs-CZ" w:eastAsia="cs-CZ" w:bidi="cs-CZ"/>
          <w:w w:val="100"/>
          <w:spacing w:val="0"/>
          <w:color w:val="000000"/>
          <w:position w:val="0"/>
        </w:rPr>
        <w:t>uzavřeli tuto kupní smlouvu podle § 2079 a násl. zákona č. 89/2012 Sb., Občanský zákoník, ve znění pozdějších předpisů:</w:t>
      </w:r>
    </w:p>
    <w:p>
      <w:pPr>
        <w:pStyle w:val="Style5"/>
        <w:numPr>
          <w:ilvl w:val="0"/>
          <w:numId w:val="1"/>
        </w:numPr>
        <w:tabs>
          <w:tab w:leader="none" w:pos="331" w:val="left"/>
        </w:tabs>
        <w:widowControl w:val="0"/>
        <w:keepNext/>
        <w:keepLines/>
        <w:shd w:val="clear" w:color="auto" w:fill="auto"/>
        <w:bidi w:val="0"/>
        <w:spacing w:before="0" w:after="0" w:line="240" w:lineRule="exact"/>
        <w:ind w:left="0" w:right="0" w:firstLine="0"/>
      </w:pPr>
      <w:bookmarkStart w:id="2" w:name="bookmark2"/>
      <w:r>
        <w:rPr>
          <w:lang w:val="cs-CZ" w:eastAsia="cs-CZ" w:bidi="cs-CZ"/>
          <w:w w:val="100"/>
          <w:spacing w:val="0"/>
          <w:color w:val="000000"/>
          <w:position w:val="0"/>
        </w:rPr>
        <w:t>Prohlášení prodávajícího</w:t>
      </w:r>
      <w:bookmarkEnd w:id="2"/>
    </w:p>
    <w:p>
      <w:pPr>
        <w:pStyle w:val="Style7"/>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Krajské správě á údržbě silnic Vysočiny, příspěvkové organizaci, dále jen „příspěvková organizace" byl na základě zřizovací listiny schválené usnesením ZK 083/07/01/ZK ze dne 20. 12. 2001 ve znění pozdějších dodatků předán majetek k hospodaření. KSÚSV při prodeji tohoto majetku postupuje v souladu se zásadami ZK Vysočina o vymezení majetkových práv a povinností KSÚSV, příspěvkové organizace zřizované Krajem Vysočina č. 03/19 ze dne 19. 3. 2019</w:t>
      </w:r>
    </w:p>
    <w:p>
      <w:pPr>
        <w:pStyle w:val="Style7"/>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Návrh prodeje uvedeného movitého majetku projednala na svém jednání Rada Kraje Vysočina, usnesením číslo 1561/25/2015/RK ; 2195/35/2018/RK, 1321/22/2019/RK, 1679/27/2020/RK, ve kterém rozhodla uvedený movitý majetek - dlažební kostky prodat za cenu 1800,- Kč/tuna bez DPH.</w:t>
      </w:r>
    </w:p>
    <w:p>
      <w:pPr>
        <w:pStyle w:val="Style7"/>
        <w:widowControl w:val="0"/>
        <w:keepNext w:val="0"/>
        <w:keepLines w:val="0"/>
        <w:shd w:val="clear" w:color="auto" w:fill="auto"/>
        <w:bidi w:val="0"/>
        <w:jc w:val="both"/>
        <w:spacing w:before="0" w:after="212"/>
        <w:ind w:left="0" w:right="0" w:firstLine="0"/>
      </w:pPr>
      <w:r>
        <w:rPr>
          <w:lang w:val="cs-CZ" w:eastAsia="cs-CZ" w:bidi="cs-CZ"/>
          <w:w w:val="100"/>
          <w:spacing w:val="0"/>
          <w:color w:val="000000"/>
          <w:position w:val="0"/>
        </w:rPr>
        <w:t>Předmět prodeje se prodává kupujícímu za podmínek stanovených v této smlouvě.</w:t>
      </w:r>
    </w:p>
    <w:p>
      <w:pPr>
        <w:pStyle w:val="Style5"/>
        <w:numPr>
          <w:ilvl w:val="0"/>
          <w:numId w:val="1"/>
        </w:numPr>
        <w:tabs>
          <w:tab w:leader="none" w:pos="331" w:val="left"/>
        </w:tabs>
        <w:widowControl w:val="0"/>
        <w:keepNext/>
        <w:keepLines/>
        <w:shd w:val="clear" w:color="auto" w:fill="auto"/>
        <w:bidi w:val="0"/>
        <w:spacing w:before="0" w:after="129" w:line="200" w:lineRule="exact"/>
        <w:ind w:left="0" w:right="0" w:firstLine="0"/>
      </w:pPr>
      <w:bookmarkStart w:id="3" w:name="bookmark3"/>
      <w:r>
        <w:rPr>
          <w:lang w:val="cs-CZ" w:eastAsia="cs-CZ" w:bidi="cs-CZ"/>
          <w:w w:val="100"/>
          <w:spacing w:val="0"/>
          <w:color w:val="000000"/>
          <w:position w:val="0"/>
        </w:rPr>
        <w:t>Předmět smlouvy</w:t>
      </w:r>
      <w:bookmarkEnd w:id="3"/>
    </w:p>
    <w:p>
      <w:pPr>
        <w:pStyle w:val="Style7"/>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Předmětem smlouvy je prodej:</w:t>
      </w:r>
    </w:p>
    <w:p>
      <w:pPr>
        <w:pStyle w:val="Style9"/>
        <w:widowControl w:val="0"/>
        <w:keepNext w:val="0"/>
        <w:keepLines w:val="0"/>
        <w:shd w:val="clear" w:color="auto" w:fill="auto"/>
        <w:bidi w:val="0"/>
        <w:jc w:val="left"/>
        <w:spacing w:before="0" w:after="4" w:line="200" w:lineRule="exact"/>
        <w:ind w:left="3960" w:right="0" w:firstLine="0"/>
      </w:pPr>
      <w:r>
        <w:rPr>
          <w:lang w:val="cs-CZ" w:eastAsia="cs-CZ" w:bidi="cs-CZ"/>
          <w:w w:val="100"/>
          <w:spacing w:val="0"/>
          <w:color w:val="000000"/>
          <w:position w:val="0"/>
        </w:rPr>
        <w:t>Vytěžené dlažební kostky o hmotnost 45 tun v nepřesátém stavu</w:t>
      </w:r>
    </w:p>
    <w:p>
      <w:pPr>
        <w:pStyle w:val="Style5"/>
        <w:numPr>
          <w:ilvl w:val="0"/>
          <w:numId w:val="1"/>
        </w:numPr>
        <w:tabs>
          <w:tab w:leader="none" w:pos="336" w:val="left"/>
        </w:tabs>
        <w:widowControl w:val="0"/>
        <w:keepNext/>
        <w:keepLines/>
        <w:shd w:val="clear" w:color="auto" w:fill="auto"/>
        <w:bidi w:val="0"/>
        <w:spacing w:before="0" w:after="4" w:line="200" w:lineRule="exact"/>
        <w:ind w:left="0" w:right="0" w:firstLine="0"/>
      </w:pPr>
      <w:bookmarkStart w:id="4" w:name="bookmark4"/>
      <w:r>
        <w:rPr>
          <w:lang w:val="cs-CZ" w:eastAsia="cs-CZ" w:bidi="cs-CZ"/>
          <w:w w:val="100"/>
          <w:spacing w:val="0"/>
          <w:color w:val="000000"/>
          <w:position w:val="0"/>
        </w:rPr>
        <w:t>Kupní cena</w:t>
      </w:r>
      <w:bookmarkEnd w:id="4"/>
    </w:p>
    <w:p>
      <w:pPr>
        <w:pStyle w:val="Style7"/>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Kupní cena činí:</w:t>
      </w:r>
    </w:p>
    <w:p>
      <w:pPr>
        <w:pStyle w:val="Style7"/>
        <w:tabs>
          <w:tab w:leader="none" w:pos="1983" w:val="center"/>
          <w:tab w:leader="none" w:pos="2692" w:val="righ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Celkem bez DPH</w:t>
        <w:tab/>
        <w:t>81.000,-</w:t>
        <w:tab/>
        <w:t>Kč</w:t>
      </w:r>
    </w:p>
    <w:p>
      <w:pPr>
        <w:pStyle w:val="Style7"/>
        <w:tabs>
          <w:tab w:leader="none" w:pos="1983" w:val="center"/>
          <w:tab w:leader="none" w:pos="2692" w:val="right"/>
        </w:tabs>
        <w:widowControl w:val="0"/>
        <w:keepNext w:val="0"/>
        <w:keepLines w:val="0"/>
        <w:shd w:val="clear" w:color="auto" w:fill="auto"/>
        <w:bidi w:val="0"/>
        <w:jc w:val="both"/>
        <w:spacing w:before="0" w:after="0"/>
        <w:ind w:left="760" w:right="0" w:firstLine="0"/>
      </w:pPr>
      <w:r>
        <w:rPr>
          <w:lang w:val="cs-CZ" w:eastAsia="cs-CZ" w:bidi="cs-CZ"/>
          <w:w w:val="100"/>
          <w:spacing w:val="0"/>
          <w:color w:val="000000"/>
          <w:position w:val="0"/>
        </w:rPr>
        <w:t>DPH</w:t>
        <w:tab/>
        <w:t>17.010,-</w:t>
        <w:tab/>
        <w:t>Kč</w:t>
      </w:r>
    </w:p>
    <w:p>
      <w:pPr>
        <w:pStyle w:val="Style9"/>
        <w:tabs>
          <w:tab w:leader="none" w:pos="1983" w:val="center"/>
          <w:tab w:leader="none" w:pos="2692" w:val="right"/>
        </w:tabs>
        <w:widowControl w:val="0"/>
        <w:keepNext w:val="0"/>
        <w:keepLines w:val="0"/>
        <w:shd w:val="clear" w:color="auto" w:fill="auto"/>
        <w:bidi w:val="0"/>
        <w:spacing w:before="0" w:after="184"/>
        <w:ind w:left="0" w:right="0" w:firstLine="0"/>
      </w:pPr>
      <w:r>
        <w:rPr>
          <w:lang w:val="cs-CZ" w:eastAsia="cs-CZ" w:bidi="cs-CZ"/>
          <w:w w:val="100"/>
          <w:spacing w:val="0"/>
          <w:color w:val="000000"/>
          <w:position w:val="0"/>
        </w:rPr>
        <w:t>Celkem s DPH</w:t>
        <w:tab/>
        <w:t>98.010,-</w:t>
        <w:tab/>
        <w:t>Kč</w:t>
      </w:r>
    </w:p>
    <w:p>
      <w:pPr>
        <w:pStyle w:val="Style7"/>
        <w:widowControl w:val="0"/>
        <w:keepNext w:val="0"/>
        <w:keepLines w:val="0"/>
        <w:shd w:val="clear" w:color="auto" w:fill="auto"/>
        <w:bidi w:val="0"/>
        <w:jc w:val="both"/>
        <w:spacing w:before="0" w:after="172" w:line="235" w:lineRule="exact"/>
        <w:ind w:left="0" w:right="0" w:firstLine="0"/>
      </w:pPr>
      <w:r>
        <w:rPr>
          <w:lang w:val="cs-CZ" w:eastAsia="cs-CZ" w:bidi="cs-CZ"/>
          <w:w w:val="100"/>
          <w:spacing w:val="0"/>
          <w:color w:val="000000"/>
          <w:position w:val="0"/>
        </w:rPr>
        <w:t>a bude zaplacena bezhotovostním převodem na výše uvedený účet prodávajícího na základě jím vystavené faktury před samotným odběrem předmětu smlouvy.</w:t>
      </w:r>
    </w:p>
    <w:p>
      <w:pPr>
        <w:pStyle w:val="Style5"/>
        <w:numPr>
          <w:ilvl w:val="0"/>
          <w:numId w:val="1"/>
        </w:numPr>
        <w:tabs>
          <w:tab w:leader="none" w:pos="340" w:val="left"/>
        </w:tabs>
        <w:widowControl w:val="0"/>
        <w:keepNext/>
        <w:keepLines/>
        <w:shd w:val="clear" w:color="auto" w:fill="auto"/>
        <w:bidi w:val="0"/>
        <w:spacing w:before="0" w:after="0" w:line="245" w:lineRule="exact"/>
        <w:ind w:left="0" w:right="0" w:firstLine="0"/>
      </w:pPr>
      <w:bookmarkStart w:id="5" w:name="bookmark5"/>
      <w:r>
        <w:rPr>
          <w:lang w:val="cs-CZ" w:eastAsia="cs-CZ" w:bidi="cs-CZ"/>
          <w:w w:val="100"/>
          <w:spacing w:val="0"/>
          <w:color w:val="000000"/>
          <w:position w:val="0"/>
        </w:rPr>
        <w:t>Prohlášení kupujícího</w:t>
      </w:r>
      <w:bookmarkEnd w:id="5"/>
    </w:p>
    <w:p>
      <w:pPr>
        <w:pStyle w:val="Style7"/>
        <w:numPr>
          <w:ilvl w:val="0"/>
          <w:numId w:val="3"/>
        </w:numPr>
        <w:tabs>
          <w:tab w:leader="none" w:pos="350" w:val="left"/>
        </w:tabs>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Prodávající v souladu s touto kupní smlouvou je povinen vystavit fakturu a odeslat ve dvojím vyhotovení kupujícímu. Tato faktura je splatná do 30 dnů ode dne jejího doručení a povinně, v souladu s OZ a zákonem o dani z přidané hodnoty, obsahuje označení faktura a její číslo, název a sídlo prodávajícího a kupujícího s jejich dalšími identifikačními údaji, označení smlouvy a částku k fakturaci a další údaje povinné podle uvedených právních předpisů. Kupující se zavazuje zaplatit dohodnutou kupní cenu.</w:t>
      </w:r>
    </w:p>
    <w:p>
      <w:pPr>
        <w:pStyle w:val="Style7"/>
        <w:numPr>
          <w:ilvl w:val="0"/>
          <w:numId w:val="3"/>
        </w:numPr>
        <w:tabs>
          <w:tab w:leader="none" w:pos="350" w:val="left"/>
        </w:tabs>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Kupující prohlašuje, že byl seznámen se stavem předmětu prodeje, takto jej přejímá a zavazuje se zaplatit sjednanou kupní cenu. V této souvislosti si prodávající vyhrazuje k prodávané věci vlastnické právo ve smyslu § 2132 občanského zákoníku, tedy že se má za to, že kupující se stane vlastníkem předmětu prodeje teprve úplným zaplacením této kupní ceny. Nebezpečí škody na věci však na kupujícího přechází již jejím převzetím.</w:t>
      </w:r>
    </w:p>
    <w:p>
      <w:pPr>
        <w:pStyle w:val="Style7"/>
        <w:numPr>
          <w:ilvl w:val="0"/>
          <w:numId w:val="3"/>
        </w:numPr>
        <w:tabs>
          <w:tab w:leader="none" w:pos="340" w:val="left"/>
        </w:tabs>
        <w:widowControl w:val="0"/>
        <w:keepNext w:val="0"/>
        <w:keepLines w:val="0"/>
        <w:shd w:val="clear" w:color="auto" w:fill="auto"/>
        <w:bidi w:val="0"/>
        <w:jc w:val="both"/>
        <w:spacing w:before="0" w:after="456" w:line="245" w:lineRule="exact"/>
        <w:ind w:left="0" w:right="0" w:firstLine="0"/>
      </w:pPr>
      <w:r>
        <w:rPr>
          <w:lang w:val="cs-CZ" w:eastAsia="cs-CZ" w:bidi="cs-CZ"/>
          <w:w w:val="100"/>
          <w:spacing w:val="0"/>
          <w:color w:val="000000"/>
          <w:position w:val="0"/>
        </w:rPr>
        <w:t>Kupující prohlašuje, že předmět smlouvy bude využit pro účely uvedené v příloze a nedojde ke komerčnímu odprodeji třetí osobě.</w:t>
      </w:r>
    </w:p>
    <w:p>
      <w:pPr>
        <w:pStyle w:val="Style5"/>
        <w:numPr>
          <w:ilvl w:val="0"/>
          <w:numId w:val="1"/>
        </w:numPr>
        <w:tabs>
          <w:tab w:leader="none" w:pos="331" w:val="left"/>
        </w:tabs>
        <w:widowControl w:val="0"/>
        <w:keepNext/>
        <w:keepLines/>
        <w:shd w:val="clear" w:color="auto" w:fill="auto"/>
        <w:bidi w:val="0"/>
        <w:spacing w:before="0" w:after="0" w:line="200" w:lineRule="exact"/>
        <w:ind w:left="0" w:right="0" w:firstLine="0"/>
      </w:pPr>
      <w:bookmarkStart w:id="6" w:name="bookmark6"/>
      <w:r>
        <w:rPr>
          <w:lang w:val="cs-CZ" w:eastAsia="cs-CZ" w:bidi="cs-CZ"/>
          <w:w w:val="100"/>
          <w:spacing w:val="0"/>
          <w:color w:val="000000"/>
          <w:position w:val="0"/>
        </w:rPr>
        <w:t>Závěrečná ustanovení</w:t>
      </w:r>
      <w:bookmarkEnd w:id="6"/>
    </w:p>
    <w:p>
      <w:pPr>
        <w:pStyle w:val="Style7"/>
        <w:widowControl w:val="0"/>
        <w:keepNext w:val="0"/>
        <w:keepLines w:val="0"/>
        <w:shd w:val="clear" w:color="auto" w:fill="auto"/>
        <w:bidi w:val="0"/>
        <w:jc w:val="both"/>
        <w:spacing w:before="0" w:after="180"/>
        <w:ind w:left="0" w:right="0" w:firstLine="0"/>
      </w:pPr>
      <w:r>
        <w:rPr>
          <w:lang w:val="cs-CZ" w:eastAsia="cs-CZ" w:bidi="cs-CZ"/>
          <w:w w:val="100"/>
          <w:spacing w:val="0"/>
          <w:color w:val="000000"/>
          <w:position w:val="0"/>
        </w:rPr>
        <w:t>Smluvní strany se současně dohodly, že nesplnění podmínek dle bodu 4b) je závažným porušením smluvních povinností, tudíž zakládá prodávajícímu právo od této smlouvy odstoupit, a to aniž by musel kupujícího vyzývat k dodatečnému splnění jeho závazku.</w:t>
      </w:r>
    </w:p>
    <w:p>
      <w:pPr>
        <w:pStyle w:val="Style7"/>
        <w:widowControl w:val="0"/>
        <w:keepNext w:val="0"/>
        <w:keepLines w:val="0"/>
        <w:shd w:val="clear" w:color="auto" w:fill="auto"/>
        <w:bidi w:val="0"/>
        <w:jc w:val="both"/>
        <w:spacing w:before="0" w:after="0"/>
        <w:ind w:left="0" w:right="0" w:firstLine="0"/>
        <w:sectPr>
          <w:footerReference w:type="default" r:id="rId5"/>
          <w:titlePg/>
          <w:footnotePr>
            <w:pos w:val="pageBottom"/>
            <w:numFmt w:val="decimal"/>
            <w:numRestart w:val="continuous"/>
          </w:footnotePr>
          <w:pgSz w:w="11900" w:h="16840"/>
          <w:pgMar w:top="721" w:left="414" w:right="591" w:bottom="721" w:header="0" w:footer="3" w:gutter="0"/>
          <w:rtlGutter w:val="0"/>
          <w:cols w:space="720"/>
          <w:noEndnote/>
          <w:docGrid w:linePitch="360"/>
        </w:sectPr>
      </w:pPr>
      <w:r>
        <w:rPr>
          <w:lang w:val="cs-CZ" w:eastAsia="cs-CZ" w:bidi="cs-CZ"/>
          <w:w w:val="100"/>
          <w:spacing w:val="0"/>
          <w:color w:val="000000"/>
          <w:position w:val="0"/>
        </w:rPr>
        <w:t>Tato smlouva se v ostatním řídí příslušnými ustanoveními občanského zákoníku. Je vyhotovena ve dvou výtiscích, z nichž každý má platnost originálu a každá ze stran obdrží jeden výtisk. Prodávající a kupující shodně prohlašují, že si tuto smlouvu před jejím</w:t>
      </w:r>
    </w:p>
    <w:p>
      <w:pPr>
        <w:pStyle w:val="Style7"/>
        <w:widowControl w:val="0"/>
        <w:keepNext w:val="0"/>
        <w:keepLines w:val="0"/>
        <w:shd w:val="clear" w:color="auto" w:fill="auto"/>
        <w:bidi w:val="0"/>
        <w:jc w:val="both"/>
        <w:spacing w:before="0" w:after="165" w:line="221" w:lineRule="exact"/>
        <w:ind w:left="0" w:right="0" w:firstLine="0"/>
      </w:pPr>
      <w:r>
        <w:rPr>
          <w:lang w:val="cs-CZ" w:eastAsia="cs-CZ" w:bidi="cs-CZ"/>
          <w:w w:val="100"/>
          <w:spacing w:val="0"/>
          <w:color w:val="000000"/>
          <w:position w:val="0"/>
        </w:rPr>
        <w:t>podpisem přečetli, byla uzavřena po vzájemném projednání podle jejich pravé a svobodné vůle, určitě, vážně a srozumitelně, nikoliv v tísni a za nápadně nevýhodných podmínek.</w:t>
      </w:r>
    </w:p>
    <w:p>
      <w:pPr>
        <w:pStyle w:val="Style7"/>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Smlouva nabývá platnosti dnem podpisu smluvních stran a účinnosti dnem uveřejnění v informačním systému veřejné správy - Registru smluv. Kupující výslovně souhlasí se zveřejněním celého textu této dohody včetně podpisů v informačním systému veřejné správy - Registru smluv. Účastníci se dohodli, že zákonnou povinnost dle § 5 odst. 2 zákona č. 340/2015 Sb., v platném znění (zákon o registru smluv) splní prodávající.</w:t>
      </w:r>
    </w:p>
    <w:p>
      <w:pPr>
        <w:pStyle w:val="Style7"/>
        <w:widowControl w:val="0"/>
        <w:keepNext w:val="0"/>
        <w:keepLines w:val="0"/>
        <w:shd w:val="clear" w:color="auto" w:fill="auto"/>
        <w:bidi w:val="0"/>
        <w:jc w:val="both"/>
        <w:spacing w:before="0" w:after="0"/>
        <w:ind w:left="0" w:right="0" w:firstLine="0"/>
        <w:sectPr>
          <w:pgSz w:w="11900" w:h="16840"/>
          <w:pgMar w:top="737" w:left="487" w:right="566" w:bottom="12833" w:header="0" w:footer="3" w:gutter="0"/>
          <w:rtlGutter w:val="0"/>
          <w:cols w:space="720"/>
          <w:noEndnote/>
          <w:docGrid w:linePitch="360"/>
        </w:sectPr>
      </w:pPr>
      <w:r>
        <w:rPr>
          <w:lang w:val="cs-CZ" w:eastAsia="cs-CZ" w:bidi="cs-CZ"/>
          <w:w w:val="100"/>
          <w:spacing w:val="0"/>
          <w:color w:val="000000"/>
          <w:position w:val="0"/>
        </w:rPr>
        <w:t>Příloha: Žádost</w:t>
      </w:r>
    </w:p>
    <w:p>
      <w:pPr>
        <w:widowControl w:val="0"/>
        <w:spacing w:line="240" w:lineRule="exact"/>
        <w:rPr>
          <w:sz w:val="19"/>
          <w:szCs w:val="19"/>
        </w:rPr>
      </w:pPr>
    </w:p>
    <w:p>
      <w:pPr>
        <w:widowControl w:val="0"/>
        <w:spacing w:line="240" w:lineRule="exact"/>
        <w:rPr>
          <w:sz w:val="19"/>
          <w:szCs w:val="19"/>
        </w:rPr>
      </w:pPr>
    </w:p>
    <w:p>
      <w:pPr>
        <w:widowControl w:val="0"/>
        <w:spacing w:before="24" w:after="24" w:line="240" w:lineRule="exact"/>
        <w:rPr>
          <w:sz w:val="19"/>
          <w:szCs w:val="19"/>
        </w:rPr>
      </w:pPr>
    </w:p>
    <w:p>
      <w:pPr>
        <w:widowControl w:val="0"/>
        <w:rPr>
          <w:sz w:val="2"/>
          <w:szCs w:val="2"/>
        </w:rPr>
        <w:sectPr>
          <w:type w:val="continuous"/>
          <w:pgSz w:w="11900" w:h="16840"/>
          <w:pgMar w:top="722" w:left="0" w:right="0" w:bottom="722" w:header="0" w:footer="3" w:gutter="0"/>
          <w:rtlGutter w:val="0"/>
          <w:cols w:space="720"/>
          <w:noEndnote/>
          <w:docGrid w:linePitch="360"/>
        </w:sectPr>
      </w:pPr>
    </w:p>
    <w:p>
      <w:pPr>
        <w:widowControl w:val="0"/>
        <w:spacing w:line="568" w:lineRule="exact"/>
      </w:pPr>
      <w:r>
        <w:pict>
          <v:shape id="_x0000_s1027" type="#_x0000_t202" style="position:absolute;margin-left:11.75pt;margin-top:0.4pt;width:137.5pt;height:13.05pt;z-index:251657728;mso-wrap-distance-left:5.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200" w:lineRule="exact"/>
                    <w:ind w:left="0" w:right="0" w:firstLine="0"/>
                  </w:pPr>
                  <w:r>
                    <w:rPr>
                      <w:rStyle w:val="CharStyle16"/>
                    </w:rPr>
                    <w:t xml:space="preserve">V Jihlavě, dne: </w:t>
                  </w:r>
                  <w:r>
                    <w:rPr>
                      <w:rStyle w:val="CharStyle17"/>
                    </w:rPr>
                    <w:t xml:space="preserve">/#;/£&gt;. </w:t>
                  </w:r>
                  <w:r>
                    <w:rPr>
                      <w:rStyle w:val="CharStyle18"/>
                      <w:b w:val="0"/>
                      <w:bCs w:val="0"/>
                    </w:rPr>
                    <w:t>Zozo</w:t>
                  </w:r>
                </w:p>
              </w:txbxContent>
            </v:textbox>
            <w10:wrap anchorx="margin"/>
          </v:shape>
        </w:pict>
      </w:r>
      <w:r>
        <w:pict>
          <v:shape id="_x0000_s1028" type="#_x0000_t202" style="position:absolute;margin-left:307.9pt;margin-top:0.1pt;width:108.7pt;height:28.8pt;z-index:251657729;mso-wrap-distance-left:5.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200" w:lineRule="exact"/>
                    <w:ind w:left="0" w:right="0" w:firstLine="0"/>
                  </w:pPr>
                  <w:r>
                    <w:rPr>
                      <w:rStyle w:val="CharStyle16"/>
                    </w:rPr>
                    <w:t>V Jihlavě, dne:</w:t>
                  </w:r>
                </w:p>
                <w:p>
                  <w:pPr>
                    <w:pStyle w:val="Style19"/>
                    <w:widowControl w:val="0"/>
                    <w:keepNext/>
                    <w:keepLines/>
                    <w:shd w:val="clear" w:color="auto" w:fill="auto"/>
                    <w:bidi w:val="0"/>
                    <w:spacing w:before="0" w:after="0" w:line="420" w:lineRule="exact"/>
                    <w:ind w:left="0" w:right="0" w:firstLine="0"/>
                  </w:pPr>
                  <w:bookmarkStart w:id="7" w:name="bookmark7"/>
                  <w:r>
                    <w:rPr>
                      <w:rStyle w:val="CharStyle21"/>
                      <w:b/>
                      <w:bCs/>
                      <w:i/>
                      <w:iCs/>
                    </w:rPr>
                    <w:t>Zí/4</w:t>
                  </w:r>
                  <w:bookmarkEnd w:id="7"/>
                </w:p>
              </w:txbxContent>
            </v:textbox>
            <w10:wrap anchorx="margin"/>
          </v:shape>
        </w:pict>
      </w:r>
      <w:r>
        <w:pict>
          <v:shape id="_x0000_s1029" type="#_x0000_t202" style="position:absolute;margin-left:432.pt;margin-top:5.75pt;width:32.4pt;height:16.5pt;z-index:251657730;mso-wrap-distance-left:5.pt;mso-wrap-distance-right:5.pt;mso-position-horizontal-relative:margin" filled="f" stroked="f">
            <v:textbox style="mso-fit-shape-to-text:t" inset="0,0,0,0">
              <w:txbxContent>
                <w:p>
                  <w:pPr>
                    <w:pStyle w:val="Style22"/>
                    <w:widowControl w:val="0"/>
                    <w:keepNext/>
                    <w:keepLines/>
                    <w:shd w:val="clear" w:color="auto" w:fill="auto"/>
                    <w:bidi w:val="0"/>
                    <w:jc w:val="left"/>
                    <w:spacing w:before="0" w:after="0" w:line="260" w:lineRule="exact"/>
                    <w:ind w:left="0" w:right="0" w:firstLine="0"/>
                  </w:pPr>
                  <w:bookmarkStart w:id="8" w:name="bookmark8"/>
                  <w:r>
                    <w:rPr>
                      <w:rStyle w:val="CharStyle24"/>
                      <w:b/>
                      <w:bCs/>
                      <w:i/>
                      <w:iCs/>
                    </w:rPr>
                    <w:t>íioíťd</w:t>
                  </w:r>
                  <w:bookmarkEnd w:id="8"/>
                </w:p>
              </w:txbxContent>
            </v:textbox>
            <w10:wrap anchorx="margin"/>
          </v:shape>
        </w:pict>
      </w:r>
    </w:p>
    <w:p>
      <w:pPr>
        <w:widowControl w:val="0"/>
        <w:rPr>
          <w:sz w:val="2"/>
          <w:szCs w:val="2"/>
        </w:rPr>
      </w:pPr>
    </w:p>
    <w:sectPr>
      <w:type w:val="continuous"/>
      <w:pgSz w:w="11900" w:h="16840"/>
      <w:pgMar w:top="722" w:left="487" w:right="566" w:bottom="722"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6.95pt;margin-top:270.65pt;width:342.95pt;height:8.9pt;z-index:-188744064;mso-wrap-distance-left:5.pt;mso-wrap-distance-right:5.pt;mso-position-horizontal-relative:page;mso-position-vertical-relative:page" wrapcoords="0 0" filled="f" stroked="f">
          <v:textbox style="mso-fit-shape-to-text:t" inset="0,0,0,0">
            <w:txbxContent>
              <w:p>
                <w:pPr>
                  <w:pStyle w:val="Style12"/>
                  <w:tabs>
                    <w:tab w:leader="none" w:pos="6859" w:val="right"/>
                  </w:tabs>
                  <w:widowControl w:val="0"/>
                  <w:keepNext w:val="0"/>
                  <w:keepLines w:val="0"/>
                  <w:shd w:val="clear" w:color="auto" w:fill="auto"/>
                  <w:bidi w:val="0"/>
                  <w:jc w:val="left"/>
                  <w:spacing w:before="0" w:after="0" w:line="240" w:lineRule="auto"/>
                  <w:ind w:left="0" w:right="0" w:firstLine="0"/>
                </w:pPr>
                <w:r>
                  <w:rPr>
                    <w:rStyle w:val="CharStyle14"/>
                  </w:rPr>
                  <w:t>Prodávající: Ing. Radovan'Necid</w:t>
                  <w:tab/>
                </w:r>
                <w:r>
                  <w:rPr>
                    <w:rStyle w:val="CharStyle15"/>
                  </w:rPr>
                  <w:t>Kupující:</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bCs/>
        <w:i w:val="0"/>
        <w:iCs w:val="0"/>
        <w:u w:val="none"/>
        <w:strike w:val="0"/>
        <w:smallCaps w:val="0"/>
        <w:sz w:val="20"/>
        <w:szCs w:val="20"/>
        <w:rFonts w:ascii="Calibri" w:eastAsia="Calibri" w:hAnsi="Calibri" w:cs="Calibri"/>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dpis #3 (2)_"/>
    <w:basedOn w:val="DefaultParagraphFont"/>
    <w:link w:val="Style3"/>
    <w:rPr>
      <w:b/>
      <w:bCs/>
      <w:i w:val="0"/>
      <w:iCs w:val="0"/>
      <w:u w:val="none"/>
      <w:strike w:val="0"/>
      <w:smallCaps w:val="0"/>
      <w:sz w:val="24"/>
      <w:szCs w:val="24"/>
      <w:rFonts w:ascii="Calibri" w:eastAsia="Calibri" w:hAnsi="Calibri" w:cs="Calibri"/>
    </w:rPr>
  </w:style>
  <w:style w:type="character" w:customStyle="1" w:styleId="CharStyle6">
    <w:name w:val="Nadpis #4 (2)_"/>
    <w:basedOn w:val="DefaultParagraphFont"/>
    <w:link w:val="Style5"/>
    <w:rPr>
      <w:b/>
      <w:bCs/>
      <w:i w:val="0"/>
      <w:iCs w:val="0"/>
      <w:u w:val="none"/>
      <w:strike w:val="0"/>
      <w:smallCaps w:val="0"/>
      <w:sz w:val="20"/>
      <w:szCs w:val="20"/>
      <w:rFonts w:ascii="Calibri" w:eastAsia="Calibri" w:hAnsi="Calibri" w:cs="Calibri"/>
    </w:rPr>
  </w:style>
  <w:style w:type="character" w:customStyle="1" w:styleId="CharStyle8">
    <w:name w:val="Základní text (2)_"/>
    <w:basedOn w:val="DefaultParagraphFont"/>
    <w:link w:val="Style7"/>
    <w:rPr>
      <w:b w:val="0"/>
      <w:bCs w:val="0"/>
      <w:i w:val="0"/>
      <w:iCs w:val="0"/>
      <w:u w:val="none"/>
      <w:strike w:val="0"/>
      <w:smallCaps w:val="0"/>
      <w:sz w:val="20"/>
      <w:szCs w:val="20"/>
      <w:rFonts w:ascii="Calibri" w:eastAsia="Calibri" w:hAnsi="Calibri" w:cs="Calibri"/>
    </w:rPr>
  </w:style>
  <w:style w:type="character" w:customStyle="1" w:styleId="CharStyle10">
    <w:name w:val="Základní text (12)_"/>
    <w:basedOn w:val="DefaultParagraphFont"/>
    <w:link w:val="Style9"/>
    <w:rPr>
      <w:b/>
      <w:bCs/>
      <w:i w:val="0"/>
      <w:iCs w:val="0"/>
      <w:u w:val="none"/>
      <w:strike w:val="0"/>
      <w:smallCaps w:val="0"/>
      <w:sz w:val="20"/>
      <w:szCs w:val="20"/>
      <w:rFonts w:ascii="Calibri" w:eastAsia="Calibri" w:hAnsi="Calibri" w:cs="Calibri"/>
    </w:rPr>
  </w:style>
  <w:style w:type="character" w:customStyle="1" w:styleId="CharStyle11">
    <w:name w:val="Základní text (2) + Kurzíva"/>
    <w:basedOn w:val="CharStyle8"/>
    <w:rPr>
      <w:lang w:val="cs-CZ" w:eastAsia="cs-CZ" w:bidi="cs-CZ"/>
      <w:b/>
      <w:bCs/>
      <w:i/>
      <w:iCs/>
      <w:w w:val="100"/>
      <w:spacing w:val="0"/>
      <w:color w:val="000000"/>
      <w:position w:val="0"/>
    </w:rPr>
  </w:style>
  <w:style w:type="character" w:customStyle="1" w:styleId="CharStyle13">
    <w:name w:val="Záhlaví nebo Zápatí_"/>
    <w:basedOn w:val="DefaultParagraphFont"/>
    <w:link w:val="Style12"/>
    <w:rPr>
      <w:b w:val="0"/>
      <w:bCs w:val="0"/>
      <w:i w:val="0"/>
      <w:iCs w:val="0"/>
      <w:u w:val="none"/>
      <w:strike w:val="0"/>
      <w:smallCaps w:val="0"/>
      <w:sz w:val="10"/>
      <w:szCs w:val="10"/>
      <w:rFonts w:ascii="Calibri" w:eastAsia="Calibri" w:hAnsi="Calibri" w:cs="Calibri"/>
      <w:spacing w:val="0"/>
    </w:rPr>
  </w:style>
  <w:style w:type="character" w:customStyle="1" w:styleId="CharStyle14">
    <w:name w:val="Záhlaví nebo Zápatí + 10 pt"/>
    <w:basedOn w:val="CharStyle13"/>
    <w:rPr>
      <w:lang w:val="cs-CZ" w:eastAsia="cs-CZ" w:bidi="cs-CZ"/>
      <w:sz w:val="20"/>
      <w:szCs w:val="20"/>
      <w:w w:val="100"/>
      <w:spacing w:val="0"/>
      <w:color w:val="000000"/>
      <w:position w:val="0"/>
    </w:rPr>
  </w:style>
  <w:style w:type="character" w:customStyle="1" w:styleId="CharStyle15">
    <w:name w:val="Záhlaví nebo Zápatí + Verdana,7,5 pt"/>
    <w:basedOn w:val="CharStyle13"/>
    <w:rPr>
      <w:lang w:val="cs-CZ" w:eastAsia="cs-CZ" w:bidi="cs-CZ"/>
      <w:sz w:val="15"/>
      <w:szCs w:val="15"/>
      <w:rFonts w:ascii="Verdana" w:eastAsia="Verdana" w:hAnsi="Verdana" w:cs="Verdana"/>
      <w:w w:val="100"/>
      <w:spacing w:val="0"/>
      <w:color w:val="000000"/>
      <w:position w:val="0"/>
    </w:rPr>
  </w:style>
  <w:style w:type="character" w:customStyle="1" w:styleId="CharStyle16">
    <w:name w:val="Základní text (2) Exact"/>
    <w:basedOn w:val="DefaultParagraphFont"/>
    <w:rPr>
      <w:b w:val="0"/>
      <w:bCs w:val="0"/>
      <w:i w:val="0"/>
      <w:iCs w:val="0"/>
      <w:u w:val="none"/>
      <w:strike w:val="0"/>
      <w:smallCaps w:val="0"/>
      <w:sz w:val="20"/>
      <w:szCs w:val="20"/>
      <w:rFonts w:ascii="Calibri" w:eastAsia="Calibri" w:hAnsi="Calibri" w:cs="Calibri"/>
    </w:rPr>
  </w:style>
  <w:style w:type="character" w:customStyle="1" w:styleId="CharStyle17">
    <w:name w:val="Základní text (2) Exact"/>
    <w:basedOn w:val="CharStyle8"/>
    <w:rPr>
      <w:lang w:val="cs-CZ" w:eastAsia="cs-CZ" w:bidi="cs-CZ"/>
      <w:w w:val="100"/>
      <w:spacing w:val="0"/>
      <w:color w:val="000000"/>
      <w:position w:val="0"/>
    </w:rPr>
  </w:style>
  <w:style w:type="character" w:customStyle="1" w:styleId="CharStyle18">
    <w:name w:val="Základní text (2) + Kurzíva Exact"/>
    <w:basedOn w:val="CharStyle8"/>
    <w:rPr>
      <w:lang w:val="cs-CZ" w:eastAsia="cs-CZ" w:bidi="cs-CZ"/>
      <w:b/>
      <w:bCs/>
      <w:i/>
      <w:iCs/>
      <w:w w:val="100"/>
      <w:spacing w:val="0"/>
      <w:color w:val="000000"/>
      <w:position w:val="0"/>
    </w:rPr>
  </w:style>
  <w:style w:type="character" w:customStyle="1" w:styleId="CharStyle20">
    <w:name w:val="Nadpis #1 (3) Exact"/>
    <w:basedOn w:val="DefaultParagraphFont"/>
    <w:link w:val="Style19"/>
    <w:rPr>
      <w:b/>
      <w:bCs/>
      <w:i/>
      <w:iCs/>
      <w:u w:val="none"/>
      <w:strike w:val="0"/>
      <w:smallCaps w:val="0"/>
      <w:sz w:val="42"/>
      <w:szCs w:val="42"/>
      <w:rFonts w:ascii="Courier New" w:eastAsia="Courier New" w:hAnsi="Courier New" w:cs="Courier New"/>
    </w:rPr>
  </w:style>
  <w:style w:type="character" w:customStyle="1" w:styleId="CharStyle21">
    <w:name w:val="Nadpis #1 (3) Exact"/>
    <w:basedOn w:val="CharStyle20"/>
    <w:rPr>
      <w:lang w:val="cs-CZ" w:eastAsia="cs-CZ" w:bidi="cs-CZ"/>
      <w:w w:val="100"/>
      <w:spacing w:val="0"/>
      <w:color w:val="000000"/>
      <w:position w:val="0"/>
    </w:rPr>
  </w:style>
  <w:style w:type="character" w:customStyle="1" w:styleId="CharStyle23">
    <w:name w:val="Nadpis #2 (2) Exact"/>
    <w:basedOn w:val="DefaultParagraphFont"/>
    <w:link w:val="Style22"/>
    <w:rPr>
      <w:b/>
      <w:bCs/>
      <w:i/>
      <w:iCs/>
      <w:u w:val="none"/>
      <w:strike w:val="0"/>
      <w:smallCaps w:val="0"/>
      <w:sz w:val="26"/>
      <w:szCs w:val="26"/>
      <w:rFonts w:ascii="Calibri" w:eastAsia="Calibri" w:hAnsi="Calibri" w:cs="Calibri"/>
      <w:spacing w:val="-20"/>
    </w:rPr>
  </w:style>
  <w:style w:type="character" w:customStyle="1" w:styleId="CharStyle24">
    <w:name w:val="Nadpis #2 (2) Exact"/>
    <w:basedOn w:val="CharStyle23"/>
    <w:rPr>
      <w:lang w:val="cs-CZ" w:eastAsia="cs-CZ" w:bidi="cs-CZ"/>
      <w:w w:val="100"/>
      <w:color w:val="000000"/>
      <w:position w:val="0"/>
    </w:rPr>
  </w:style>
  <w:style w:type="paragraph" w:customStyle="1" w:styleId="Style3">
    <w:name w:val="Nadpis #3 (2)"/>
    <w:basedOn w:val="Normal"/>
    <w:link w:val="CharStyle4"/>
    <w:pPr>
      <w:widowControl w:val="0"/>
      <w:shd w:val="clear" w:color="auto" w:fill="FFFFFF"/>
      <w:jc w:val="center"/>
      <w:outlineLvl w:val="2"/>
      <w:spacing w:after="300" w:line="0" w:lineRule="exact"/>
    </w:pPr>
    <w:rPr>
      <w:b/>
      <w:bCs/>
      <w:i w:val="0"/>
      <w:iCs w:val="0"/>
      <w:u w:val="none"/>
      <w:strike w:val="0"/>
      <w:smallCaps w:val="0"/>
      <w:sz w:val="24"/>
      <w:szCs w:val="24"/>
      <w:rFonts w:ascii="Calibri" w:eastAsia="Calibri" w:hAnsi="Calibri" w:cs="Calibri"/>
    </w:rPr>
  </w:style>
  <w:style w:type="paragraph" w:customStyle="1" w:styleId="Style5">
    <w:name w:val="Nadpis #4 (2)"/>
    <w:basedOn w:val="Normal"/>
    <w:link w:val="CharStyle6"/>
    <w:pPr>
      <w:widowControl w:val="0"/>
      <w:shd w:val="clear" w:color="auto" w:fill="FFFFFF"/>
      <w:jc w:val="both"/>
      <w:outlineLvl w:val="3"/>
      <w:spacing w:before="300" w:after="60" w:line="0" w:lineRule="exact"/>
    </w:pPr>
    <w:rPr>
      <w:b/>
      <w:bCs/>
      <w:i w:val="0"/>
      <w:iCs w:val="0"/>
      <w:u w:val="none"/>
      <w:strike w:val="0"/>
      <w:smallCaps w:val="0"/>
      <w:sz w:val="20"/>
      <w:szCs w:val="20"/>
      <w:rFonts w:ascii="Calibri" w:eastAsia="Calibri" w:hAnsi="Calibri" w:cs="Calibri"/>
    </w:rPr>
  </w:style>
  <w:style w:type="paragraph" w:customStyle="1" w:styleId="Style7">
    <w:name w:val="Základní text (2)"/>
    <w:basedOn w:val="Normal"/>
    <w:link w:val="CharStyle8"/>
    <w:pPr>
      <w:widowControl w:val="0"/>
      <w:shd w:val="clear" w:color="auto" w:fill="FFFFFF"/>
      <w:spacing w:before="60" w:line="240" w:lineRule="exact"/>
    </w:pPr>
    <w:rPr>
      <w:b w:val="0"/>
      <w:bCs w:val="0"/>
      <w:i w:val="0"/>
      <w:iCs w:val="0"/>
      <w:u w:val="none"/>
      <w:strike w:val="0"/>
      <w:smallCaps w:val="0"/>
      <w:sz w:val="20"/>
      <w:szCs w:val="20"/>
      <w:rFonts w:ascii="Calibri" w:eastAsia="Calibri" w:hAnsi="Calibri" w:cs="Calibri"/>
    </w:rPr>
  </w:style>
  <w:style w:type="paragraph" w:customStyle="1" w:styleId="Style9">
    <w:name w:val="Základní text (12)"/>
    <w:basedOn w:val="Normal"/>
    <w:link w:val="CharStyle10"/>
    <w:pPr>
      <w:widowControl w:val="0"/>
      <w:shd w:val="clear" w:color="auto" w:fill="FFFFFF"/>
      <w:jc w:val="both"/>
      <w:spacing w:line="240" w:lineRule="exact"/>
    </w:pPr>
    <w:rPr>
      <w:b/>
      <w:bCs/>
      <w:i w:val="0"/>
      <w:iCs w:val="0"/>
      <w:u w:val="none"/>
      <w:strike w:val="0"/>
      <w:smallCaps w:val="0"/>
      <w:sz w:val="20"/>
      <w:szCs w:val="20"/>
      <w:rFonts w:ascii="Calibri" w:eastAsia="Calibri" w:hAnsi="Calibri" w:cs="Calibri"/>
    </w:rPr>
  </w:style>
  <w:style w:type="paragraph" w:customStyle="1" w:styleId="Style12">
    <w:name w:val="Záhlaví nebo Zápatí"/>
    <w:basedOn w:val="Normal"/>
    <w:link w:val="CharStyle13"/>
    <w:pPr>
      <w:widowControl w:val="0"/>
      <w:shd w:val="clear" w:color="auto" w:fill="FFFFFF"/>
      <w:jc w:val="both"/>
      <w:spacing w:line="0" w:lineRule="exact"/>
    </w:pPr>
    <w:rPr>
      <w:b w:val="0"/>
      <w:bCs w:val="0"/>
      <w:i w:val="0"/>
      <w:iCs w:val="0"/>
      <w:u w:val="none"/>
      <w:strike w:val="0"/>
      <w:smallCaps w:val="0"/>
      <w:sz w:val="10"/>
      <w:szCs w:val="10"/>
      <w:rFonts w:ascii="Calibri" w:eastAsia="Calibri" w:hAnsi="Calibri" w:cs="Calibri"/>
      <w:spacing w:val="0"/>
    </w:rPr>
  </w:style>
  <w:style w:type="paragraph" w:customStyle="1" w:styleId="Style19">
    <w:name w:val="Nadpis #1 (3)"/>
    <w:basedOn w:val="Normal"/>
    <w:link w:val="CharStyle20"/>
    <w:pPr>
      <w:widowControl w:val="0"/>
      <w:shd w:val="clear" w:color="auto" w:fill="FFFFFF"/>
      <w:jc w:val="right"/>
      <w:outlineLvl w:val="0"/>
      <w:spacing w:line="0" w:lineRule="exact"/>
    </w:pPr>
    <w:rPr>
      <w:b/>
      <w:bCs/>
      <w:i/>
      <w:iCs/>
      <w:u w:val="none"/>
      <w:strike w:val="0"/>
      <w:smallCaps w:val="0"/>
      <w:sz w:val="42"/>
      <w:szCs w:val="42"/>
      <w:rFonts w:ascii="Courier New" w:eastAsia="Courier New" w:hAnsi="Courier New" w:cs="Courier New"/>
    </w:rPr>
  </w:style>
  <w:style w:type="paragraph" w:customStyle="1" w:styleId="Style22">
    <w:name w:val="Nadpis #2 (2)"/>
    <w:basedOn w:val="Normal"/>
    <w:link w:val="CharStyle23"/>
    <w:pPr>
      <w:widowControl w:val="0"/>
      <w:shd w:val="clear" w:color="auto" w:fill="FFFFFF"/>
      <w:outlineLvl w:val="1"/>
      <w:spacing w:line="0" w:lineRule="exact"/>
    </w:pPr>
    <w:rPr>
      <w:b/>
      <w:bCs/>
      <w:i/>
      <w:iCs/>
      <w:u w:val="none"/>
      <w:strike w:val="0"/>
      <w:smallCaps w:val="0"/>
      <w:sz w:val="26"/>
      <w:szCs w:val="26"/>
      <w:rFonts w:ascii="Calibri" w:eastAsia="Calibri" w:hAnsi="Calibri" w:cs="Calibri"/>
      <w:spacing w:val="-2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