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>PhDr. Milanem Kramárikem</w:t>
      </w:r>
      <w:r w:rsidR="000F551D">
        <w:rPr>
          <w:sz w:val="24"/>
        </w:rPr>
        <w:t xml:space="preserve"> </w:t>
      </w:r>
      <w:r w:rsidR="006D446A">
        <w:rPr>
          <w:sz w:val="24"/>
        </w:rPr>
        <w:t>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>Číslo 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502401" w:rsidRDefault="00502401">
      <w:pPr>
        <w:rPr>
          <w:b/>
          <w:sz w:val="24"/>
        </w:rPr>
      </w:pP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89090A">
        <w:rPr>
          <w:b/>
          <w:sz w:val="24"/>
        </w:rPr>
        <w:t>S-GUIDE</w:t>
      </w:r>
      <w:r w:rsidR="00DE1644">
        <w:rPr>
          <w:b/>
          <w:sz w:val="24"/>
        </w:rPr>
        <w:t>,</w:t>
      </w:r>
      <w:r w:rsidR="0089090A">
        <w:rPr>
          <w:b/>
          <w:sz w:val="24"/>
        </w:rPr>
        <w:t xml:space="preserve"> s.r.o.</w:t>
      </w:r>
    </w:p>
    <w:p w:rsidR="00582F81" w:rsidRDefault="00582F81" w:rsidP="007944D1">
      <w:pPr>
        <w:rPr>
          <w:sz w:val="24"/>
        </w:rPr>
      </w:pPr>
    </w:p>
    <w:p w:rsidR="00046A00" w:rsidRDefault="007944D1" w:rsidP="007944D1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89090A">
        <w:rPr>
          <w:sz w:val="24"/>
        </w:rPr>
        <w:t>Erbenova 8, 602 00 Brno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89090A">
        <w:rPr>
          <w:sz w:val="24"/>
        </w:rPr>
        <w:t>Ing. Robert Paul, jednatel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360966">
        <w:rPr>
          <w:sz w:val="24"/>
        </w:rPr>
        <w:t>2</w:t>
      </w:r>
      <w:r w:rsidR="0089090A">
        <w:rPr>
          <w:sz w:val="24"/>
        </w:rPr>
        <w:t>6946718</w:t>
      </w:r>
    </w:p>
    <w:p w:rsidR="00690E45" w:rsidRDefault="00690E45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  <w:r w:rsidR="00046A00">
        <w:rPr>
          <w:sz w:val="24"/>
        </w:rPr>
        <w:t>CZ</w:t>
      </w:r>
      <w:r w:rsidR="0089090A">
        <w:rPr>
          <w:sz w:val="24"/>
        </w:rPr>
        <w:t>26946718</w:t>
      </w:r>
    </w:p>
    <w:p w:rsidR="00203F2B" w:rsidRDefault="00203F2B" w:rsidP="007944D1">
      <w:pPr>
        <w:rPr>
          <w:sz w:val="24"/>
        </w:rPr>
      </w:pPr>
    </w:p>
    <w:p w:rsidR="00690E45" w:rsidRDefault="00581636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090A">
        <w:rPr>
          <w:sz w:val="24"/>
        </w:rPr>
        <w:t>1894492001</w:t>
      </w:r>
      <w:r w:rsidR="00F62997">
        <w:rPr>
          <w:sz w:val="24"/>
        </w:rPr>
        <w:t>/5500, Raiffe</w:t>
      </w:r>
      <w:r w:rsidR="0089090A">
        <w:rPr>
          <w:sz w:val="24"/>
        </w:rPr>
        <w:t>isenbank a.s.</w:t>
      </w:r>
    </w:p>
    <w:p w:rsidR="00690E45" w:rsidRDefault="00582F8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62997">
        <w:rPr>
          <w:sz w:val="24"/>
        </w:rPr>
        <w:t>515 917 111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</w:r>
      <w:r w:rsidR="00F62997">
        <w:rPr>
          <w:sz w:val="24"/>
        </w:rPr>
        <w:t>info@moje-lazne.cz</w:t>
      </w:r>
    </w:p>
    <w:p w:rsidR="00581636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582F81" w:rsidRDefault="007944D1" w:rsidP="00360966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62997">
        <w:rPr>
          <w:sz w:val="24"/>
        </w:rPr>
        <w:t>Jana Hájková</w:t>
      </w:r>
    </w:p>
    <w:p w:rsidR="00360966" w:rsidRDefault="00360966" w:rsidP="00360966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582F81" w:rsidRDefault="00582F81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v případě interkurentního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„nekalosoutěžního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lastRenderedPageBreak/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285AF2">
        <w:rPr>
          <w:sz w:val="24"/>
        </w:rPr>
        <w:t>XXX</w:t>
      </w:r>
      <w:bookmarkStart w:id="0" w:name="_GoBack"/>
      <w:bookmarkEnd w:id="0"/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 xml:space="preserve"> </w:t>
      </w:r>
      <w:r>
        <w:rPr>
          <w:sz w:val="24"/>
        </w:rPr>
        <w:t>30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nekalosoutěžního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</w:r>
      <w:r w:rsidR="000B49ED">
        <w:rPr>
          <w:sz w:val="24"/>
        </w:rPr>
        <w:tab/>
      </w:r>
      <w:r w:rsidR="000B49ED">
        <w:rPr>
          <w:sz w:val="24"/>
        </w:rPr>
        <w:tab/>
      </w:r>
      <w:r w:rsidR="000B49ED">
        <w:rPr>
          <w:sz w:val="24"/>
        </w:rPr>
        <w:tab/>
      </w:r>
      <w:r w:rsidR="00F62997">
        <w:rPr>
          <w:sz w:val="24"/>
        </w:rPr>
        <w:t>Ing. Robert Paul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ab/>
        <w:t xml:space="preserve">            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1DC">
        <w:rPr>
          <w:sz w:val="24"/>
        </w:rPr>
        <w:t xml:space="preserve">          </w:t>
      </w:r>
      <w:r w:rsidR="000B49ED">
        <w:rPr>
          <w:sz w:val="24"/>
        </w:rPr>
        <w:t>jednatel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9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85AF2">
      <w:rPr>
        <w:rStyle w:val="slostrnky"/>
        <w:noProof/>
      </w:rPr>
      <w:t>3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46A00"/>
    <w:rsid w:val="00067899"/>
    <w:rsid w:val="00072850"/>
    <w:rsid w:val="00080A00"/>
    <w:rsid w:val="000B49ED"/>
    <w:rsid w:val="000F551D"/>
    <w:rsid w:val="001220F3"/>
    <w:rsid w:val="00122A1B"/>
    <w:rsid w:val="00142E88"/>
    <w:rsid w:val="00150F2B"/>
    <w:rsid w:val="00173522"/>
    <w:rsid w:val="00174E6A"/>
    <w:rsid w:val="001866D8"/>
    <w:rsid w:val="001A6477"/>
    <w:rsid w:val="001B140B"/>
    <w:rsid w:val="001E7815"/>
    <w:rsid w:val="001F2EAC"/>
    <w:rsid w:val="00203F2B"/>
    <w:rsid w:val="00224FA2"/>
    <w:rsid w:val="0023121D"/>
    <w:rsid w:val="002457D9"/>
    <w:rsid w:val="002562EC"/>
    <w:rsid w:val="00257032"/>
    <w:rsid w:val="002720EF"/>
    <w:rsid w:val="00280108"/>
    <w:rsid w:val="00285AF2"/>
    <w:rsid w:val="00287FBA"/>
    <w:rsid w:val="002C11DC"/>
    <w:rsid w:val="002D0AB7"/>
    <w:rsid w:val="003217B7"/>
    <w:rsid w:val="003374CE"/>
    <w:rsid w:val="00342256"/>
    <w:rsid w:val="00360966"/>
    <w:rsid w:val="00362CA8"/>
    <w:rsid w:val="0037344A"/>
    <w:rsid w:val="0037523E"/>
    <w:rsid w:val="003901B0"/>
    <w:rsid w:val="00390BD8"/>
    <w:rsid w:val="003B1FEB"/>
    <w:rsid w:val="003B49CB"/>
    <w:rsid w:val="003E227E"/>
    <w:rsid w:val="004027B9"/>
    <w:rsid w:val="004430ED"/>
    <w:rsid w:val="00487129"/>
    <w:rsid w:val="004B2810"/>
    <w:rsid w:val="004B7187"/>
    <w:rsid w:val="004C03DD"/>
    <w:rsid w:val="004E129B"/>
    <w:rsid w:val="00502401"/>
    <w:rsid w:val="005044CD"/>
    <w:rsid w:val="005046A6"/>
    <w:rsid w:val="005123E8"/>
    <w:rsid w:val="00533FAC"/>
    <w:rsid w:val="00536C94"/>
    <w:rsid w:val="00581636"/>
    <w:rsid w:val="00582AA8"/>
    <w:rsid w:val="00582F81"/>
    <w:rsid w:val="005A4F38"/>
    <w:rsid w:val="005B083D"/>
    <w:rsid w:val="005E16DB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6070E"/>
    <w:rsid w:val="00765102"/>
    <w:rsid w:val="00781274"/>
    <w:rsid w:val="007944D1"/>
    <w:rsid w:val="007B206C"/>
    <w:rsid w:val="007D33F9"/>
    <w:rsid w:val="007D3CAF"/>
    <w:rsid w:val="007E32C3"/>
    <w:rsid w:val="007E5C4F"/>
    <w:rsid w:val="007F39CE"/>
    <w:rsid w:val="007F43A7"/>
    <w:rsid w:val="00816992"/>
    <w:rsid w:val="008300E8"/>
    <w:rsid w:val="0083677B"/>
    <w:rsid w:val="0085092D"/>
    <w:rsid w:val="0086055E"/>
    <w:rsid w:val="0089090A"/>
    <w:rsid w:val="00895136"/>
    <w:rsid w:val="008A071B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C09C6"/>
    <w:rsid w:val="009E37CD"/>
    <w:rsid w:val="00A15494"/>
    <w:rsid w:val="00A37789"/>
    <w:rsid w:val="00A6181A"/>
    <w:rsid w:val="00AA33E5"/>
    <w:rsid w:val="00AB7CC2"/>
    <w:rsid w:val="00AE4DAD"/>
    <w:rsid w:val="00AE5AF8"/>
    <w:rsid w:val="00AE695C"/>
    <w:rsid w:val="00B74CD3"/>
    <w:rsid w:val="00B90503"/>
    <w:rsid w:val="00B9120F"/>
    <w:rsid w:val="00BB00F5"/>
    <w:rsid w:val="00BC1AE7"/>
    <w:rsid w:val="00BE3B57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6E83"/>
    <w:rsid w:val="00D17A53"/>
    <w:rsid w:val="00D21C96"/>
    <w:rsid w:val="00D63AA5"/>
    <w:rsid w:val="00DE1644"/>
    <w:rsid w:val="00DF3BCF"/>
    <w:rsid w:val="00DF7AC0"/>
    <w:rsid w:val="00E07A4A"/>
    <w:rsid w:val="00E23CF1"/>
    <w:rsid w:val="00E4361E"/>
    <w:rsid w:val="00EC48C7"/>
    <w:rsid w:val="00ED043E"/>
    <w:rsid w:val="00ED6D3F"/>
    <w:rsid w:val="00EF140C"/>
    <w:rsid w:val="00F11A17"/>
    <w:rsid w:val="00F11F3A"/>
    <w:rsid w:val="00F31E34"/>
    <w:rsid w:val="00F62997"/>
    <w:rsid w:val="00F76662"/>
    <w:rsid w:val="00F80955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Kodlová Sabina</cp:lastModifiedBy>
  <cp:revision>4</cp:revision>
  <cp:lastPrinted>2017-01-24T13:31:00Z</cp:lastPrinted>
  <dcterms:created xsi:type="dcterms:W3CDTF">2017-01-23T06:30:00Z</dcterms:created>
  <dcterms:modified xsi:type="dcterms:W3CDTF">2017-01-25T13:34:00Z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