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B655" w14:textId="77777777" w:rsidR="00AD64B2" w:rsidRPr="00E95AD1" w:rsidRDefault="00AD64B2" w:rsidP="007917CA">
      <w:pPr>
        <w:pStyle w:val="Nadpis1"/>
        <w:spacing w:before="240" w:line="360" w:lineRule="auto"/>
        <w:ind w:left="-1440"/>
        <w:rPr>
          <w:rFonts w:cs="Arial"/>
          <w:sz w:val="32"/>
          <w:szCs w:val="32"/>
        </w:rPr>
      </w:pPr>
      <w:r>
        <w:rPr>
          <w:rFonts w:cs="Arial"/>
          <w:sz w:val="28"/>
          <w:szCs w:val="28"/>
        </w:rPr>
        <w:t xml:space="preserve">                 </w:t>
      </w:r>
      <w:r w:rsidR="00AC52D4" w:rsidRPr="00E95AD1">
        <w:rPr>
          <w:rFonts w:cs="Arial"/>
          <w:sz w:val="32"/>
          <w:szCs w:val="32"/>
        </w:rPr>
        <w:t>RÁMCOV</w:t>
      </w:r>
      <w:r w:rsidR="00423A26" w:rsidRPr="00E95AD1">
        <w:rPr>
          <w:rFonts w:cs="Arial"/>
          <w:sz w:val="32"/>
          <w:szCs w:val="32"/>
        </w:rPr>
        <w:t>Á</w:t>
      </w:r>
      <w:r w:rsidR="00AC52D4" w:rsidRPr="00E95AD1">
        <w:rPr>
          <w:rFonts w:cs="Arial"/>
          <w:sz w:val="32"/>
          <w:szCs w:val="32"/>
        </w:rPr>
        <w:t xml:space="preserve"> </w:t>
      </w:r>
      <w:r w:rsidR="00726F79" w:rsidRPr="00E95AD1">
        <w:rPr>
          <w:rFonts w:cs="Arial"/>
          <w:sz w:val="32"/>
          <w:szCs w:val="32"/>
        </w:rPr>
        <w:t>KUPNÍ SMLOUV</w:t>
      </w:r>
      <w:r w:rsidR="00423A26" w:rsidRPr="00E95AD1">
        <w:rPr>
          <w:rFonts w:cs="Arial"/>
          <w:sz w:val="32"/>
          <w:szCs w:val="32"/>
        </w:rPr>
        <w:t>A</w:t>
      </w:r>
      <w:r w:rsidR="00586E9E" w:rsidRPr="00E95AD1">
        <w:rPr>
          <w:rFonts w:cs="Arial"/>
          <w:sz w:val="32"/>
          <w:szCs w:val="32"/>
        </w:rPr>
        <w:t xml:space="preserve"> </w:t>
      </w:r>
    </w:p>
    <w:p w14:paraId="6709AD60" w14:textId="77777777" w:rsidR="00045BA0" w:rsidRPr="00045BA0" w:rsidRDefault="00045BA0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794D2C30" w14:textId="77777777" w:rsidR="00AD64B2" w:rsidRPr="00456759" w:rsidRDefault="00423A26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423A26">
        <w:rPr>
          <w:rFonts w:ascii="Arial" w:hAnsi="Arial" w:cs="Arial"/>
          <w:b/>
          <w:sz w:val="28"/>
          <w:szCs w:val="28"/>
        </w:rPr>
        <w:t>dodávka roušek – jednorázová třívrstvá s</w:t>
      </w:r>
      <w:r>
        <w:rPr>
          <w:rFonts w:ascii="Arial" w:hAnsi="Arial" w:cs="Arial"/>
          <w:b/>
          <w:sz w:val="28"/>
          <w:szCs w:val="28"/>
        </w:rPr>
        <w:t> </w:t>
      </w:r>
      <w:r w:rsidRPr="00423A26">
        <w:rPr>
          <w:rFonts w:ascii="Arial" w:hAnsi="Arial" w:cs="Arial"/>
          <w:b/>
          <w:sz w:val="28"/>
          <w:szCs w:val="28"/>
        </w:rPr>
        <w:t>gumičkami</w:t>
      </w:r>
      <w:r>
        <w:rPr>
          <w:rFonts w:ascii="Arial" w:hAnsi="Arial" w:cs="Arial"/>
          <w:b/>
          <w:sz w:val="28"/>
          <w:szCs w:val="28"/>
        </w:rPr>
        <w:t>“</w:t>
      </w:r>
    </w:p>
    <w:p w14:paraId="20A5385B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7D6FCBE7" w14:textId="77777777" w:rsidR="00423A26" w:rsidRDefault="00423A26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44EE5CB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0768E0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68E98FC" w14:textId="5D18F092" w:rsidR="00A50C0E" w:rsidRDefault="006678C2" w:rsidP="00A50C0E">
      <w:pPr>
        <w:widowControl w:val="0"/>
        <w:suppressAutoHyphens/>
        <w:rPr>
          <w:rFonts w:ascii="Arial" w:hAnsi="Arial" w:cs="Arial"/>
        </w:rPr>
      </w:pPr>
      <w:r w:rsidRPr="00B11438">
        <w:rPr>
          <w:rFonts w:ascii="Arial" w:hAnsi="Arial" w:cs="Arial"/>
          <w:b/>
        </w:rPr>
        <w:t>Název příspěvkové organizace</w:t>
      </w:r>
      <w:r w:rsidR="00B11438">
        <w:rPr>
          <w:rFonts w:ascii="Arial" w:hAnsi="Arial" w:cs="Arial"/>
          <w:b/>
        </w:rPr>
        <w:t>: Domov Slaný, poskytovatel sociálních služeb</w:t>
      </w:r>
    </w:p>
    <w:p w14:paraId="678FD469" w14:textId="117C0B8B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B11438">
        <w:rPr>
          <w:rFonts w:ascii="Arial" w:hAnsi="Arial" w:cs="Arial"/>
        </w:rPr>
        <w:t>Hlaváčkovo nám. 218, 274 01 Slaný</w:t>
      </w:r>
    </w:p>
    <w:p w14:paraId="13D4AA52" w14:textId="5580EBA2" w:rsidR="00A50C0E" w:rsidRPr="00942780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B11438">
        <w:rPr>
          <w:rFonts w:ascii="Arial" w:hAnsi="Arial" w:cs="Arial"/>
        </w:rPr>
        <w:t>71234390</w:t>
      </w:r>
      <w:r>
        <w:rPr>
          <w:rFonts w:ascii="Arial" w:hAnsi="Arial" w:cs="Arial"/>
        </w:rPr>
        <w:t>,</w:t>
      </w:r>
    </w:p>
    <w:p w14:paraId="6096CE06" w14:textId="77777777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B11438">
        <w:rPr>
          <w:rFonts w:ascii="Arial" w:hAnsi="Arial" w:cs="Arial"/>
        </w:rPr>
        <w:t>…………………</w:t>
      </w:r>
      <w:proofErr w:type="gramStart"/>
      <w:r w:rsidRPr="00B11438">
        <w:rPr>
          <w:rFonts w:ascii="Arial" w:hAnsi="Arial" w:cs="Arial"/>
        </w:rPr>
        <w:t>…….</w:t>
      </w:r>
      <w:proofErr w:type="gramEnd"/>
      <w:r w:rsidRPr="00B11438">
        <w:rPr>
          <w:rFonts w:ascii="Arial" w:hAnsi="Arial" w:cs="Arial"/>
        </w:rPr>
        <w:t>,</w:t>
      </w:r>
    </w:p>
    <w:p w14:paraId="146AABE7" w14:textId="5F5C4162" w:rsidR="00A50C0E" w:rsidRPr="00942780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 v obchodním rejstříku vedeném</w:t>
      </w:r>
      <w:r w:rsidR="00B11438">
        <w:rPr>
          <w:rFonts w:ascii="Arial" w:hAnsi="Arial" w:cs="Arial"/>
        </w:rPr>
        <w:t>:</w:t>
      </w:r>
      <w:r w:rsidR="006C060F">
        <w:rPr>
          <w:rFonts w:ascii="Arial" w:hAnsi="Arial" w:cs="Arial"/>
        </w:rPr>
        <w:t xml:space="preserve"> </w:t>
      </w:r>
      <w:r w:rsidR="00B11438">
        <w:rPr>
          <w:rFonts w:ascii="Arial" w:hAnsi="Arial" w:cs="Arial"/>
        </w:rPr>
        <w:t>u Městského soudu v Praze</w:t>
      </w:r>
      <w:r>
        <w:rPr>
          <w:rFonts w:ascii="Arial" w:hAnsi="Arial" w:cs="Arial"/>
        </w:rPr>
        <w:t>,</w:t>
      </w:r>
      <w:r w:rsidR="00B114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spisová značka </w:t>
      </w:r>
      <w:proofErr w:type="spellStart"/>
      <w:r w:rsidR="006C060F">
        <w:rPr>
          <w:rFonts w:ascii="Arial" w:hAnsi="Arial" w:cs="Arial"/>
        </w:rPr>
        <w:t>Pr</w:t>
      </w:r>
      <w:proofErr w:type="spellEnd"/>
      <w:r w:rsidR="006C060F">
        <w:rPr>
          <w:rFonts w:ascii="Arial" w:hAnsi="Arial" w:cs="Arial"/>
        </w:rPr>
        <w:t xml:space="preserve"> 986</w:t>
      </w:r>
    </w:p>
    <w:p w14:paraId="5B5169B9" w14:textId="24D731C0" w:rsidR="00A50C0E" w:rsidRPr="00942780" w:rsidRDefault="00A50C0E" w:rsidP="00A50C0E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</w:p>
    <w:p w14:paraId="5D51CFDF" w14:textId="6E9C4C4B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 w:rsidR="00B11438">
        <w:rPr>
          <w:rFonts w:ascii="Arial" w:hAnsi="Arial" w:cs="Arial"/>
        </w:rPr>
        <w:t>Komerční banka a.</w:t>
      </w:r>
      <w:r w:rsidR="006C060F">
        <w:rPr>
          <w:rFonts w:ascii="Arial" w:hAnsi="Arial" w:cs="Arial"/>
        </w:rPr>
        <w:t xml:space="preserve"> </w:t>
      </w:r>
      <w:r w:rsidR="00B11438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bookmarkEnd w:id="0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</w:p>
    <w:p w14:paraId="26A08CE8" w14:textId="7D27C643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4A7386" w14:textId="79EE03A1" w:rsidR="00A50C0E" w:rsidRPr="00942780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3ED450" w14:textId="3B0E2B1A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1463EBFD" w14:textId="299868C7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61041A" w14:textId="56F85616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6401E3" w14:textId="039DF050" w:rsidR="006937FF" w:rsidRPr="00942780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B11438">
        <w:rPr>
          <w:rFonts w:ascii="Arial" w:hAnsi="Arial" w:cs="Arial"/>
        </w:rPr>
        <w:t>3v2kjch</w:t>
      </w:r>
    </w:p>
    <w:p w14:paraId="4FA91C5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B1C66C" w14:textId="011177BD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6678C2">
        <w:rPr>
          <w:rFonts w:ascii="Arial" w:hAnsi="Arial" w:cs="Arial"/>
          <w:b/>
        </w:rPr>
        <w:t xml:space="preserve"> – </w:t>
      </w:r>
      <w:r w:rsidR="006678C2">
        <w:rPr>
          <w:rFonts w:ascii="Arial" w:hAnsi="Arial" w:cs="Arial"/>
          <w:bCs/>
        </w:rPr>
        <w:t xml:space="preserve">v přílohách této rámcové smlouvy </w:t>
      </w:r>
      <w:r w:rsidR="006678C2"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3015DE4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51FCF06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F9EA7FB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349F33D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A953325" w14:textId="77777777" w:rsidR="006937FF" w:rsidRPr="00886C5E" w:rsidRDefault="00C65D21" w:rsidP="006937FF">
      <w:pPr>
        <w:widowControl w:val="0"/>
        <w:suppressAutoHyphens/>
        <w:rPr>
          <w:rFonts w:ascii="Arial" w:hAnsi="Arial" w:cs="Arial"/>
          <w:b/>
          <w:bCs/>
        </w:rPr>
      </w:pPr>
      <w:proofErr w:type="spellStart"/>
      <w:r w:rsidRPr="00886C5E">
        <w:rPr>
          <w:rFonts w:ascii="Arial" w:hAnsi="Arial" w:cs="Arial"/>
          <w:b/>
          <w:bCs/>
        </w:rPr>
        <w:t>DispoMask</w:t>
      </w:r>
      <w:proofErr w:type="spellEnd"/>
      <w:r w:rsidRPr="00886C5E">
        <w:rPr>
          <w:rFonts w:ascii="Arial" w:hAnsi="Arial" w:cs="Arial"/>
          <w:b/>
          <w:bCs/>
        </w:rPr>
        <w:t xml:space="preserve"> Czech s.r.o.</w:t>
      </w:r>
      <w:r w:rsidR="006937FF" w:rsidRPr="00886C5E">
        <w:rPr>
          <w:rFonts w:ascii="Arial" w:hAnsi="Arial" w:cs="Arial"/>
          <w:b/>
          <w:bCs/>
        </w:rPr>
        <w:t xml:space="preserve"> </w:t>
      </w:r>
    </w:p>
    <w:p w14:paraId="28D8036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Antala Staška 1076/</w:t>
      </w:r>
      <w:proofErr w:type="gramStart"/>
      <w:r w:rsidR="00C65D21">
        <w:rPr>
          <w:rFonts w:ascii="Arial" w:hAnsi="Arial" w:cs="Arial"/>
        </w:rPr>
        <w:t>33a</w:t>
      </w:r>
      <w:proofErr w:type="gramEnd"/>
      <w:r w:rsidR="00C65D21">
        <w:rPr>
          <w:rFonts w:ascii="Arial" w:hAnsi="Arial" w:cs="Arial"/>
        </w:rPr>
        <w:t>, Praha 4,140 00</w:t>
      </w:r>
    </w:p>
    <w:p w14:paraId="02088FD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09093851</w:t>
      </w:r>
    </w:p>
    <w:p w14:paraId="1D84099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CZ</w:t>
      </w:r>
      <w:r w:rsidR="00C65D21" w:rsidRPr="00C65D21">
        <w:rPr>
          <w:rFonts w:ascii="Arial" w:hAnsi="Arial" w:cs="Arial"/>
        </w:rPr>
        <w:t>09093851</w:t>
      </w:r>
    </w:p>
    <w:p w14:paraId="6D71E7A9" w14:textId="77777777" w:rsidR="00C65D21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 v obchodním rejstříku vedeném</w:t>
      </w:r>
      <w:r w:rsidR="00C65D21">
        <w:rPr>
          <w:rFonts w:ascii="Arial" w:hAnsi="Arial" w:cs="Arial"/>
        </w:rPr>
        <w:t xml:space="preserve"> Městským soudem v Praze C330776</w:t>
      </w:r>
    </w:p>
    <w:p w14:paraId="45D13980" w14:textId="100B61E3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</w:p>
    <w:p w14:paraId="0697CE20" w14:textId="1FB6F76A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Česká spořitelna</w:t>
      </w:r>
      <w:r w:rsidRPr="00942780">
        <w:rPr>
          <w:rFonts w:ascii="Arial" w:hAnsi="Arial" w:cs="Arial"/>
        </w:rPr>
        <w:t xml:space="preserve"> č. účtu: </w:t>
      </w:r>
    </w:p>
    <w:p w14:paraId="08CB6750" w14:textId="493E6EF4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4718B0" w14:textId="7B33717C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088B13B9" w14:textId="7F95A2FF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805661" w14:textId="2A9B01B5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7EAD98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nc82tia</w:t>
      </w:r>
    </w:p>
    <w:p w14:paraId="7ED658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007DD5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48C252DA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61F15AA6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032F7789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F098575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3B51A64F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665F625" w14:textId="77777777" w:rsidR="00886C5E" w:rsidRPr="00942780" w:rsidRDefault="00886C5E" w:rsidP="006937FF">
      <w:pPr>
        <w:widowControl w:val="0"/>
        <w:suppressAutoHyphens/>
        <w:rPr>
          <w:rFonts w:ascii="Arial" w:hAnsi="Arial" w:cs="Arial"/>
        </w:rPr>
      </w:pPr>
    </w:p>
    <w:p w14:paraId="50A0D44A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880726">
        <w:rPr>
          <w:rFonts w:ascii="Arial" w:hAnsi="Arial" w:cs="Arial"/>
          <w:b/>
          <w:bCs/>
        </w:rPr>
        <w:t>Baterie Centrum s.r.o</w:t>
      </w:r>
      <w:r>
        <w:rPr>
          <w:rFonts w:ascii="Arial" w:hAnsi="Arial" w:cs="Arial"/>
        </w:rPr>
        <w:t>.</w:t>
      </w:r>
      <w:r w:rsidRPr="00942780">
        <w:rPr>
          <w:rFonts w:ascii="Arial" w:hAnsi="Arial" w:cs="Arial"/>
        </w:rPr>
        <w:t xml:space="preserve"> </w:t>
      </w:r>
    </w:p>
    <w:p w14:paraId="44FCF57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2031/</w:t>
      </w:r>
      <w:proofErr w:type="gramStart"/>
      <w:r>
        <w:rPr>
          <w:rFonts w:ascii="Arial" w:hAnsi="Arial" w:cs="Arial"/>
        </w:rPr>
        <w:t>109C</w:t>
      </w:r>
      <w:proofErr w:type="gramEnd"/>
      <w:r>
        <w:rPr>
          <w:rFonts w:ascii="Arial" w:hAnsi="Arial" w:cs="Arial"/>
        </w:rPr>
        <w:t>, 710 00, Ostrava</w:t>
      </w:r>
    </w:p>
    <w:p w14:paraId="3761ED96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42E46A0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4FC4AD3E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Ostravě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14912</w:t>
      </w:r>
    </w:p>
    <w:p w14:paraId="4736F26C" w14:textId="179D33FB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</w:p>
    <w:p w14:paraId="21FEFD57" w14:textId="04DFD2A5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</w:p>
    <w:p w14:paraId="4E49BFDB" w14:textId="19A0A8BC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5218CF" w14:textId="4375EEE4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2E8EBEC0" w14:textId="1E5A7C51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38A7D6" w14:textId="106000F3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8B9FA5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5C78742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40CD5A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4B6C7D0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C05FCF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CC768A0" w14:textId="77777777" w:rsidR="00880726" w:rsidRP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 w:rsidRPr="00880726">
        <w:rPr>
          <w:rFonts w:ascii="Arial" w:eastAsia="Calibri" w:hAnsi="Arial" w:cs="Arial"/>
          <w:b/>
          <w:bCs/>
          <w:color w:val="000000"/>
        </w:rPr>
        <w:t xml:space="preserve">BATIST </w:t>
      </w:r>
      <w:proofErr w:type="spellStart"/>
      <w:r w:rsidRPr="00880726">
        <w:rPr>
          <w:rFonts w:ascii="Arial" w:eastAsia="Calibri" w:hAnsi="Arial" w:cs="Arial"/>
          <w:b/>
          <w:bCs/>
          <w:color w:val="000000"/>
        </w:rPr>
        <w:t>Medical</w:t>
      </w:r>
      <w:proofErr w:type="spellEnd"/>
      <w:r w:rsidRPr="00880726">
        <w:rPr>
          <w:rFonts w:ascii="Arial" w:eastAsia="Calibri" w:hAnsi="Arial" w:cs="Arial"/>
          <w:b/>
          <w:bCs/>
          <w:color w:val="000000"/>
        </w:rPr>
        <w:t xml:space="preserve"> a.s.</w:t>
      </w:r>
    </w:p>
    <w:p w14:paraId="79059F7C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se sídlem: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Nerudova 309, 549 41 Červený Kostelec</w:t>
      </w:r>
    </w:p>
    <w:p w14:paraId="67C43E52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IČO: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28813936</w:t>
      </w:r>
    </w:p>
    <w:p w14:paraId="6E97CDBE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DIČ: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CZ699005599</w:t>
      </w:r>
    </w:p>
    <w:p w14:paraId="50BCD8D3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zapsaná v obchodním rejstříku vedeném </w:t>
      </w:r>
      <w:r>
        <w:rPr>
          <w:rFonts w:ascii="Arial" w:eastAsia="Calibri" w:hAnsi="Arial" w:cs="Arial"/>
          <w:color w:val="000000"/>
        </w:rPr>
        <w:t>Krajským soudem v Hradci Králové, oddíl B,</w:t>
      </w:r>
    </w:p>
    <w:p w14:paraId="77D6F895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vložka2978</w:t>
      </w:r>
    </w:p>
    <w:p w14:paraId="0D0B557B" w14:textId="4E1135BB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 něhož jedná: </w:t>
      </w:r>
      <w:r>
        <w:rPr>
          <w:rFonts w:ascii="ArialMT" w:eastAsia="Calibri" w:hAnsi="ArialMT" w:cs="ArialMT"/>
          <w:color w:val="000000"/>
        </w:rPr>
        <w:tab/>
      </w:r>
    </w:p>
    <w:p w14:paraId="06DB1226" w14:textId="05471D68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bankovní spojení:</w:t>
      </w:r>
      <w:r>
        <w:rPr>
          <w:rFonts w:ascii="Arial" w:eastAsia="Calibri" w:hAnsi="Arial" w:cs="Arial"/>
          <w:color w:val="000000"/>
        </w:rPr>
        <w:tab/>
        <w:t xml:space="preserve">KB a.s. </w:t>
      </w:r>
      <w:r>
        <w:rPr>
          <w:rFonts w:ascii="ArialMT" w:eastAsia="Calibri" w:hAnsi="ArialMT" w:cs="ArialMT"/>
          <w:color w:val="000000"/>
        </w:rPr>
        <w:t xml:space="preserve">č. účtu: </w:t>
      </w:r>
    </w:p>
    <w:p w14:paraId="1D53F3B4" w14:textId="143FC36D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e-mail: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</w:t>
      </w:r>
    </w:p>
    <w:p w14:paraId="38B90733" w14:textId="6D38D941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Kontaktní osoba: </w:t>
      </w:r>
      <w:r>
        <w:rPr>
          <w:rFonts w:ascii="Arial" w:eastAsia="Calibri" w:hAnsi="Arial" w:cs="Arial"/>
          <w:color w:val="000000"/>
        </w:rPr>
        <w:tab/>
      </w:r>
    </w:p>
    <w:p w14:paraId="2D55FBF5" w14:textId="38F37658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tel: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</w:p>
    <w:p w14:paraId="56AFA3F8" w14:textId="6F0FDED0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e-mail: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</w:p>
    <w:p w14:paraId="2B324340" w14:textId="77777777" w:rsidR="006937FF" w:rsidRPr="00942780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 xml:space="preserve">Datová schránka: </w:t>
      </w:r>
      <w:r>
        <w:rPr>
          <w:rFonts w:ascii="Arial" w:eastAsia="Calibri" w:hAnsi="Arial" w:cs="Arial"/>
          <w:color w:val="000000"/>
        </w:rPr>
        <w:tab/>
        <w:t>de6ycbi</w:t>
      </w:r>
    </w:p>
    <w:p w14:paraId="424AC62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9A02F6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2146E0C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729F6C7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5FED0AE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23C74AB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F8ABE7A" w14:textId="21FB95E0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78C2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78BA204A" w14:textId="77777777" w:rsidR="006937FF" w:rsidRPr="00942780" w:rsidRDefault="006937FF" w:rsidP="006937FF">
      <w:pPr>
        <w:rPr>
          <w:rFonts w:ascii="Arial" w:hAnsi="Arial" w:cs="Arial"/>
        </w:rPr>
      </w:pPr>
    </w:p>
    <w:p w14:paraId="1775AC26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</w:t>
      </w:r>
      <w:r w:rsidR="00430153">
        <w:rPr>
          <w:rFonts w:ascii="Arial" w:hAnsi="Arial" w:cs="Arial"/>
          <w:b/>
        </w:rPr>
        <w:t>í o roušky jednorázové třívrstvé s gu</w:t>
      </w:r>
      <w:r w:rsidR="00FF5023">
        <w:rPr>
          <w:rFonts w:ascii="Arial" w:hAnsi="Arial" w:cs="Arial"/>
          <w:b/>
        </w:rPr>
        <w:t>m</w:t>
      </w:r>
      <w:r w:rsidR="00430153">
        <w:rPr>
          <w:rFonts w:ascii="Arial" w:hAnsi="Arial" w:cs="Arial"/>
          <w:b/>
        </w:rPr>
        <w:t>ičkou</w:t>
      </w:r>
      <w:r w:rsidR="00A01E1C">
        <w:rPr>
          <w:rFonts w:ascii="Arial" w:hAnsi="Arial" w:cs="Arial"/>
          <w:b/>
        </w:rPr>
        <w:t xml:space="preserve"> </w:t>
      </w:r>
      <w:r w:rsidRPr="005B645E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1859EBA0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4CB106FB" w14:textId="7704E5A3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B11438">
        <w:rPr>
          <w:rFonts w:eastAsia="Calibri"/>
          <w:sz w:val="24"/>
          <w:lang w:eastAsia="en-US"/>
        </w:rPr>
        <w:t>Domov Slaný, poskytovatel sociálních služeb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3E65AB51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5D6A1DFD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4B0D4B66" w14:textId="558B9FC2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B11438">
        <w:rPr>
          <w:rFonts w:eastAsia="Calibri"/>
          <w:sz w:val="24"/>
          <w:lang w:eastAsia="en-US"/>
        </w:rPr>
        <w:t>Domov Slaný, poskytovatel sociálních služeb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581275C0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573C1D97" w14:textId="65E993A6" w:rsidR="006937FF" w:rsidRPr="00BC5BCE" w:rsidRDefault="006678C2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B11438">
        <w:rPr>
          <w:rFonts w:eastAsia="Calibri"/>
          <w:sz w:val="24"/>
          <w:lang w:eastAsia="en-US"/>
        </w:rPr>
        <w:t>Domov Slaný, poskytovatel sociálních služeb</w:t>
      </w:r>
      <w:r w:rsidR="00A50C0E" w:rsidRPr="00BC5BCE">
        <w:rPr>
          <w:rFonts w:cs="Arial"/>
          <w:sz w:val="24"/>
        </w:rPr>
        <w:t xml:space="preserve"> </w:t>
      </w:r>
      <w:proofErr w:type="gramStart"/>
      <w:r w:rsidR="006937FF" w:rsidRPr="00BC5BCE">
        <w:rPr>
          <w:rFonts w:cs="Arial"/>
          <w:sz w:val="24"/>
        </w:rPr>
        <w:t xml:space="preserve">do </w:t>
      </w:r>
      <w:r w:rsidR="00B11438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>výše</w:t>
      </w:r>
      <w:proofErr w:type="gramEnd"/>
      <w:r w:rsidR="006937FF" w:rsidRPr="00BC5BCE">
        <w:rPr>
          <w:rFonts w:cs="Arial"/>
          <w:sz w:val="24"/>
        </w:rPr>
        <w:t xml:space="preserve"> </w:t>
      </w:r>
      <w:r w:rsidR="00B11438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 xml:space="preserve">předpokládaného </w:t>
      </w:r>
      <w:r w:rsidR="00B11438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 xml:space="preserve">finančního limitu, </w:t>
      </w:r>
      <w:r w:rsidR="00B11438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>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80726" w:rsidRPr="00880726">
        <w:rPr>
          <w:rFonts w:cs="Arial"/>
          <w:bCs/>
          <w:sz w:val="24"/>
        </w:rPr>
        <w:t>8 035</w:t>
      </w:r>
      <w:r w:rsidR="00880726">
        <w:rPr>
          <w:rFonts w:cs="Arial"/>
          <w:bCs/>
          <w:sz w:val="24"/>
        </w:rPr>
        <w:t> </w:t>
      </w:r>
      <w:r w:rsidR="00880726" w:rsidRPr="00880726">
        <w:rPr>
          <w:rFonts w:cs="Arial"/>
          <w:bCs/>
          <w:sz w:val="24"/>
        </w:rPr>
        <w:t>840</w:t>
      </w:r>
      <w:r w:rsidR="00880726">
        <w:rPr>
          <w:rFonts w:cs="Arial"/>
          <w:bCs/>
          <w:sz w:val="24"/>
        </w:rPr>
        <w:t>,-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384817B3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40C212CE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70584E70" w14:textId="62C4C9BC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678C2">
        <w:rPr>
          <w:sz w:val="24"/>
        </w:rPr>
        <w:t>objednateli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06C60438" w14:textId="77777777" w:rsidR="006937FF" w:rsidRPr="00443F06" w:rsidRDefault="006937FF" w:rsidP="006937FF">
      <w:pPr>
        <w:rPr>
          <w:rFonts w:ascii="Arial" w:hAnsi="Arial" w:cs="Arial"/>
        </w:rPr>
      </w:pPr>
    </w:p>
    <w:p w14:paraId="759C909D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264C0B0" w14:textId="7AD62C73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678C2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 xml:space="preserve">– </w:t>
      </w:r>
      <w:r w:rsidR="00430153">
        <w:rPr>
          <w:sz w:val="24"/>
        </w:rPr>
        <w:t>roušky jednorázové třívrstvé s gumičkou.</w:t>
      </w:r>
    </w:p>
    <w:p w14:paraId="3E40D7E9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A7D36B" w14:textId="6718CF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678C2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39669E8A" w14:textId="77777777" w:rsidR="006937FF" w:rsidRDefault="006937FF" w:rsidP="006937FF">
      <w:pPr>
        <w:jc w:val="both"/>
        <w:rPr>
          <w:rFonts w:ascii="Arial" w:hAnsi="Arial" w:cs="Arial"/>
        </w:rPr>
      </w:pPr>
    </w:p>
    <w:p w14:paraId="30DCF8D6" w14:textId="07744E0C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28430861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2EA53486" w14:textId="472211F3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12DCD6DE" w14:textId="77777777" w:rsidR="006937FF" w:rsidRPr="00443F06" w:rsidRDefault="006937FF" w:rsidP="006937FF">
      <w:pPr>
        <w:rPr>
          <w:rFonts w:ascii="Arial" w:hAnsi="Arial" w:cs="Arial"/>
        </w:rPr>
      </w:pPr>
    </w:p>
    <w:p w14:paraId="3D2BC27D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52D105F5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37DE6BF6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6AE07BAE" w14:textId="144BA2C2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678C2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40F5AEB5" w14:textId="415DA524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5D2669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</w:t>
      </w:r>
      <w:r w:rsidRPr="00D50226">
        <w:rPr>
          <w:rFonts w:eastAsia="Calibri"/>
          <w:sz w:val="24"/>
          <w:lang w:eastAsia="en-US"/>
        </w:rPr>
        <w:lastRenderedPageBreak/>
        <w:t>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5D2669">
        <w:rPr>
          <w:rFonts w:eastAsia="Calibri"/>
          <w:sz w:val="24"/>
          <w:lang w:eastAsia="en-US"/>
        </w:rPr>
        <w:t>.</w:t>
      </w:r>
    </w:p>
    <w:p w14:paraId="2C3C3032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C11AADC" w14:textId="35F4B79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5D2669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rámcových </w:t>
      </w:r>
      <w:r w:rsidR="00E748D3">
        <w:rPr>
          <w:rFonts w:eastAsia="Calibri"/>
          <w:sz w:val="24"/>
          <w:lang w:eastAsia="en-US"/>
        </w:rPr>
        <w:t>smluv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6CD47257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2D336B31" w14:textId="7D80E3C3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5D266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28A40CBF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3889BBFA" w14:textId="5EFA25D2" w:rsidR="006937FF" w:rsidRPr="00785E70" w:rsidRDefault="005D266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>nejprve vybraného dodavatele, který se umístil na prvním místě dle hodnocení nabídek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 a v případě, že tento vybraný dodavatel neposk</w:t>
      </w:r>
      <w:r w:rsidR="006937FF">
        <w:rPr>
          <w:rFonts w:eastAsia="Calibri"/>
          <w:sz w:val="24"/>
          <w:lang w:eastAsia="en-US"/>
        </w:rPr>
        <w:t xml:space="preserve">ytne celé poptávané množství zboží, osloví </w:t>
      </w: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2 a Dodavatel 3,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16FD2F54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0A0D6443" w14:textId="74054ECC" w:rsidR="006937FF" w:rsidRPr="00D434F4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3ECC2167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82A35B3" w14:textId="00ADEC62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5D266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465AE03B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275906DC" w14:textId="2125C02F" w:rsidR="006937FF" w:rsidRPr="00E41085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1D68EE15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5D824C08" w14:textId="60AEEAC4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5D266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AABB5C8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5869A28E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678E06D0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4EA8429D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28104DD7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</w:t>
      </w:r>
      <w:r w:rsidRPr="002C4DCC">
        <w:rPr>
          <w:rFonts w:cs="Arial"/>
          <w:sz w:val="24"/>
        </w:rPr>
        <w:lastRenderedPageBreak/>
        <w:t xml:space="preserve">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17074DC7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0E3F7EB2" w14:textId="7797E7F7" w:rsidR="006937FF" w:rsidRPr="00080411" w:rsidRDefault="005D266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4EC3D5E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1" w:name="_Ref191706177"/>
      <w:r w:rsidRPr="00830C96">
        <w:rPr>
          <w:b/>
          <w:sz w:val="24"/>
        </w:rPr>
        <w:t xml:space="preserve">Místo </w:t>
      </w:r>
      <w:bookmarkEnd w:id="1"/>
      <w:r w:rsidRPr="00830C96">
        <w:rPr>
          <w:b/>
          <w:sz w:val="24"/>
        </w:rPr>
        <w:t>plnění</w:t>
      </w:r>
    </w:p>
    <w:p w14:paraId="65FB1CA8" w14:textId="549BB0E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5D2669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5D2669">
        <w:rPr>
          <w:sz w:val="24"/>
        </w:rPr>
        <w:t>e</w:t>
      </w:r>
      <w:r>
        <w:rPr>
          <w:sz w:val="24"/>
        </w:rPr>
        <w:t>:</w:t>
      </w:r>
    </w:p>
    <w:p w14:paraId="7AAB3928" w14:textId="11F84967" w:rsidR="006937FF" w:rsidRDefault="005D2669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 xml:space="preserve">Nemocnice Středočeského kraje a.s., Zborovská 81/11, 150 00 </w:t>
      </w:r>
      <w:proofErr w:type="gramStart"/>
      <w:r>
        <w:rPr>
          <w:sz w:val="24"/>
        </w:rPr>
        <w:t>Praha  -</w:t>
      </w:r>
      <w:proofErr w:type="gramEnd"/>
      <w:r>
        <w:rPr>
          <w:sz w:val="24"/>
        </w:rPr>
        <w:t xml:space="preserve"> Smíchov, tel.: 257 280 166,</w:t>
      </w:r>
    </w:p>
    <w:p w14:paraId="15BCBAA1" w14:textId="59254EC7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D2669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0450792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1E44654C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40EEDAD1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264D655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02354CD1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1D0A6B8" w14:textId="1D23888D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B813D6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C98D4E9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E2CC6F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36DA914E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A053C6B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35EBC1F8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307D0C8E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485765AC" w14:textId="77777777" w:rsidR="00882FFB" w:rsidRPr="00882FFB" w:rsidRDefault="00882FFB" w:rsidP="00882FFB">
      <w:pPr>
        <w:spacing w:after="240"/>
        <w:jc w:val="both"/>
      </w:pPr>
    </w:p>
    <w:p w14:paraId="5BE45944" w14:textId="560D6772" w:rsidR="006937FF" w:rsidRPr="00D34A19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241611D" w14:textId="21B9C52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01378675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4A2DDFB7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5CEC4593" w14:textId="6CF371E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B813D6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B813D6">
        <w:rPr>
          <w:sz w:val="24"/>
        </w:rPr>
        <w:t>.</w:t>
      </w:r>
      <w:r>
        <w:rPr>
          <w:sz w:val="24"/>
        </w:rPr>
        <w:t xml:space="preserve"> </w:t>
      </w:r>
    </w:p>
    <w:p w14:paraId="6F35F263" w14:textId="22A269B3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B813D6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03A0C5F1" w14:textId="5804103E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B813D6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49D65956" w14:textId="6E669E2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B813D6">
        <w:rPr>
          <w:sz w:val="24"/>
        </w:rPr>
        <w:t xml:space="preserve">prostřednictvím datové schránky centrálního zadavatele: </w:t>
      </w:r>
      <w:proofErr w:type="spellStart"/>
      <w:r w:rsidR="00B813D6">
        <w:rPr>
          <w:sz w:val="24"/>
        </w:rPr>
        <w:t>emmypyw</w:t>
      </w:r>
      <w:proofErr w:type="spellEnd"/>
      <w:r w:rsidRPr="00AF10E1">
        <w:rPr>
          <w:sz w:val="24"/>
        </w:rPr>
        <w:t>.</w:t>
      </w:r>
      <w:r>
        <w:rPr>
          <w:sz w:val="24"/>
        </w:rPr>
        <w:t xml:space="preserve"> </w:t>
      </w:r>
    </w:p>
    <w:p w14:paraId="3F2E0738" w14:textId="7B229448" w:rsidR="006937FF" w:rsidRDefault="00B813D6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63D7B40D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65234637" w14:textId="1C270D3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B813D6">
        <w:rPr>
          <w:sz w:val="24"/>
        </w:rPr>
        <w:t xml:space="preserve">centrálním </w:t>
      </w:r>
      <w:r>
        <w:rPr>
          <w:sz w:val="24"/>
        </w:rPr>
        <w:t>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1549909D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423D8857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DA43903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02C05E7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23EB324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10F4B2F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1681D00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0D153A9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0274606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45A260AD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016394DC" w14:textId="1568B85B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B813D6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64527564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A6E6362" w14:textId="77777777" w:rsidR="00882FFB" w:rsidRDefault="00882FFB" w:rsidP="006937FF">
      <w:pPr>
        <w:pStyle w:val="Odstavecseseznamem"/>
        <w:ind w:left="426"/>
        <w:jc w:val="both"/>
        <w:rPr>
          <w:sz w:val="24"/>
        </w:rPr>
      </w:pPr>
    </w:p>
    <w:p w14:paraId="07E774AE" w14:textId="77777777" w:rsidR="00882FFB" w:rsidRPr="00DA3224" w:rsidRDefault="00882FFB" w:rsidP="006937FF">
      <w:pPr>
        <w:pStyle w:val="Odstavecseseznamem"/>
        <w:ind w:left="426"/>
        <w:jc w:val="both"/>
        <w:rPr>
          <w:sz w:val="24"/>
        </w:rPr>
      </w:pPr>
    </w:p>
    <w:p w14:paraId="5573F507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2" w:name="_Ref191459542"/>
      <w:r w:rsidRPr="00AF10E1">
        <w:rPr>
          <w:b/>
          <w:sz w:val="24"/>
        </w:rPr>
        <w:t>Záruční podmínky a záruční doby</w:t>
      </w:r>
      <w:bookmarkEnd w:id="2"/>
    </w:p>
    <w:p w14:paraId="5C8BE1C3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7D60D5F8" w14:textId="02285CDD" w:rsidR="006937FF" w:rsidRPr="00AF10E1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06FD8D06" w14:textId="0F4C74E4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B813D6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B813D6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4817D175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54CB4AC5" w14:textId="2F0AB67A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B813D6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852C66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</w:t>
      </w:r>
      <w:r w:rsidR="00852C66">
        <w:rPr>
          <w:sz w:val="24"/>
        </w:rPr>
        <w:t xml:space="preserve"> centrálního</w:t>
      </w:r>
      <w:r>
        <w:rPr>
          <w:sz w:val="24"/>
        </w:rPr>
        <w:t xml:space="preserve">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6005C88" w14:textId="1CC7E524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852C66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852C66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26EA95A4" w14:textId="65CC473C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852C66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107B6BF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69E92C08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3" w:name="_Ref193791042"/>
      <w:bookmarkStart w:id="4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314B182F" w14:textId="6BD6181D" w:rsidR="006937FF" w:rsidRPr="00D35988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28EB7E6B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6D5DA350" w14:textId="3248CD32" w:rsidR="006937FF" w:rsidRPr="00A046ED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Objednatel </w:t>
      </w:r>
      <w:r w:rsidR="006937FF" w:rsidRPr="00A046ED">
        <w:rPr>
          <w:rFonts w:cs="Arial"/>
          <w:sz w:val="24"/>
        </w:rPr>
        <w:t xml:space="preserve">neposkytuje jakékoliv zálohy na úhradu ceny zboží. </w:t>
      </w:r>
    </w:p>
    <w:p w14:paraId="3C4F291A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43E899CB" w14:textId="3B461841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852C66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4D60E84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5" w:name="_Toc189304622"/>
      <w:bookmarkStart w:id="6" w:name="_Toc189305397"/>
      <w:bookmarkStart w:id="7" w:name="_Toc189464818"/>
      <w:bookmarkStart w:id="8" w:name="_Toc190702839"/>
      <w:bookmarkStart w:id="9" w:name="_Toc191118419"/>
      <w:bookmarkStart w:id="10" w:name="_Toc189304623"/>
      <w:bookmarkStart w:id="11" w:name="_Toc189305398"/>
      <w:bookmarkStart w:id="12" w:name="_Toc189464819"/>
      <w:bookmarkStart w:id="13" w:name="_Toc190702840"/>
      <w:bookmarkStart w:id="14" w:name="_Toc19111842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2B6">
        <w:rPr>
          <w:rFonts w:cs="Arial"/>
          <w:b/>
          <w:sz w:val="24"/>
        </w:rPr>
        <w:t>Reklamace</w:t>
      </w:r>
    </w:p>
    <w:p w14:paraId="19BC8680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70809CA3" w14:textId="2F87FFA1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852C66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110605A4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F1311C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099D2DA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5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5"/>
    </w:p>
    <w:p w14:paraId="6DEC070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12D752D8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991E921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1DA98DD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CB2B4A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3EC8BB04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35BB4E36" w14:textId="6132606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>.</w:t>
      </w:r>
    </w:p>
    <w:p w14:paraId="6DB44B93" w14:textId="6ED15026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852C66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8C43E1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B8DC8C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95D23E8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3537676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2986B861" w14:textId="2C7B2EA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305C3289" w14:textId="7CC83F46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5C0B8EAE" w14:textId="77777777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26D8C0B" w14:textId="77777777" w:rsidR="00382DFA" w:rsidRPr="0085079B" w:rsidRDefault="00382DF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FA24BDF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1045ADF7" w14:textId="732DB30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5C2F8B42" w14:textId="60B6102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26FE5B77" w14:textId="79A89CAE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07079AB5" w14:textId="659E947F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9C6C741" w14:textId="7E5AFF5C" w:rsidR="006937FF" w:rsidRPr="00AA0709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69D6D69D" w14:textId="33B0C021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852C66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1F4223E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3DD2A33A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54CCC7E7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4F1DCEF8" w14:textId="573F3517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852C66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4599E911" w14:textId="25FEE582" w:rsidR="006937FF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3C8F1D5F" w14:textId="001D3883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5966AA70" w14:textId="51EE678F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52A57E3A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31E8545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38F9065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44761FC9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2AE417B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7212CEE4" w14:textId="446D9918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852C66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5697FE69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2007DD2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8BD2226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AD3EFFC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6FAA6AC4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77CEC15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1DBDBE1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7A8F264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60BC159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2A95D4EB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51160DA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5616375A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2D564B51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6294312C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6A2F6183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36BCDA7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06152AEC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751C5B9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5BF301CE" w14:textId="3AF3B12C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852C66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1499142E" w14:textId="0C93F927" w:rsidR="006937FF" w:rsidRPr="00EC13B5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4FA7E21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769A04E4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0DBA8BED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4896C88E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5B98D809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11A4B30E" w14:textId="416B6E42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7675D522" w14:textId="41E6990E" w:rsidR="006937FF" w:rsidRPr="00780560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852C66">
        <w:rPr>
          <w:rFonts w:cs="Arial"/>
          <w:bCs/>
          <w:sz w:val="24"/>
        </w:rPr>
        <w:t>písemně dodavatele upozornil</w:t>
      </w:r>
      <w:r w:rsidR="00852C66">
        <w:rPr>
          <w:rFonts w:cs="Arial"/>
          <w:bCs/>
          <w:sz w:val="24"/>
        </w:rPr>
        <w:t>;</w:t>
      </w:r>
    </w:p>
    <w:p w14:paraId="217E6A4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9BFA8B8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18B8518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721D0BE6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F5E5E8E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425E4BEC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6936A83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5069EBE5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A8B94E6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27DBF3D4" w14:textId="2634EA05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C25CF4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118E9B29" w14:textId="008D44C4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D20E1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26E333BC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75448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6082D96C" w14:textId="17A430B3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D20E1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16DBEA11" w14:textId="4BEFDF79" w:rsidR="006937FF" w:rsidRDefault="00D20E1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0DAF3BE3" w14:textId="7CDFE58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20E1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16991F4D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B528A6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7894DC3F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01D251A1" w14:textId="34769FFA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7C9240F6" w14:textId="45E40B91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11D31568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69E900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2AD3D098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38BA2E05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FAD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6F29FC1F" w14:textId="589C9A08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D20E1D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181A2B7E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39E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1735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09C00F9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2F14" w14:textId="2D8F940C" w:rsidR="006937FF" w:rsidRPr="00443F06" w:rsidRDefault="00D20E1D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1F5D8" w14:textId="15D51A4C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2FB148AB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3F3DA2D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3A9DAA7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4DA24BB6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663F57D6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7199AF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C5AB0A0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E36BB1F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4B57BA9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155F5B5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533E6F51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82246C2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6013779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37BA033C" w14:textId="4FA568AD" w:rsidR="006937FF" w:rsidRPr="00CF76E4" w:rsidRDefault="00D20E1D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937FF">
              <w:rPr>
                <w:rFonts w:ascii="Arial" w:hAnsi="Arial" w:cs="Arial"/>
                <w:b/>
              </w:rPr>
              <w:t xml:space="preserve">Doplní </w:t>
            </w:r>
            <w:r>
              <w:rPr>
                <w:rFonts w:ascii="Arial" w:hAnsi="Arial" w:cs="Arial"/>
                <w:b/>
              </w:rPr>
              <w:t>objednatel)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61AEC4F" w14:textId="6FBD0A0E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</w:t>
            </w:r>
            <w:r w:rsidR="00D20E1D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)</w:t>
            </w:r>
          </w:p>
          <w:p w14:paraId="01E898E6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53B1444E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6660" w14:textId="4BE1D386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2339" w14:textId="16A8062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6937FF" w:rsidRPr="00CF76E4" w14:paraId="0AFCFD89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07E684" w14:textId="2FDBF8E4" w:rsidR="00D20E1D" w:rsidRPr="00415398" w:rsidRDefault="00D20E1D" w:rsidP="00D20E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(Doplní dodavatel 2)</w:t>
            </w:r>
          </w:p>
          <w:p w14:paraId="52965541" w14:textId="2213F0C1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0C97FA" w14:textId="7381AD41" w:rsidR="00D20E1D" w:rsidRPr="00415398" w:rsidRDefault="00D20E1D" w:rsidP="00D20E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3)</w:t>
            </w:r>
          </w:p>
          <w:p w14:paraId="6C516E2F" w14:textId="34233DF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971902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0DA729F6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610179BD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10A82A6B" w14:textId="77777777" w:rsidR="006D6D98" w:rsidRDefault="006D6D98" w:rsidP="006D6D98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1E700DC9" w14:textId="77777777" w:rsidR="006D6D98" w:rsidRPr="00F4522A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6D6D98" w:rsidRPr="00162097" w14:paraId="2E26125F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D935D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9B2B3B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6451B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6D6D98" w:rsidRPr="003E0F6A" w14:paraId="5FC6BCBF" w14:textId="77777777" w:rsidTr="00C65D21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BA021" w14:textId="77777777" w:rsidR="006D6D98" w:rsidRPr="00C83247" w:rsidRDefault="00430153" w:rsidP="004301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5ACEC1" w14:textId="77777777" w:rsidR="00A01E1C" w:rsidRPr="00E271F4" w:rsidRDefault="00430153" w:rsidP="00430153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AA7DE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0C011406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3E811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2AB79B" w14:textId="77777777" w:rsidR="00BE27B6" w:rsidRPr="00E271F4" w:rsidRDefault="00430153" w:rsidP="00430153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FD29092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65D55A6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9DBA2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1BAB33" w14:textId="77777777" w:rsidR="00BE27B6" w:rsidRPr="00E271F4" w:rsidRDefault="00430153" w:rsidP="00430153">
            <w:pPr>
              <w:pStyle w:val="AKFZFnormln"/>
            </w:pPr>
            <w:r>
              <w:t>antibakteriální filtrační účinnost min. 9</w:t>
            </w:r>
            <w:r w:rsidR="00AB5BAE">
              <w:t>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88372BB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02AB477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A25F7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8F5AEF" w14:textId="77777777" w:rsidR="006D6D98" w:rsidRPr="00E271F4" w:rsidRDefault="00430153" w:rsidP="00430153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A0535F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7E57862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185E8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DB01C9" w14:textId="77777777" w:rsidR="006D6D98" w:rsidRPr="00E271F4" w:rsidRDefault="00430153" w:rsidP="00430153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1E020CF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341941A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28804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E8F96B" w14:textId="77777777" w:rsidR="00C65D21" w:rsidRPr="00E271F4" w:rsidRDefault="00C65D21" w:rsidP="00C65D21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FB52A02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64B06391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97778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690678" w14:textId="77777777" w:rsidR="00C65D21" w:rsidRPr="00E271F4" w:rsidRDefault="00C65D21" w:rsidP="00C65D21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029F533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430153" w:rsidRPr="003E0F6A" w14:paraId="5C22698C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89ACD" w14:textId="77777777" w:rsidR="00430153" w:rsidRPr="003E0F6A" w:rsidRDefault="00430153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878CA1" w14:textId="77777777" w:rsidR="00430153" w:rsidRDefault="00430153" w:rsidP="00430153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E2AD461" w14:textId="77777777" w:rsidR="00430153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65AEB26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817AC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F0E5F9" w14:textId="77777777" w:rsidR="00430153" w:rsidRDefault="00430153" w:rsidP="00430153">
            <w:pPr>
              <w:pStyle w:val="AKFZFnormln"/>
            </w:pPr>
            <w:r>
              <w:t>gumičky měkké kulatá, které neřežou za ušima</w:t>
            </w:r>
          </w:p>
          <w:p w14:paraId="55B335AE" w14:textId="77777777" w:rsidR="00BE27B6" w:rsidRPr="00BE27B6" w:rsidRDefault="00BE27B6" w:rsidP="00430153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71F4534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7A001E4B" w14:textId="77777777" w:rsidR="00913146" w:rsidRDefault="00913146" w:rsidP="00A01E1C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71971882" w14:textId="77777777" w:rsidR="006D6D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4C941768" w14:textId="77777777" w:rsidR="00BE27B6" w:rsidRDefault="00BE27B6" w:rsidP="00BE27B6">
      <w:pPr>
        <w:spacing w:after="240"/>
        <w:ind w:right="536"/>
        <w:jc w:val="both"/>
        <w:rPr>
          <w:rFonts w:ascii="Arial" w:hAnsi="Arial" w:cs="Arial"/>
          <w:b/>
        </w:rPr>
      </w:pPr>
    </w:p>
    <w:p w14:paraId="6852C513" w14:textId="77777777" w:rsidR="006D6D98" w:rsidRDefault="006D6D98" w:rsidP="00BE27B6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4A5F5101" w14:textId="77777777" w:rsidR="00BE27B6" w:rsidRDefault="006D6D98" w:rsidP="00430153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="00430153">
        <w:rPr>
          <w:rFonts w:ascii="Arial" w:hAnsi="Arial" w:cs="Arial"/>
        </w:rPr>
        <w:t>.</w:t>
      </w:r>
    </w:p>
    <w:p w14:paraId="45B36ACE" w14:textId="77777777" w:rsidR="00423A26" w:rsidRPr="00430153" w:rsidRDefault="00423A26" w:rsidP="00430153">
      <w:pPr>
        <w:ind w:left="-142" w:right="536"/>
        <w:jc w:val="both"/>
        <w:rPr>
          <w:rFonts w:ascii="Arial" w:hAnsi="Arial" w:cs="Arial"/>
        </w:rPr>
      </w:pPr>
    </w:p>
    <w:p w14:paraId="0F1539B4" w14:textId="77777777" w:rsidR="006D6D98" w:rsidRDefault="006D6D98" w:rsidP="006D6D98">
      <w:pPr>
        <w:rPr>
          <w:rFonts w:ascii="Arial" w:hAnsi="Arial" w:cs="Arial"/>
          <w:b/>
        </w:rPr>
      </w:pPr>
    </w:p>
    <w:p w14:paraId="3C537234" w14:textId="77777777" w:rsidR="006D6D98" w:rsidRDefault="006D6D98" w:rsidP="006D6D98">
      <w:pPr>
        <w:rPr>
          <w:rFonts w:ascii="Arial" w:hAnsi="Arial" w:cs="Arial"/>
          <w:b/>
        </w:rPr>
      </w:pPr>
    </w:p>
    <w:p w14:paraId="6850F720" w14:textId="77777777" w:rsidR="006D6D98" w:rsidRDefault="006D6D98" w:rsidP="006D6D98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05257659" w14:textId="77777777" w:rsidR="00423A26" w:rsidRDefault="00423A26" w:rsidP="006D6D98">
      <w:pPr>
        <w:rPr>
          <w:rFonts w:ascii="Arial" w:hAnsi="Arial" w:cs="Arial"/>
          <w:b/>
        </w:rPr>
      </w:pPr>
    </w:p>
    <w:p w14:paraId="0939E125" w14:textId="77777777" w:rsidR="00423A26" w:rsidRDefault="00423A26" w:rsidP="006D6D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</w:t>
      </w:r>
    </w:p>
    <w:p w14:paraId="0C7EED62" w14:textId="77777777" w:rsidR="00423A26" w:rsidRPr="006D0291" w:rsidRDefault="00423A26" w:rsidP="006D6D98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6D6D98" w14:paraId="7398042C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9121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D9898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3F7ED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B30D6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D77C2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6D6D98" w14:paraId="2FBBDC06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4FCC1" w14:textId="77777777" w:rsidR="006D6D98" w:rsidRDefault="00430153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50C139D3" w14:textId="77777777" w:rsidR="006D6D98" w:rsidRPr="006F726A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D438F5" w14:textId="77777777" w:rsidR="006D6D98" w:rsidRPr="002658CF" w:rsidRDefault="00430153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</w:t>
            </w:r>
            <w:r w:rsidR="006D6D98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99D8A9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199413" w14:textId="77777777" w:rsidR="006D6D98" w:rsidRPr="00C65D21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D21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527E16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2,98</w:t>
            </w:r>
          </w:p>
        </w:tc>
      </w:tr>
    </w:tbl>
    <w:p w14:paraId="54F49756" w14:textId="77777777" w:rsidR="006D6D98" w:rsidRDefault="006D6D98" w:rsidP="006D6D98">
      <w:pPr>
        <w:rPr>
          <w:rFonts w:ascii="Arial" w:hAnsi="Arial" w:cs="Arial"/>
          <w:b/>
          <w:sz w:val="28"/>
          <w:szCs w:val="28"/>
        </w:rPr>
      </w:pPr>
    </w:p>
    <w:p w14:paraId="465EB12F" w14:textId="77777777" w:rsidR="006D6D98" w:rsidRPr="00A44CCD" w:rsidRDefault="006D6D98" w:rsidP="006D6D98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39C023FA" w14:textId="77777777" w:rsidR="006D6D98" w:rsidRDefault="006D6D98" w:rsidP="006D6D98">
      <w:pPr>
        <w:rPr>
          <w:rFonts w:ascii="Arial" w:hAnsi="Arial" w:cs="Arial"/>
          <w:b/>
        </w:rPr>
      </w:pPr>
    </w:p>
    <w:p w14:paraId="1B3107BD" w14:textId="77777777" w:rsidR="006D6D98" w:rsidRDefault="006D6D98" w:rsidP="006D6D98">
      <w:pPr>
        <w:rPr>
          <w:rFonts w:ascii="Arial" w:hAnsi="Arial" w:cs="Arial"/>
          <w:b/>
        </w:rPr>
      </w:pPr>
    </w:p>
    <w:p w14:paraId="43028FF0" w14:textId="77777777" w:rsidR="006D6D98" w:rsidRDefault="006D6D98" w:rsidP="006D6D98">
      <w:pPr>
        <w:rPr>
          <w:rFonts w:ascii="Arial" w:hAnsi="Arial" w:cs="Arial"/>
          <w:b/>
        </w:rPr>
      </w:pPr>
    </w:p>
    <w:p w14:paraId="5458BF74" w14:textId="77777777" w:rsidR="006D6D98" w:rsidRDefault="006D6D98" w:rsidP="006D6D98">
      <w:pPr>
        <w:rPr>
          <w:rFonts w:ascii="Arial" w:hAnsi="Arial" w:cs="Arial"/>
          <w:b/>
        </w:rPr>
        <w:sectPr w:rsidR="006D6D98" w:rsidSect="00CE4607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69DE0D60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06B40A2C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headerReference w:type="first" r:id="rId14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3F6FBD9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752880B5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2DDE8788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p w14:paraId="4D0235E9" w14:textId="77777777" w:rsidR="00E1726B" w:rsidRDefault="00E1726B" w:rsidP="00E1726B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8DB0CC0" w14:textId="77777777" w:rsidR="00E1726B" w:rsidRPr="00F4522A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E1726B" w:rsidRPr="00162097" w14:paraId="6ACA47B9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50B2D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0A86A1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B9AB2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726B" w:rsidRPr="003E0F6A" w14:paraId="4202338F" w14:textId="77777777" w:rsidTr="00CE4607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E72B9" w14:textId="77777777" w:rsidR="00E1726B" w:rsidRPr="00C83247" w:rsidRDefault="00E1726B" w:rsidP="00CE460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F4206A" w14:textId="77777777" w:rsidR="00E1726B" w:rsidRPr="00E271F4" w:rsidRDefault="00E1726B" w:rsidP="00CE4607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8C4A11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0250A3A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0D66E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AF1FDE" w14:textId="77777777" w:rsidR="00E1726B" w:rsidRPr="00E271F4" w:rsidRDefault="00E1726B" w:rsidP="00CE4607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F663C52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6F290089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63766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882636" w14:textId="77777777" w:rsidR="00E1726B" w:rsidRPr="00E271F4" w:rsidRDefault="00E1726B" w:rsidP="00CE4607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F2EBD81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0AA6BECC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67F95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593BAF" w14:textId="77777777" w:rsidR="00E1726B" w:rsidRPr="00E271F4" w:rsidRDefault="00E1726B" w:rsidP="00CE4607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953B07F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7C69F355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2569A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F11828" w14:textId="77777777" w:rsidR="00E1726B" w:rsidRPr="00E271F4" w:rsidRDefault="00E1726B" w:rsidP="00CE4607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C387193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27B0CA5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90968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DA8244" w14:textId="77777777" w:rsidR="00E1726B" w:rsidRPr="00E271F4" w:rsidRDefault="00E1726B" w:rsidP="00CE4607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BC46058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5F5422B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F3230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453953" w14:textId="77777777" w:rsidR="00E1726B" w:rsidRPr="00E271F4" w:rsidRDefault="00E1726B" w:rsidP="00CE4607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3B4EF7B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0B227486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4A8F0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91CC97" w14:textId="77777777" w:rsidR="00E1726B" w:rsidRDefault="00E1726B" w:rsidP="00CE4607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C6288AF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63602D2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CEF14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CCA72A" w14:textId="77777777" w:rsidR="00E1726B" w:rsidRDefault="00E1726B" w:rsidP="00CE4607">
            <w:pPr>
              <w:pStyle w:val="AKFZFnormln"/>
            </w:pPr>
            <w:r>
              <w:t>gumičky měkké kulatá, které neřežou za ušima</w:t>
            </w:r>
          </w:p>
          <w:p w14:paraId="7F35A203" w14:textId="77777777" w:rsidR="00E1726B" w:rsidRPr="00BE27B6" w:rsidRDefault="00E1726B" w:rsidP="00CE4607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795504A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21170743" w14:textId="77777777" w:rsidR="00E1726B" w:rsidRDefault="00E1726B" w:rsidP="00E1726B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0B7E4812" w14:textId="77777777" w:rsidR="00E1726B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069F8CE5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</w:p>
    <w:p w14:paraId="31ECE311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67CFCDA7" w14:textId="77777777" w:rsidR="00E1726B" w:rsidRPr="00430153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2A116EA3" w14:textId="77777777" w:rsidR="0081653A" w:rsidRDefault="0081653A" w:rsidP="0081653A">
      <w:pPr>
        <w:jc w:val="both"/>
        <w:rPr>
          <w:rFonts w:ascii="Arial" w:hAnsi="Arial" w:cs="Arial"/>
          <w:b/>
        </w:rPr>
      </w:pPr>
    </w:p>
    <w:p w14:paraId="79CE3D6D" w14:textId="77777777" w:rsidR="002F7F0F" w:rsidRDefault="002F7F0F" w:rsidP="002F7F0F">
      <w:pPr>
        <w:rPr>
          <w:rFonts w:ascii="Arial" w:hAnsi="Arial" w:cs="Arial"/>
          <w:b/>
        </w:rPr>
      </w:pPr>
    </w:p>
    <w:p w14:paraId="7817731C" w14:textId="77777777" w:rsidR="002F7F0F" w:rsidRDefault="002F7F0F" w:rsidP="002F7F0F">
      <w:pPr>
        <w:rPr>
          <w:rFonts w:ascii="Arial" w:hAnsi="Arial" w:cs="Arial"/>
          <w:b/>
        </w:rPr>
      </w:pPr>
    </w:p>
    <w:p w14:paraId="36A7E465" w14:textId="77777777" w:rsidR="002F7F0F" w:rsidRDefault="002F7F0F" w:rsidP="002F7F0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61F1CDD5" w14:textId="77777777" w:rsidR="002F7F0F" w:rsidRDefault="002F7F0F" w:rsidP="002F7F0F">
      <w:pPr>
        <w:rPr>
          <w:rFonts w:ascii="Arial" w:hAnsi="Arial" w:cs="Arial"/>
          <w:b/>
        </w:rPr>
      </w:pPr>
    </w:p>
    <w:p w14:paraId="147247BD" w14:textId="77777777" w:rsidR="002F7F0F" w:rsidRDefault="002F7F0F" w:rsidP="002F7F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7F36CB96" w14:textId="77777777" w:rsidR="002F7F0F" w:rsidRPr="006D0291" w:rsidRDefault="002F7F0F" w:rsidP="002F7F0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2F7F0F" w14:paraId="1C95A970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D46F4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7FC73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C7A5B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EBFD7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25938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F7F0F" w14:paraId="0E505F6D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1FD56" w14:textId="77777777" w:rsidR="002F7F0F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5FB0A94D" w14:textId="77777777" w:rsidR="002F7F0F" w:rsidRPr="006F726A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5BDFBE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33DA9" w14:textId="77777777" w:rsidR="002F7F0F" w:rsidRPr="0042424C" w:rsidRDefault="002F7F0F" w:rsidP="00CE4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424C">
              <w:rPr>
                <w:rFonts w:ascii="Arial" w:hAnsi="Arial" w:cs="Arial"/>
                <w:bCs/>
                <w:i/>
                <w:sz w:val="28"/>
                <w:szCs w:val="28"/>
              </w:rPr>
              <w:t>2,95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815ABB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48285B6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3,5695</w:t>
            </w:r>
          </w:p>
        </w:tc>
      </w:tr>
    </w:tbl>
    <w:p w14:paraId="3C6996F0" w14:textId="77777777" w:rsidR="002F7F0F" w:rsidRDefault="002F7F0F" w:rsidP="002F7F0F">
      <w:pPr>
        <w:rPr>
          <w:rFonts w:ascii="Arial" w:hAnsi="Arial" w:cs="Arial"/>
          <w:b/>
          <w:sz w:val="28"/>
          <w:szCs w:val="28"/>
        </w:rPr>
      </w:pPr>
    </w:p>
    <w:p w14:paraId="39D053D3" w14:textId="77777777" w:rsidR="002F7F0F" w:rsidRPr="00A44CCD" w:rsidRDefault="002F7F0F" w:rsidP="002F7F0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082C88F1" w14:textId="77777777" w:rsidR="002F7F0F" w:rsidRDefault="002F7F0F" w:rsidP="002F7F0F">
      <w:pPr>
        <w:rPr>
          <w:rFonts w:ascii="Arial" w:hAnsi="Arial" w:cs="Arial"/>
          <w:b/>
        </w:rPr>
      </w:pPr>
    </w:p>
    <w:p w14:paraId="2F8E3D60" w14:textId="77777777" w:rsidR="002F7F0F" w:rsidRDefault="002F7F0F" w:rsidP="002F7F0F">
      <w:pPr>
        <w:rPr>
          <w:rFonts w:ascii="Arial" w:hAnsi="Arial" w:cs="Arial"/>
          <w:b/>
        </w:rPr>
      </w:pPr>
    </w:p>
    <w:p w14:paraId="7ED54BB6" w14:textId="77777777" w:rsidR="00E1726B" w:rsidRDefault="00E1726B" w:rsidP="0081653A">
      <w:pPr>
        <w:jc w:val="both"/>
        <w:rPr>
          <w:rFonts w:ascii="Arial" w:hAnsi="Arial" w:cs="Arial"/>
          <w:b/>
        </w:rPr>
      </w:pPr>
    </w:p>
    <w:p w14:paraId="57C67C07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490FC92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93659AF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351B771A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9B4E2E7" w14:textId="77777777" w:rsidR="002F7F0F" w:rsidRDefault="002F7F0F" w:rsidP="0081653A">
      <w:pPr>
        <w:jc w:val="both"/>
        <w:rPr>
          <w:rFonts w:ascii="Arial" w:hAnsi="Arial" w:cs="Arial"/>
          <w:b/>
        </w:rPr>
        <w:sectPr w:rsidR="002F7F0F" w:rsidSect="00E1726B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71BC8B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455AE774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2F7F0F" w:rsidRPr="00E136C2" w14:paraId="5BEE5BF3" w14:textId="77777777" w:rsidTr="00CE460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6E2781" w14:textId="77777777" w:rsidR="002F7F0F" w:rsidRPr="00E136C2" w:rsidRDefault="002F7F0F" w:rsidP="00CE460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2F7F0F" w:rsidRPr="00E136C2" w14:paraId="59BF47EC" w14:textId="77777777" w:rsidTr="00CE460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4A5C2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2F7F0F" w:rsidRPr="00E136C2" w14:paraId="6C0258DD" w14:textId="77777777" w:rsidTr="00CE460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023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3B8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07D7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EE8F75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3A143EAA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C9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0040F7E8" w14:textId="77777777" w:rsidR="002F7F0F" w:rsidRPr="00423F76" w:rsidRDefault="00423F76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Baterie Centrum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3FB8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B6057C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199BCDBD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E3C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79382AA" w14:textId="77777777" w:rsidR="002F7F0F" w:rsidRPr="00423F76" w:rsidRDefault="00423F76" w:rsidP="00423F76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Michálkovická 2031/</w:t>
            </w:r>
            <w:proofErr w:type="gramStart"/>
            <w:r w:rsidRPr="00423F76">
              <w:rPr>
                <w:rFonts w:ascii="Arial" w:hAnsi="Arial" w:cs="Arial"/>
                <w:sz w:val="20"/>
                <w:szCs w:val="20"/>
              </w:rPr>
              <w:t>109C</w:t>
            </w:r>
            <w:proofErr w:type="gramEnd"/>
            <w:r w:rsidRPr="00423F76">
              <w:rPr>
                <w:rFonts w:ascii="Arial" w:hAnsi="Arial" w:cs="Arial"/>
                <w:sz w:val="20"/>
                <w:szCs w:val="20"/>
              </w:rPr>
              <w:t>, 710 00, Ostrava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C21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25A9F3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3CD2E778" w14:textId="77777777" w:rsidTr="0011696E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98C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</w:tcPr>
          <w:p w14:paraId="28614729" w14:textId="694A147E" w:rsidR="002F7F0F" w:rsidRPr="00423F76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CF6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D3F34A1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7D1FD3A6" w14:textId="77777777" w:rsidTr="00CE460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BE6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7C3977D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25361848</w:t>
            </w:r>
            <w:r w:rsidR="002F7F0F" w:rsidRPr="00423F7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BFC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1D16574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54FDB1DD" w14:textId="77777777" w:rsidTr="00CE460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DB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1D4ED50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009D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BA145C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A1" w:rsidRPr="00E136C2" w14:paraId="0653C636" w14:textId="77777777" w:rsidTr="00E26FA1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055" w14:textId="77777777" w:rsidR="00E26FA1" w:rsidRPr="00E136C2" w:rsidRDefault="00E26FA1" w:rsidP="00E26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hideMark/>
          </w:tcPr>
          <w:p w14:paraId="62B9B692" w14:textId="77777777" w:rsidR="00E26FA1" w:rsidRPr="00E26FA1" w:rsidRDefault="00E26FA1" w:rsidP="00E26FA1">
            <w:pPr>
              <w:rPr>
                <w:sz w:val="20"/>
                <w:szCs w:val="20"/>
              </w:rPr>
            </w:pPr>
            <w:r w:rsidRPr="00E26FA1">
              <w:rPr>
                <w:sz w:val="20"/>
                <w:szCs w:val="20"/>
              </w:rPr>
              <w:t xml:space="preserve">Unicredit Bank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FA00" w14:textId="77777777" w:rsidR="00E26FA1" w:rsidRDefault="00E26FA1" w:rsidP="00E26FA1"/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C8C8840" w14:textId="77777777" w:rsidR="00E26FA1" w:rsidRPr="00E136C2" w:rsidRDefault="00E26FA1" w:rsidP="00E2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6C60F6DF" w14:textId="77777777" w:rsidTr="0011696E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B99E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14:paraId="12C8BE7D" w14:textId="5A0120BB" w:rsidR="002F7F0F" w:rsidRPr="00423F76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DF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72CCA7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4F80DD00" w14:textId="77777777" w:rsidTr="00CE460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EBC491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DCC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EB4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1B1EFE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499261B5" w14:textId="77777777" w:rsidTr="00CE460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1DAB240A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F7F0F" w:rsidRPr="00E136C2" w14:paraId="1DB6E50C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FBB40F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F7F0F" w:rsidRPr="00E136C2" w14:paraId="4DE7488D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0C7DB722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F7F0F" w:rsidRPr="00E136C2" w14:paraId="243530D0" w14:textId="77777777" w:rsidTr="00CE460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CD721B7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4DC43A1E" w14:textId="77777777" w:rsidTr="00CE4607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268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0497C744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0C4DD52E" w14:textId="77777777" w:rsidTr="00CE4607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767F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F207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F0F" w:rsidRPr="00E136C2" w14:paraId="0A58EA7F" w14:textId="77777777" w:rsidTr="00CE460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90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67DFCD2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F7F0F" w:rsidRPr="00E136C2" w14:paraId="38D60BB4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453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049A91BF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F7F0F" w:rsidRPr="00E136C2" w14:paraId="5A61096C" w14:textId="77777777" w:rsidTr="00CE460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68BBE87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51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8062F4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F7F0F" w:rsidRPr="00E136C2" w14:paraId="7CADFA77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B36BD2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C2D3C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4A0176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2F7F0F" w:rsidRPr="00E136C2" w14:paraId="5C8C9C6F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6EAEB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0F27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ED2156B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5252A2FE" w14:textId="77777777" w:rsidTr="00CE460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43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F6B490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9CAF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6C0042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43BAE5" w14:textId="77777777" w:rsidR="002F7F0F" w:rsidRPr="0023186D" w:rsidRDefault="002F7F0F" w:rsidP="002F7F0F">
      <w:pPr>
        <w:tabs>
          <w:tab w:val="left" w:pos="8205"/>
        </w:tabs>
        <w:rPr>
          <w:rFonts w:ascii="Arial" w:hAnsi="Arial" w:cs="Arial"/>
        </w:rPr>
      </w:pPr>
    </w:p>
    <w:p w14:paraId="0C65CE1E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38A1101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5F32F3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D679AFD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AB1AA5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CE16C1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EFC216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999E94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096E42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7BB1E6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0895F4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1182FA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7E9215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5B1C4C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FD5DD2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A9308F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5CC1B7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2456F8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CD37D3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8772FD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F7275C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51C97F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4FE248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4CB8A4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F83E98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2A3D5D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2503AA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AE606E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5A4CD7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E6C76D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2184A6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8EA6CA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4569DA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9EAF3D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599A02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1A0D2B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1C1010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450A90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57162A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9E3B80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018BAD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FC3B39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1CCEB7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D71FEC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948349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216817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471685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DBC3E0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9A542E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4046B2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88FFC88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6678C2">
          <w:headerReference w:type="first" r:id="rId15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06D7B1D2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BCD728C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p w14:paraId="33B0339C" w14:textId="77777777" w:rsidR="0096111F" w:rsidRDefault="0096111F" w:rsidP="0096111F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09B8BDD8" w14:textId="77777777" w:rsidR="0096111F" w:rsidRPr="00F4522A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96111F" w:rsidRPr="00162097" w14:paraId="5B1CC691" w14:textId="77777777" w:rsidTr="006678C2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7B69A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04EF17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50139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96111F" w:rsidRPr="003E0F6A" w14:paraId="684603B7" w14:textId="77777777" w:rsidTr="006678C2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A80DD" w14:textId="77777777" w:rsidR="0096111F" w:rsidRPr="00C83247" w:rsidRDefault="0096111F" w:rsidP="006678C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2E9679" w14:textId="77777777" w:rsidR="0096111F" w:rsidRPr="00E271F4" w:rsidRDefault="0096111F" w:rsidP="006678C2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4F60EC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1C6AC1EE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97658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0DF944" w14:textId="77777777" w:rsidR="0096111F" w:rsidRPr="00E271F4" w:rsidRDefault="0096111F" w:rsidP="006678C2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A2083BE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6CF4BF72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E79E3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6DCAB" w14:textId="77777777" w:rsidR="0096111F" w:rsidRPr="00E271F4" w:rsidRDefault="0096111F" w:rsidP="006678C2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A3C78D8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484B480F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17579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E45C94" w14:textId="77777777" w:rsidR="0096111F" w:rsidRPr="00E271F4" w:rsidRDefault="0096111F" w:rsidP="006678C2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8C06764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11AA35C1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85466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A8494" w14:textId="77777777" w:rsidR="0096111F" w:rsidRPr="00E271F4" w:rsidRDefault="0096111F" w:rsidP="006678C2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46CEC17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5FCEE13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CE948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EE4387" w14:textId="77777777" w:rsidR="0096111F" w:rsidRPr="00E271F4" w:rsidRDefault="0096111F" w:rsidP="006678C2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1A159BF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FF78DE0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601C7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BF15F2" w14:textId="77777777" w:rsidR="0096111F" w:rsidRPr="00E271F4" w:rsidRDefault="0096111F" w:rsidP="006678C2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0B9B8E9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2A6CE6FB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A8BF0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A74D8D" w14:textId="77777777" w:rsidR="0096111F" w:rsidRDefault="0096111F" w:rsidP="006678C2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F57127B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60D69C84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5ED0C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C3B23C" w14:textId="77777777" w:rsidR="0096111F" w:rsidRDefault="0096111F" w:rsidP="006678C2">
            <w:pPr>
              <w:pStyle w:val="AKFZFnormln"/>
            </w:pPr>
            <w:r>
              <w:t>gumičky měkké kulatá, které neřežou za ušima</w:t>
            </w:r>
          </w:p>
          <w:p w14:paraId="7F998F92" w14:textId="77777777" w:rsidR="0096111F" w:rsidRPr="00BE27B6" w:rsidRDefault="0096111F" w:rsidP="006678C2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125C3D5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243F6180" w14:textId="77777777" w:rsidR="0096111F" w:rsidRDefault="0096111F" w:rsidP="0096111F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2E8C3468" w14:textId="77777777" w:rsidR="0096111F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3C34981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</w:p>
    <w:p w14:paraId="05E7BDE5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266CC07A" w14:textId="77777777" w:rsidR="0096111F" w:rsidRPr="00430153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3520CA55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5FEF9B1" w14:textId="77777777" w:rsidR="0096111F" w:rsidRDefault="0096111F" w:rsidP="0096111F">
      <w:pPr>
        <w:rPr>
          <w:rFonts w:ascii="Arial" w:hAnsi="Arial" w:cs="Arial"/>
          <w:b/>
        </w:rPr>
      </w:pPr>
    </w:p>
    <w:p w14:paraId="61BDDAD5" w14:textId="77777777" w:rsidR="0096111F" w:rsidRDefault="0096111F" w:rsidP="0096111F">
      <w:pPr>
        <w:rPr>
          <w:rFonts w:ascii="Arial" w:hAnsi="Arial" w:cs="Arial"/>
          <w:b/>
        </w:rPr>
      </w:pPr>
    </w:p>
    <w:p w14:paraId="4B810DEC" w14:textId="77777777" w:rsidR="0096111F" w:rsidRDefault="0096111F" w:rsidP="0096111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30FFE9D5" w14:textId="77777777" w:rsidR="0096111F" w:rsidRDefault="0096111F" w:rsidP="0096111F">
      <w:pPr>
        <w:rPr>
          <w:rFonts w:ascii="Arial" w:hAnsi="Arial" w:cs="Arial"/>
          <w:b/>
        </w:rPr>
      </w:pPr>
    </w:p>
    <w:p w14:paraId="64BA54B6" w14:textId="77777777" w:rsidR="0096111F" w:rsidRDefault="0096111F" w:rsidP="00961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</w:t>
      </w:r>
    </w:p>
    <w:p w14:paraId="5B50BD21" w14:textId="77777777" w:rsidR="0096111F" w:rsidRPr="006D0291" w:rsidRDefault="0096111F" w:rsidP="0096111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96111F" w14:paraId="116F4F12" w14:textId="77777777" w:rsidTr="006678C2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49439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7247F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01B85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C68B3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97B63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96111F" w14:paraId="7F1983D1" w14:textId="77777777" w:rsidTr="006678C2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3931AA" w14:textId="77777777" w:rsidR="0096111F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0B333595" w14:textId="77777777" w:rsidR="0096111F" w:rsidRPr="006F726A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9B3B1E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37CB42" w14:textId="77777777" w:rsidR="0096111F" w:rsidRPr="0042424C" w:rsidRDefault="00423F76" w:rsidP="006678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</w:rPr>
              <w:t>3,20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D8942" w14:textId="77777777" w:rsidR="0096111F" w:rsidRPr="002658CF" w:rsidRDefault="00423F76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075A21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</w:t>
            </w:r>
            <w:r w:rsidR="00423F76">
              <w:rPr>
                <w:rFonts w:ascii="Arial" w:hAnsi="Arial" w:cs="Arial"/>
                <w:sz w:val="28"/>
                <w:szCs w:val="28"/>
              </w:rPr>
              <w:t>87</w:t>
            </w:r>
          </w:p>
        </w:tc>
      </w:tr>
    </w:tbl>
    <w:p w14:paraId="10E2F558" w14:textId="77777777" w:rsidR="0096111F" w:rsidRDefault="0096111F" w:rsidP="0096111F">
      <w:pPr>
        <w:rPr>
          <w:rFonts w:ascii="Arial" w:hAnsi="Arial" w:cs="Arial"/>
          <w:b/>
          <w:sz w:val="28"/>
          <w:szCs w:val="28"/>
        </w:rPr>
      </w:pPr>
    </w:p>
    <w:p w14:paraId="6DEAF3BA" w14:textId="77777777" w:rsidR="0096111F" w:rsidRPr="00A44CCD" w:rsidRDefault="0096111F" w:rsidP="0096111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699520B4" w14:textId="77777777" w:rsidR="0096111F" w:rsidRDefault="0096111F" w:rsidP="0096111F">
      <w:pPr>
        <w:rPr>
          <w:rFonts w:ascii="Arial" w:hAnsi="Arial" w:cs="Arial"/>
          <w:b/>
        </w:rPr>
      </w:pPr>
    </w:p>
    <w:p w14:paraId="1914763B" w14:textId="77777777" w:rsidR="0096111F" w:rsidRDefault="0096111F" w:rsidP="0096111F">
      <w:pPr>
        <w:rPr>
          <w:rFonts w:ascii="Arial" w:hAnsi="Arial" w:cs="Arial"/>
          <w:b/>
        </w:rPr>
      </w:pPr>
    </w:p>
    <w:p w14:paraId="41086AEF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7AFB20D2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0F271BDE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6A64C5A0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36FE6AE2" w14:textId="77777777" w:rsidR="0096111F" w:rsidRDefault="0096111F" w:rsidP="0096111F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59573F2F" w14:textId="4D3A7FE2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RS – Objednávka (závazný vzor) – Dodavatel </w:t>
      </w:r>
      <w:r w:rsidR="00764E68">
        <w:rPr>
          <w:rFonts w:ascii="Arial" w:hAnsi="Arial" w:cs="Arial"/>
          <w:b/>
        </w:rPr>
        <w:t>3</w:t>
      </w:r>
    </w:p>
    <w:p w14:paraId="031FDB2D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96111F" w:rsidRPr="00E136C2" w14:paraId="2EA69381" w14:textId="77777777" w:rsidTr="006678C2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27EC71" w14:textId="77777777" w:rsidR="0096111F" w:rsidRPr="00E136C2" w:rsidRDefault="0096111F" w:rsidP="006678C2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96111F" w:rsidRPr="00E136C2" w14:paraId="03E338BE" w14:textId="77777777" w:rsidTr="006678C2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758E5C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96111F" w:rsidRPr="00E136C2" w14:paraId="488357B0" w14:textId="77777777" w:rsidTr="006678C2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1E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143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807E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5A1FD1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64D75B2A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CEB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951D271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BATIST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a.s.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070C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6325AE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ED831E8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A0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9AB8A89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Nerudova 309, 549 41</w:t>
            </w:r>
          </w:p>
          <w:p w14:paraId="24EE96DE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 xml:space="preserve">Červený </w:t>
            </w:r>
            <w:proofErr w:type="spellStart"/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kostelec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881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E585C4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080AD13" w14:textId="77777777" w:rsidTr="006678C2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7AA1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52105B50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Ing. Tomáš Mertlík MBA,</w:t>
            </w:r>
          </w:p>
          <w:p w14:paraId="588BEA52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statutární ředitel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8F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8FB01CC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3251D92E" w14:textId="77777777" w:rsidTr="006678C2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41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D48DB7E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28813936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34A8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5060099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F98D4D0" w14:textId="77777777" w:rsidTr="006678C2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D42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508E4C2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CZ699005599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C0C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2BBF45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EF37F0A" w14:textId="77777777" w:rsidTr="006678C2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66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36B30B1F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KB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59A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C4C876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1CC0F9E4" w14:textId="77777777" w:rsidTr="006678C2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FCD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6629E56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115-8094340247/0100</w:t>
            </w:r>
            <w:r w:rsidR="0096111F"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348A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29702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247FEC37" w14:textId="77777777" w:rsidTr="006678C2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3F5242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AD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C0A6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9C694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3C17E892" w14:textId="77777777" w:rsidTr="006678C2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5A95B399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96111F" w:rsidRPr="00E136C2" w14:paraId="0C7DB784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C4209C5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96111F" w:rsidRPr="00E136C2" w14:paraId="709CA463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DF5FAA0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96111F" w:rsidRPr="00E136C2" w14:paraId="01DC872F" w14:textId="77777777" w:rsidTr="006678C2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B691E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400DE8D6" w14:textId="77777777" w:rsidTr="006678C2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BD0A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C72ED7E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7EACAFC0" w14:textId="77777777" w:rsidTr="006678C2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1DC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326F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11F" w:rsidRPr="00E136C2" w14:paraId="4429241E" w14:textId="77777777" w:rsidTr="006678C2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A6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09AF802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96111F" w:rsidRPr="00E136C2" w14:paraId="352524DB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FFF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17EB651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96111F" w:rsidRPr="00E136C2" w14:paraId="2C867C51" w14:textId="77777777" w:rsidTr="006678C2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03C0D2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B4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67FDF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96111F" w:rsidRPr="00E136C2" w14:paraId="56DF7338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5C00E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A55D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DDCB38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96111F" w:rsidRPr="00E136C2" w14:paraId="0D7D449A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5401E3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93371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1971E97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4AA12FE1" w14:textId="77777777" w:rsidTr="006678C2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6ED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351C5A3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7B30A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3C62A4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69FC9" w14:textId="77777777" w:rsidR="0096111F" w:rsidRPr="0023186D" w:rsidRDefault="0096111F" w:rsidP="0096111F">
      <w:pPr>
        <w:tabs>
          <w:tab w:val="left" w:pos="8205"/>
        </w:tabs>
        <w:rPr>
          <w:rFonts w:ascii="Arial" w:hAnsi="Arial" w:cs="Arial"/>
        </w:rPr>
      </w:pPr>
    </w:p>
    <w:p w14:paraId="0D1C9BB8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1D8E901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sectPr w:rsidR="0096111F" w:rsidSect="0096111F"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3DEA" w14:textId="77777777" w:rsidR="002B480A" w:rsidRDefault="002B480A" w:rsidP="00E02BCE">
      <w:r>
        <w:separator/>
      </w:r>
    </w:p>
  </w:endnote>
  <w:endnote w:type="continuationSeparator" w:id="0">
    <w:p w14:paraId="3FE023B6" w14:textId="77777777" w:rsidR="002B480A" w:rsidRDefault="002B480A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74DD" w14:textId="77777777" w:rsidR="00581E6E" w:rsidRDefault="00581E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89150" w14:textId="77777777" w:rsidR="00581E6E" w:rsidRDefault="00581E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5BBA" w14:textId="77777777" w:rsidR="00581E6E" w:rsidRDefault="00581E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A05FB" w14:textId="77777777" w:rsidR="002B480A" w:rsidRDefault="002B480A" w:rsidP="00E02BCE">
      <w:r>
        <w:separator/>
      </w:r>
    </w:p>
  </w:footnote>
  <w:footnote w:type="continuationSeparator" w:id="0">
    <w:p w14:paraId="3474DABC" w14:textId="77777777" w:rsidR="002B480A" w:rsidRDefault="002B480A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1E40B" w14:textId="77777777" w:rsidR="00581E6E" w:rsidRDefault="00581E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14689" w14:textId="77777777" w:rsidR="00581E6E" w:rsidRDefault="00581E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9F84C" w14:textId="77777777" w:rsidR="006678C2" w:rsidRDefault="006678C2">
    <w:pPr>
      <w:pStyle w:val="Zhlav"/>
    </w:pPr>
  </w:p>
  <w:p w14:paraId="56F77225" w14:textId="2F255C0E" w:rsidR="006678C2" w:rsidRDefault="006678C2" w:rsidP="00F3228E">
    <w:pPr>
      <w:pStyle w:val="Zhlav"/>
      <w:rPr>
        <w:rFonts w:ascii="Arial" w:hAnsi="Arial" w:cs="Arial"/>
        <w:sz w:val="20"/>
        <w:szCs w:val="20"/>
      </w:rPr>
    </w:pPr>
    <w:r>
      <w:rPr>
        <w:rFonts w:ascii="Calibri" w:hAnsi="Calibri" w:cstheme="minorHAnsi"/>
        <w:b/>
        <w:noProof/>
      </w:rPr>
      <w:drawing>
        <wp:inline distT="0" distB="0" distL="0" distR="0" wp14:anchorId="298A8BD1" wp14:editId="43229C27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1 VZ</w:t>
    </w:r>
  </w:p>
  <w:p w14:paraId="47494E84" w14:textId="47A3C54C" w:rsidR="00581E6E" w:rsidRDefault="00581E6E" w:rsidP="00581E6E">
    <w:pPr>
      <w:pStyle w:val="Zhlav"/>
      <w:tabs>
        <w:tab w:val="clear" w:pos="4536"/>
        <w:tab w:val="clear" w:pos="9072"/>
        <w:tab w:val="left" w:pos="6810"/>
      </w:tabs>
    </w:pPr>
    <w:proofErr w:type="spellStart"/>
    <w:proofErr w:type="gramStart"/>
    <w:r>
      <w:t>č.smlouvy</w:t>
    </w:r>
    <w:proofErr w:type="spellEnd"/>
    <w:proofErr w:type="gramEnd"/>
    <w:r>
      <w:t xml:space="preserve"> 4-71234390-2020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7B709" w14:textId="77777777" w:rsidR="006678C2" w:rsidRDefault="006678C2">
    <w:pPr>
      <w:pStyle w:val="Zhlav"/>
    </w:pPr>
  </w:p>
  <w:p w14:paraId="6145906F" w14:textId="77777777" w:rsidR="006678C2" w:rsidRDefault="006678C2" w:rsidP="00F3228E">
    <w:pPr>
      <w:pStyle w:val="Zhlav"/>
    </w:pPr>
    <w:r>
      <w:t xml:space="preserve">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2029" w14:textId="77777777" w:rsidR="006678C2" w:rsidRDefault="006678C2">
    <w:pPr>
      <w:pStyle w:val="Zhlav"/>
    </w:pPr>
  </w:p>
  <w:p w14:paraId="639771DA" w14:textId="77777777" w:rsidR="006678C2" w:rsidRDefault="006678C2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3F6FFC"/>
    <w:multiLevelType w:val="multilevel"/>
    <w:tmpl w:val="FFFFFFFF"/>
    <w:lvl w:ilvl="0">
      <w:start w:val="3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2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19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10"/>
  </w:num>
  <w:num w:numId="18">
    <w:abstractNumId w:val="16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463C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1696E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172B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80A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2F7F0F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82DF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3A26"/>
    <w:rsid w:val="00423F76"/>
    <w:rsid w:val="00424E8C"/>
    <w:rsid w:val="00425735"/>
    <w:rsid w:val="0042646F"/>
    <w:rsid w:val="00427AD2"/>
    <w:rsid w:val="00430153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5BD2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15B4"/>
    <w:rsid w:val="004F2A18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2655"/>
    <w:rsid w:val="0054335B"/>
    <w:rsid w:val="0054672C"/>
    <w:rsid w:val="0054755A"/>
    <w:rsid w:val="00547BFF"/>
    <w:rsid w:val="005507F0"/>
    <w:rsid w:val="005508AF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1764"/>
    <w:rsid w:val="00572279"/>
    <w:rsid w:val="005738B3"/>
    <w:rsid w:val="00575B59"/>
    <w:rsid w:val="00580CF3"/>
    <w:rsid w:val="00580D07"/>
    <w:rsid w:val="005817B9"/>
    <w:rsid w:val="00581E6E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2669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8C2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060F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D6D98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4E68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2C66"/>
    <w:rsid w:val="00853856"/>
    <w:rsid w:val="00853E63"/>
    <w:rsid w:val="0085691E"/>
    <w:rsid w:val="008611D2"/>
    <w:rsid w:val="00863A4A"/>
    <w:rsid w:val="00864B31"/>
    <w:rsid w:val="00865B84"/>
    <w:rsid w:val="00867021"/>
    <w:rsid w:val="008710FC"/>
    <w:rsid w:val="008714BC"/>
    <w:rsid w:val="00873D9F"/>
    <w:rsid w:val="00874157"/>
    <w:rsid w:val="00875DD5"/>
    <w:rsid w:val="00880726"/>
    <w:rsid w:val="00882DB5"/>
    <w:rsid w:val="00882FFB"/>
    <w:rsid w:val="00884127"/>
    <w:rsid w:val="00885A8B"/>
    <w:rsid w:val="00886A2E"/>
    <w:rsid w:val="00886C5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34C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3145"/>
    <w:rsid w:val="008E53B8"/>
    <w:rsid w:val="008E7F9F"/>
    <w:rsid w:val="008F096C"/>
    <w:rsid w:val="008F1938"/>
    <w:rsid w:val="008F1B2D"/>
    <w:rsid w:val="008F1CCB"/>
    <w:rsid w:val="008F34E0"/>
    <w:rsid w:val="00900CEC"/>
    <w:rsid w:val="009036A9"/>
    <w:rsid w:val="0090495E"/>
    <w:rsid w:val="00906EE4"/>
    <w:rsid w:val="009072FB"/>
    <w:rsid w:val="00910143"/>
    <w:rsid w:val="00913146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11F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1E1C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0C0E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5BAE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8B2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438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13D6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597E"/>
    <w:rsid w:val="00C65D21"/>
    <w:rsid w:val="00C67832"/>
    <w:rsid w:val="00C67D2C"/>
    <w:rsid w:val="00C71F05"/>
    <w:rsid w:val="00C820C8"/>
    <w:rsid w:val="00C82233"/>
    <w:rsid w:val="00C83EF2"/>
    <w:rsid w:val="00C84B28"/>
    <w:rsid w:val="00C84BFC"/>
    <w:rsid w:val="00C860C4"/>
    <w:rsid w:val="00C86381"/>
    <w:rsid w:val="00C91E13"/>
    <w:rsid w:val="00C92C27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607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0E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26B"/>
    <w:rsid w:val="00E17B33"/>
    <w:rsid w:val="00E203F8"/>
    <w:rsid w:val="00E20CF0"/>
    <w:rsid w:val="00E212A7"/>
    <w:rsid w:val="00E2224F"/>
    <w:rsid w:val="00E2559A"/>
    <w:rsid w:val="00E26FA1"/>
    <w:rsid w:val="00E271F4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5CEB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5AD1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903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5542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502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8AC15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  <w:style w:type="paragraph" w:customStyle="1" w:styleId="western">
    <w:name w:val="western"/>
    <w:basedOn w:val="Normln"/>
    <w:uiPriority w:val="99"/>
    <w:rsid w:val="00A01E1C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08CA-F866-4F66-80CF-1655D60D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5339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Marie Maštalířová</cp:lastModifiedBy>
  <cp:revision>5</cp:revision>
  <cp:lastPrinted>2020-09-30T08:35:00Z</cp:lastPrinted>
  <dcterms:created xsi:type="dcterms:W3CDTF">2020-09-30T12:07:00Z</dcterms:created>
  <dcterms:modified xsi:type="dcterms:W3CDTF">2020-10-15T11:44:00Z</dcterms:modified>
</cp:coreProperties>
</file>