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94" w:rsidRDefault="00354CFB" w:rsidP="00354CFB">
      <w:pPr>
        <w:rPr>
          <w:b/>
        </w:rPr>
      </w:pPr>
      <w:r>
        <w:rPr>
          <w:b/>
        </w:rPr>
        <w:t xml:space="preserve">Příloha č. 1 ke kupní smlouvě č. </w:t>
      </w:r>
      <w:r w:rsidRPr="00354CFB">
        <w:rPr>
          <w:b/>
        </w:rPr>
        <w:t>PK/1929/2020</w:t>
      </w:r>
    </w:p>
    <w:p w:rsidR="00354CFB" w:rsidRPr="00DF7ACC" w:rsidRDefault="00354CFB" w:rsidP="00354CFB">
      <w:pPr>
        <w:rPr>
          <w:b/>
        </w:rPr>
      </w:pPr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0F08A5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0F08A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0F08A5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0F08A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006CD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D006CD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7C7259" w:rsidRPr="00D006C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A4106">
              <w:rPr>
                <w:rFonts w:asciiTheme="minorHAnsi" w:hAnsiTheme="minorHAnsi" w:cstheme="minorHAnsi"/>
                <w:sz w:val="22"/>
                <w:szCs w:val="22"/>
              </w:rPr>
              <w:t>1766</w:t>
            </w:r>
            <w:r w:rsidR="00B0634B" w:rsidRPr="00D006C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130CEA" w:rsidRPr="00D006C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B0634B" w:rsidRPr="00D006C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AB2AB6" w:rsidRPr="000F08A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4314F0" w:rsidRPr="000F08A5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001C07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73294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EE3397">
              <w:rPr>
                <w:rFonts w:asciiTheme="minorHAnsi" w:hAnsiTheme="minorHAnsi" w:cstheme="minorHAnsi"/>
                <w:sz w:val="22"/>
                <w:szCs w:val="22"/>
              </w:rPr>
              <w:t>.9</w:t>
            </w:r>
            <w:r w:rsidRPr="00275365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="00130CEA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21.11.2017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 xml:space="preserve">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1515BB" w:rsidRPr="001515BB">
        <w:rPr>
          <w:rFonts w:asciiTheme="minorHAnsi" w:hAnsiTheme="minorHAnsi" w:cstheme="minorHAnsi"/>
          <w:b/>
          <w:sz w:val="22"/>
          <w:szCs w:val="22"/>
        </w:rPr>
        <w:t xml:space="preserve">Nákup </w:t>
      </w:r>
      <w:r w:rsidR="00130CEA">
        <w:rPr>
          <w:rFonts w:asciiTheme="minorHAnsi" w:hAnsiTheme="minorHAnsi" w:cstheme="minorHAnsi"/>
          <w:b/>
          <w:sz w:val="22"/>
          <w:szCs w:val="22"/>
        </w:rPr>
        <w:t xml:space="preserve">harfy </w:t>
      </w:r>
      <w:r w:rsidR="007F3CE0">
        <w:rPr>
          <w:rFonts w:asciiTheme="minorHAnsi" w:hAnsiTheme="minorHAnsi" w:cstheme="minorHAnsi"/>
          <w:b/>
          <w:sz w:val="22"/>
          <w:szCs w:val="22"/>
        </w:rPr>
        <w:t>do koncertního sálu Pražské konzervatoř</w:t>
      </w:r>
      <w:r w:rsidR="00515A62">
        <w:rPr>
          <w:rFonts w:asciiTheme="minorHAnsi" w:hAnsiTheme="minorHAnsi" w:cstheme="minorHAnsi"/>
          <w:b/>
          <w:sz w:val="22"/>
          <w:szCs w:val="22"/>
        </w:rPr>
        <w:t>e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4D47" w:rsidRPr="004C1972" w:rsidRDefault="00E74D47" w:rsidP="00E74D47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35F70">
        <w:rPr>
          <w:rFonts w:asciiTheme="minorHAnsi" w:hAnsiTheme="minorHAnsi" w:cstheme="minorHAnsi"/>
          <w:b/>
          <w:sz w:val="22"/>
          <w:szCs w:val="22"/>
        </w:rPr>
        <w:t>Zadavatel:</w:t>
      </w:r>
      <w:r w:rsidRPr="004C1972">
        <w:rPr>
          <w:rFonts w:asciiTheme="minorHAnsi" w:hAnsiTheme="minorHAnsi" w:cstheme="minorHAnsi"/>
          <w:sz w:val="22"/>
          <w:szCs w:val="22"/>
        </w:rPr>
        <w:t xml:space="preserve"> Pražská konzervatoř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Pražská konzervatoř, Praha 1, Na Rejdišti 1 – příspěvková organizace </w:t>
      </w:r>
      <w:proofErr w:type="spellStart"/>
      <w:r w:rsidRPr="004C1972">
        <w:rPr>
          <w:rFonts w:asciiTheme="minorHAnsi" w:hAnsiTheme="minorHAnsi" w:cstheme="minorHAnsi"/>
          <w:sz w:val="22"/>
          <w:szCs w:val="22"/>
        </w:rPr>
        <w:t>hl.m.Prahy</w:t>
      </w:r>
      <w:proofErr w:type="spellEnd"/>
      <w:r w:rsidRPr="004C1972">
        <w:rPr>
          <w:rFonts w:asciiTheme="minorHAnsi" w:hAnsiTheme="minorHAnsi" w:cstheme="minorHAnsi"/>
          <w:sz w:val="22"/>
          <w:szCs w:val="22"/>
        </w:rPr>
        <w:t xml:space="preserve"> zřízena usnesením RHMP č. 550 z </w:t>
      </w:r>
      <w:proofErr w:type="gramStart"/>
      <w:r w:rsidRPr="004C1972">
        <w:rPr>
          <w:rFonts w:asciiTheme="minorHAnsi" w:hAnsiTheme="minorHAnsi" w:cstheme="minorHAnsi"/>
          <w:sz w:val="22"/>
          <w:szCs w:val="22"/>
        </w:rPr>
        <w:t>3.4.2001</w:t>
      </w:r>
      <w:proofErr w:type="gramEnd"/>
      <w:r w:rsidRPr="004C1972">
        <w:rPr>
          <w:rFonts w:asciiTheme="minorHAnsi" w:hAnsiTheme="minorHAnsi" w:cstheme="minorHAnsi"/>
          <w:sz w:val="22"/>
          <w:szCs w:val="22"/>
        </w:rPr>
        <w:t>, zapsaná v Rejstříku škol RED-IZO 600 0045 38, zapsaná v RARIS IČO:70837911.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E74D47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001C07">
        <w:rPr>
          <w:rFonts w:asciiTheme="minorHAnsi" w:hAnsiTheme="minorHAnsi" w:cstheme="minorHAnsi"/>
          <w:sz w:val="22"/>
          <w:szCs w:val="22"/>
        </w:rPr>
        <w:t>xxxxxxxxxxxxxx</w:t>
      </w:r>
      <w:proofErr w:type="spellEnd"/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BB39DA">
        <w:rPr>
          <w:rFonts w:asciiTheme="minorHAnsi" w:hAnsiTheme="minorHAnsi" w:cstheme="minorHAnsi"/>
          <w:sz w:val="22"/>
          <w:szCs w:val="22"/>
        </w:rPr>
        <w:t>ID datové schránky: qhqycf7</w:t>
      </w:r>
    </w:p>
    <w:p w:rsidR="00E74D47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 w:rsidRPr="00A352A8">
        <w:rPr>
          <w:rFonts w:asciiTheme="minorHAnsi" w:hAnsiTheme="minorHAnsi" w:cstheme="minorHAnsi"/>
          <w:sz w:val="22"/>
          <w:szCs w:val="22"/>
        </w:rPr>
        <w:t xml:space="preserve">Profil Zadavatele: </w:t>
      </w:r>
      <w:r w:rsidRPr="00BB39DA">
        <w:rPr>
          <w:rFonts w:asciiTheme="minorHAnsi" w:hAnsiTheme="minorHAnsi" w:cstheme="minorHAnsi"/>
          <w:sz w:val="22"/>
          <w:szCs w:val="22"/>
        </w:rPr>
        <w:t xml:space="preserve">https://www.vhodne-uverejneni.cz/profil/prazska-konzervator-praha-1-na-rejdisti-1 </w:t>
      </w:r>
      <w:r w:rsidRPr="00A352A8">
        <w:rPr>
          <w:rFonts w:asciiTheme="minorHAnsi" w:hAnsiTheme="minorHAnsi" w:cstheme="minorHAnsi"/>
          <w:sz w:val="22"/>
          <w:szCs w:val="22"/>
        </w:rPr>
        <w:t>(dále jen „Profil Zadavatele“).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„Zadavatel“)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F23C2B" w:rsidRPr="00F23C2B" w:rsidRDefault="00F23C2B" w:rsidP="00F23C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23C2B">
        <w:rPr>
          <w:rFonts w:asciiTheme="minorHAnsi" w:hAnsiTheme="minorHAnsi" w:cstheme="minorHAnsi"/>
          <w:b/>
          <w:sz w:val="22"/>
          <w:szCs w:val="22"/>
        </w:rPr>
        <w:t xml:space="preserve">1. Klasifikace veřejné zakázky </w:t>
      </w:r>
    </w:p>
    <w:p w:rsidR="00F23C2B" w:rsidRPr="00F23C2B" w:rsidRDefault="00F23C2B" w:rsidP="00F23C2B">
      <w:pPr>
        <w:jc w:val="both"/>
        <w:rPr>
          <w:rFonts w:asciiTheme="minorHAnsi" w:hAnsiTheme="minorHAnsi" w:cstheme="minorHAnsi"/>
          <w:sz w:val="22"/>
          <w:szCs w:val="22"/>
        </w:rPr>
      </w:pPr>
      <w:r w:rsidRPr="00F23C2B">
        <w:rPr>
          <w:rFonts w:asciiTheme="minorHAnsi" w:hAnsiTheme="minorHAnsi" w:cstheme="minorHAnsi"/>
          <w:sz w:val="22"/>
          <w:szCs w:val="22"/>
        </w:rPr>
        <w:t>Veřejná zakázka je veřejnou zakázkou na dodávky.</w:t>
      </w:r>
    </w:p>
    <w:p w:rsidR="00F23C2B" w:rsidRPr="00F23C2B" w:rsidRDefault="00F23C2B" w:rsidP="00F23C2B">
      <w:pPr>
        <w:jc w:val="both"/>
        <w:rPr>
          <w:rFonts w:asciiTheme="minorHAnsi" w:hAnsiTheme="minorHAnsi" w:cstheme="minorHAnsi"/>
          <w:sz w:val="22"/>
          <w:szCs w:val="22"/>
        </w:rPr>
      </w:pPr>
      <w:r w:rsidRPr="00F23C2B">
        <w:rPr>
          <w:rFonts w:asciiTheme="minorHAnsi" w:hAnsiTheme="minorHAnsi" w:cstheme="minorHAnsi"/>
          <w:sz w:val="22"/>
          <w:szCs w:val="22"/>
        </w:rPr>
        <w:t xml:space="preserve">Veřejná zakázka je veřejnou zakázkou </w:t>
      </w:r>
      <w:r w:rsidR="00CA36D3">
        <w:rPr>
          <w:rFonts w:asciiTheme="minorHAnsi" w:hAnsiTheme="minorHAnsi" w:cstheme="minorHAnsi"/>
          <w:sz w:val="22"/>
          <w:szCs w:val="22"/>
        </w:rPr>
        <w:t>malého rozsahu</w:t>
      </w:r>
      <w:r w:rsidRPr="00F23C2B">
        <w:rPr>
          <w:rFonts w:asciiTheme="minorHAnsi" w:hAnsiTheme="minorHAnsi" w:cstheme="minorHAnsi"/>
          <w:sz w:val="22"/>
          <w:szCs w:val="22"/>
        </w:rPr>
        <w:t>.</w:t>
      </w:r>
    </w:p>
    <w:p w:rsidR="004314F0" w:rsidRDefault="00F23C2B" w:rsidP="00F23C2B">
      <w:pPr>
        <w:jc w:val="both"/>
        <w:rPr>
          <w:rFonts w:asciiTheme="minorHAnsi" w:hAnsiTheme="minorHAnsi" w:cstheme="minorHAnsi"/>
          <w:sz w:val="22"/>
          <w:szCs w:val="22"/>
        </w:rPr>
      </w:pPr>
      <w:r w:rsidRPr="00F23C2B">
        <w:rPr>
          <w:rFonts w:asciiTheme="minorHAnsi" w:hAnsiTheme="minorHAnsi" w:cstheme="minorHAnsi"/>
          <w:sz w:val="22"/>
          <w:szCs w:val="22"/>
        </w:rPr>
        <w:t xml:space="preserve">Kód předmětu veřejné zakázky: </w:t>
      </w:r>
      <w:r w:rsidR="0094711C" w:rsidRPr="0094711C">
        <w:rPr>
          <w:rFonts w:asciiTheme="minorHAnsi" w:hAnsiTheme="minorHAnsi" w:cstheme="minorHAnsi"/>
          <w:sz w:val="22"/>
          <w:szCs w:val="22"/>
        </w:rPr>
        <w:t>37313500-0 – Harfy</w:t>
      </w:r>
    </w:p>
    <w:p w:rsidR="00E7276C" w:rsidRDefault="00E7276C" w:rsidP="00F23C2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276C" w:rsidRDefault="00E7276C" w:rsidP="00E7276C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 xml:space="preserve">Výzva k zaslání cenové nabídky bude zaslána osloveným firmám </w:t>
      </w:r>
      <w:r w:rsidRPr="00921CFA">
        <w:rPr>
          <w:rFonts w:asciiTheme="minorHAnsi" w:hAnsiTheme="minorHAnsi" w:cstheme="minorHAnsi"/>
          <w:b/>
          <w:sz w:val="22"/>
          <w:szCs w:val="22"/>
        </w:rPr>
        <w:t>pouze elektronicky</w:t>
      </w:r>
      <w:r w:rsidRPr="00921CFA">
        <w:rPr>
          <w:rFonts w:asciiTheme="minorHAnsi" w:hAnsiTheme="minorHAnsi" w:cstheme="minorHAnsi"/>
          <w:sz w:val="22"/>
          <w:szCs w:val="22"/>
        </w:rPr>
        <w:t xml:space="preserve"> formou mailu a zároveň bude uveřejněna na Profilu Zadavatele po celou dobu trvání lhůty pro podání nabídek, kde bude veřejně k dispozici případným dalším účastníkům výběrového řízení.</w:t>
      </w:r>
    </w:p>
    <w:p w:rsidR="00F23C2B" w:rsidRPr="004C1972" w:rsidRDefault="00F23C2B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F23C2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 xml:space="preserve">. Vymezení předmětu plnění veřejné zakázky: </w:t>
      </w:r>
    </w:p>
    <w:p w:rsidR="00D80E18" w:rsidRDefault="00D80E1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0E18">
        <w:rPr>
          <w:rFonts w:asciiTheme="minorHAnsi" w:hAnsiTheme="minorHAnsi" w:cstheme="minorHAnsi"/>
          <w:bCs/>
          <w:sz w:val="22"/>
          <w:szCs w:val="22"/>
        </w:rPr>
        <w:t>Informace a údaje uvedené v této výzvě vymezují požadavky Zadavatele na předmět plnění zakázky. Tyto požadavky je uchazeč povinen plně a bezvýjimečně respektovat při zpracování své nabídky a ve své nabídce je akceptovat v požadovaném rozsahu.</w:t>
      </w:r>
    </w:p>
    <w:p w:rsidR="00E7276C" w:rsidRDefault="00E7276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276C" w:rsidRDefault="00E7276C" w:rsidP="00E7276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CFA">
        <w:rPr>
          <w:rFonts w:asciiTheme="minorHAnsi" w:hAnsiTheme="minorHAnsi" w:cstheme="minorHAnsi"/>
          <w:bCs/>
          <w:sz w:val="22"/>
          <w:szCs w:val="22"/>
        </w:rPr>
        <w:t>Zakázka bude realizována dle zadávací dokumentace umístěné na profilu zadavatele nebo bude tato dokumentace k dispozici na vyžádání u kontaktní osoby a tvoří nedílnou součást této výzvy.</w:t>
      </w:r>
      <w:r w:rsidRPr="003056CC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D80E18" w:rsidRDefault="00D80E1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je </w:t>
      </w:r>
      <w:r w:rsidR="00E74D47">
        <w:rPr>
          <w:rFonts w:asciiTheme="minorHAnsi" w:hAnsiTheme="minorHAnsi" w:cstheme="minorHAnsi"/>
          <w:bCs/>
          <w:sz w:val="22"/>
          <w:szCs w:val="22"/>
        </w:rPr>
        <w:t>pořízení zcela nové</w:t>
      </w:r>
      <w:r w:rsidR="005973BF">
        <w:rPr>
          <w:rFonts w:asciiTheme="minorHAnsi" w:hAnsiTheme="minorHAnsi" w:cstheme="minorHAnsi"/>
          <w:bCs/>
          <w:sz w:val="22"/>
          <w:szCs w:val="22"/>
        </w:rPr>
        <w:t>, nepoužité</w:t>
      </w:r>
      <w:r w:rsidR="001515B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30CEA">
        <w:rPr>
          <w:rFonts w:asciiTheme="minorHAnsi" w:hAnsiTheme="minorHAnsi" w:cstheme="minorHAnsi"/>
          <w:bCs/>
          <w:sz w:val="22"/>
          <w:szCs w:val="22"/>
        </w:rPr>
        <w:t xml:space="preserve">harfy „Lyon &amp; </w:t>
      </w:r>
      <w:proofErr w:type="spellStart"/>
      <w:r w:rsidR="00130CEA">
        <w:rPr>
          <w:rFonts w:asciiTheme="minorHAnsi" w:hAnsiTheme="minorHAnsi" w:cstheme="minorHAnsi"/>
          <w:bCs/>
          <w:sz w:val="22"/>
          <w:szCs w:val="22"/>
        </w:rPr>
        <w:t>Healy</w:t>
      </w:r>
      <w:proofErr w:type="spellEnd"/>
      <w:r w:rsidR="00130CEA">
        <w:rPr>
          <w:rFonts w:asciiTheme="minorHAnsi" w:hAnsiTheme="minorHAnsi" w:cstheme="minorHAnsi"/>
          <w:bCs/>
          <w:sz w:val="22"/>
          <w:szCs w:val="22"/>
        </w:rPr>
        <w:t xml:space="preserve"> Style 8 Concert Grand Gold“</w:t>
      </w:r>
      <w:r w:rsidR="00182699" w:rsidRPr="001826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2699">
        <w:rPr>
          <w:rFonts w:asciiTheme="minorHAnsi" w:hAnsiTheme="minorHAnsi" w:cstheme="minorHAnsi"/>
          <w:bCs/>
          <w:sz w:val="22"/>
          <w:szCs w:val="22"/>
        </w:rPr>
        <w:t>pro výuku</w:t>
      </w:r>
      <w:r w:rsidR="005973BF">
        <w:rPr>
          <w:rFonts w:asciiTheme="minorHAnsi" w:hAnsiTheme="minorHAnsi" w:cstheme="minorHAnsi"/>
          <w:bCs/>
          <w:sz w:val="22"/>
          <w:szCs w:val="22"/>
        </w:rPr>
        <w:t xml:space="preserve"> a koncertní činnost</w:t>
      </w:r>
      <w:r w:rsidR="00182699">
        <w:rPr>
          <w:rFonts w:asciiTheme="minorHAnsi" w:hAnsiTheme="minorHAnsi" w:cstheme="minorHAnsi"/>
          <w:bCs/>
          <w:sz w:val="22"/>
          <w:szCs w:val="22"/>
        </w:rPr>
        <w:t xml:space="preserve"> na Pražské konzervatoři </w:t>
      </w:r>
      <w:r>
        <w:rPr>
          <w:rFonts w:asciiTheme="minorHAnsi" w:hAnsiTheme="minorHAnsi" w:cstheme="minorHAnsi"/>
          <w:bCs/>
          <w:sz w:val="22"/>
          <w:szCs w:val="22"/>
        </w:rPr>
        <w:t>se sídlem na adrese „</w:t>
      </w:r>
      <w:r w:rsidR="005F05A4">
        <w:rPr>
          <w:rFonts w:asciiTheme="minorHAnsi" w:hAnsiTheme="minorHAnsi" w:cstheme="minorHAnsi"/>
          <w:bCs/>
          <w:sz w:val="22"/>
          <w:szCs w:val="22"/>
        </w:rPr>
        <w:t>Na Rejdišti 1, Praha 1</w:t>
      </w:r>
      <w:r w:rsidR="00130CEA">
        <w:rPr>
          <w:rFonts w:asciiTheme="minorHAnsi" w:hAnsiTheme="minorHAnsi" w:cstheme="minorHAnsi"/>
          <w:bCs/>
          <w:sz w:val="22"/>
          <w:szCs w:val="22"/>
        </w:rPr>
        <w:t>, Česká republika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  <w:r w:rsidR="00130CEA">
        <w:rPr>
          <w:rFonts w:asciiTheme="minorHAnsi" w:hAnsiTheme="minorHAnsi" w:cstheme="minorHAnsi"/>
          <w:bCs/>
          <w:sz w:val="22"/>
          <w:szCs w:val="22"/>
        </w:rPr>
        <w:t>.</w:t>
      </w:r>
    </w:p>
    <w:p w:rsidR="00487381" w:rsidRDefault="00487381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276C" w:rsidRDefault="00E7276C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276C" w:rsidRDefault="00E7276C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276C" w:rsidRPr="00275365" w:rsidRDefault="00E7276C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Default="00265BC1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Specifikace</w:t>
      </w:r>
      <w:r w:rsidR="004B32B3" w:rsidRPr="004B32B3">
        <w:rPr>
          <w:rFonts w:asciiTheme="minorHAnsi" w:hAnsiTheme="minorHAnsi" w:cstheme="minorHAnsi"/>
          <w:b/>
          <w:bCs/>
          <w:sz w:val="22"/>
          <w:szCs w:val="22"/>
        </w:rPr>
        <w:t xml:space="preserve"> veřejné zakázky:</w:t>
      </w:r>
    </w:p>
    <w:p w:rsidR="00F23C2B" w:rsidRDefault="00F23C2B" w:rsidP="00640F2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130CEA" w:rsidRDefault="00130CEA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Lyon &amp;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Healy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Style 8 Concert Grand Gold</w:t>
      </w:r>
      <w:r w:rsidRPr="00F23C2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E74D47" w:rsidRDefault="00F23C2B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23C2B">
        <w:rPr>
          <w:rFonts w:asciiTheme="minorHAnsi" w:hAnsiTheme="minorHAnsi" w:cstheme="minorHAnsi"/>
          <w:bCs/>
          <w:sz w:val="22"/>
          <w:szCs w:val="22"/>
        </w:rPr>
        <w:t>Technická specifikace:</w:t>
      </w:r>
      <w:r w:rsidR="00130CE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23C2B" w:rsidRDefault="00130CEA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47 strun – 0. oktáva </w:t>
      </w:r>
      <w:r w:rsidR="00E74D47">
        <w:rPr>
          <w:rFonts w:asciiTheme="minorHAnsi" w:hAnsiTheme="minorHAnsi" w:cstheme="minorHAnsi"/>
          <w:bCs/>
          <w:sz w:val="22"/>
          <w:szCs w:val="22"/>
        </w:rPr>
        <w:t xml:space="preserve">G </w:t>
      </w:r>
      <w:r>
        <w:rPr>
          <w:rFonts w:asciiTheme="minorHAnsi" w:hAnsiTheme="minorHAnsi" w:cstheme="minorHAnsi"/>
          <w:bCs/>
          <w:sz w:val="22"/>
          <w:szCs w:val="22"/>
        </w:rPr>
        <w:t xml:space="preserve">až 7. </w:t>
      </w:r>
      <w:r w:rsidR="00E74D47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ktáv</w:t>
      </w:r>
      <w:r w:rsidR="00E74D47">
        <w:rPr>
          <w:rFonts w:asciiTheme="minorHAnsi" w:hAnsiTheme="minorHAnsi" w:cstheme="minorHAnsi"/>
          <w:bCs/>
          <w:sz w:val="22"/>
          <w:szCs w:val="22"/>
        </w:rPr>
        <w:t>a C</w:t>
      </w:r>
    </w:p>
    <w:p w:rsidR="00E74D47" w:rsidRDefault="00E74D47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Výška: 74 1/4“ (189 cm)</w:t>
      </w:r>
    </w:p>
    <w:p w:rsidR="00E74D47" w:rsidRDefault="00E74D47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Šířka korpusu: 21 5/8“ (55 cm)</w:t>
      </w:r>
    </w:p>
    <w:p w:rsidR="00E74D47" w:rsidRDefault="00E74D47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Maximální šířka: 38 5/8“ (98 cm)</w:t>
      </w:r>
    </w:p>
    <w:p w:rsidR="0093691C" w:rsidRDefault="00E74D47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Váha: 83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Ibs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(38 kg)</w:t>
      </w:r>
    </w:p>
    <w:p w:rsidR="00E74D47" w:rsidRPr="00F23C2B" w:rsidRDefault="0093691C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Pozlacení: 23+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karat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gold</w:t>
      </w:r>
      <w:proofErr w:type="spellEnd"/>
      <w:r w:rsidR="00E74D4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F23C2B" w:rsidRDefault="00B7327A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21CFA">
        <w:rPr>
          <w:rFonts w:asciiTheme="minorHAnsi" w:hAnsiTheme="minorHAnsi" w:cstheme="minorHAnsi"/>
          <w:bCs/>
          <w:sz w:val="22"/>
          <w:szCs w:val="22"/>
        </w:rPr>
        <w:t>Příslušenství a</w:t>
      </w:r>
      <w:r>
        <w:rPr>
          <w:rFonts w:asciiTheme="minorHAnsi" w:hAnsiTheme="minorHAnsi" w:cstheme="minorHAnsi"/>
          <w:bCs/>
          <w:sz w:val="22"/>
          <w:szCs w:val="22"/>
        </w:rPr>
        <w:t xml:space="preserve"> t</w:t>
      </w:r>
      <w:r w:rsidR="00E74D47">
        <w:rPr>
          <w:rFonts w:asciiTheme="minorHAnsi" w:hAnsiTheme="minorHAnsi" w:cstheme="minorHAnsi"/>
          <w:bCs/>
          <w:sz w:val="22"/>
          <w:szCs w:val="22"/>
        </w:rPr>
        <w:t>ransportní obal</w:t>
      </w:r>
      <w:r w:rsidR="0093691C">
        <w:rPr>
          <w:rFonts w:asciiTheme="minorHAnsi" w:hAnsiTheme="minorHAnsi" w:cstheme="minorHAnsi"/>
          <w:bCs/>
          <w:sz w:val="22"/>
          <w:szCs w:val="22"/>
        </w:rPr>
        <w:t xml:space="preserve"> (Transport </w:t>
      </w:r>
      <w:proofErr w:type="spellStart"/>
      <w:r w:rsidR="0093691C">
        <w:rPr>
          <w:rFonts w:asciiTheme="minorHAnsi" w:hAnsiTheme="minorHAnsi" w:cstheme="minorHAnsi"/>
          <w:bCs/>
          <w:sz w:val="22"/>
          <w:szCs w:val="22"/>
        </w:rPr>
        <w:t>Cover</w:t>
      </w:r>
      <w:proofErr w:type="spellEnd"/>
      <w:r w:rsidR="0093691C">
        <w:rPr>
          <w:rFonts w:asciiTheme="minorHAnsi" w:hAnsiTheme="minorHAnsi" w:cstheme="minorHAnsi"/>
          <w:bCs/>
          <w:sz w:val="22"/>
          <w:szCs w:val="22"/>
        </w:rPr>
        <w:t xml:space="preserve"> Set</w:t>
      </w:r>
      <w:r w:rsidR="00053788">
        <w:rPr>
          <w:rFonts w:asciiTheme="minorHAnsi" w:hAnsiTheme="minorHAnsi" w:cstheme="minorHAnsi"/>
          <w:bCs/>
          <w:sz w:val="22"/>
          <w:szCs w:val="22"/>
        </w:rPr>
        <w:t xml:space="preserve"> Lyon &amp; </w:t>
      </w:r>
      <w:proofErr w:type="spellStart"/>
      <w:r w:rsidR="00053788">
        <w:rPr>
          <w:rFonts w:asciiTheme="minorHAnsi" w:hAnsiTheme="minorHAnsi" w:cstheme="minorHAnsi"/>
          <w:bCs/>
          <w:sz w:val="22"/>
          <w:szCs w:val="22"/>
        </w:rPr>
        <w:t>Healy</w:t>
      </w:r>
      <w:proofErr w:type="spellEnd"/>
      <w:r w:rsidR="00053788">
        <w:rPr>
          <w:rFonts w:asciiTheme="minorHAnsi" w:hAnsiTheme="minorHAnsi" w:cstheme="minorHAnsi"/>
          <w:bCs/>
          <w:sz w:val="22"/>
          <w:szCs w:val="22"/>
        </w:rPr>
        <w:t>)</w:t>
      </w:r>
    </w:p>
    <w:p w:rsidR="00901FA7" w:rsidRDefault="00901FA7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Odborné pokyny na údržbu</w:t>
      </w:r>
    </w:p>
    <w:p w:rsidR="00053788" w:rsidRDefault="00053788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74D47" w:rsidRPr="00053788" w:rsidRDefault="00E74D47" w:rsidP="00E74D4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659">
        <w:rPr>
          <w:rFonts w:asciiTheme="minorHAnsi" w:hAnsiTheme="minorHAnsi" w:cstheme="minorHAnsi"/>
          <w:sz w:val="22"/>
          <w:szCs w:val="22"/>
        </w:rPr>
        <w:t>Vzhledem k povaze dodávky zadavatel požaduje umožnění osobního výběru nástroje a jeho vyzkoušení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07659">
        <w:rPr>
          <w:rFonts w:asciiTheme="minorHAnsi" w:hAnsiTheme="minorHAnsi" w:cstheme="minorHAnsi"/>
          <w:sz w:val="22"/>
          <w:szCs w:val="22"/>
        </w:rPr>
        <w:t xml:space="preserve"> Umožnění</w:t>
      </w:r>
      <w:r w:rsidR="00053788">
        <w:rPr>
          <w:rFonts w:asciiTheme="minorHAnsi" w:hAnsiTheme="minorHAnsi" w:cstheme="minorHAnsi"/>
          <w:sz w:val="22"/>
          <w:szCs w:val="22"/>
        </w:rPr>
        <w:t xml:space="preserve"> výběru konkrétního kusu harfy</w:t>
      </w:r>
      <w:r w:rsidRPr="00B07659">
        <w:rPr>
          <w:rFonts w:asciiTheme="minorHAnsi" w:hAnsiTheme="minorHAnsi" w:cstheme="minorHAnsi"/>
          <w:sz w:val="22"/>
          <w:szCs w:val="22"/>
        </w:rPr>
        <w:t xml:space="preserve"> z</w:t>
      </w:r>
      <w:r w:rsidR="00053788">
        <w:rPr>
          <w:rFonts w:asciiTheme="minorHAnsi" w:hAnsiTheme="minorHAnsi" w:cstheme="minorHAnsi"/>
          <w:sz w:val="22"/>
          <w:szCs w:val="22"/>
        </w:rPr>
        <w:t> minimálně dvou</w:t>
      </w:r>
      <w:r w:rsidRPr="00B07659">
        <w:rPr>
          <w:rFonts w:asciiTheme="minorHAnsi" w:hAnsiTheme="minorHAnsi" w:cstheme="minorHAnsi"/>
          <w:sz w:val="22"/>
          <w:szCs w:val="22"/>
        </w:rPr>
        <w:t xml:space="preserve"> </w:t>
      </w:r>
      <w:r w:rsidRPr="00053788">
        <w:rPr>
          <w:rFonts w:asciiTheme="minorHAnsi" w:hAnsiTheme="minorHAnsi" w:cstheme="minorHAnsi"/>
          <w:sz w:val="22"/>
          <w:szCs w:val="22"/>
        </w:rPr>
        <w:t xml:space="preserve">nabízených možností </w:t>
      </w:r>
      <w:r w:rsidR="00053788" w:rsidRPr="00053788">
        <w:rPr>
          <w:rFonts w:asciiTheme="minorHAnsi" w:hAnsiTheme="minorHAnsi" w:cstheme="minorHAnsi"/>
          <w:sz w:val="22"/>
          <w:szCs w:val="22"/>
        </w:rPr>
        <w:t>odborníkem stanoveným dle rozhodnutí zadavatele</w:t>
      </w:r>
      <w:r w:rsidRPr="00053788">
        <w:rPr>
          <w:rFonts w:asciiTheme="minorHAnsi" w:hAnsiTheme="minorHAnsi" w:cstheme="minorHAnsi"/>
          <w:sz w:val="22"/>
          <w:szCs w:val="22"/>
        </w:rPr>
        <w:t xml:space="preserve"> musí být součástí nabídky</w:t>
      </w:r>
      <w:r w:rsidRPr="00921CFA">
        <w:rPr>
          <w:rFonts w:asciiTheme="minorHAnsi" w:hAnsiTheme="minorHAnsi" w:cstheme="minorHAnsi"/>
          <w:sz w:val="22"/>
          <w:szCs w:val="22"/>
        </w:rPr>
        <w:t xml:space="preserve">. </w:t>
      </w:r>
      <w:r w:rsidR="005973BF" w:rsidRPr="00921CFA">
        <w:rPr>
          <w:rFonts w:asciiTheme="minorHAnsi" w:hAnsiTheme="minorHAnsi" w:cstheme="minorHAnsi"/>
          <w:sz w:val="22"/>
          <w:szCs w:val="22"/>
        </w:rPr>
        <w:t xml:space="preserve">Dopravu </w:t>
      </w:r>
      <w:r w:rsidR="00635760" w:rsidRPr="00921CFA">
        <w:rPr>
          <w:rFonts w:asciiTheme="minorHAnsi" w:hAnsiTheme="minorHAnsi" w:cstheme="minorHAnsi"/>
          <w:sz w:val="22"/>
          <w:szCs w:val="22"/>
        </w:rPr>
        <w:t>odborníka</w:t>
      </w:r>
      <w:r w:rsidR="005973BF" w:rsidRPr="00921CFA">
        <w:rPr>
          <w:rFonts w:asciiTheme="minorHAnsi" w:hAnsiTheme="minorHAnsi" w:cstheme="minorHAnsi"/>
          <w:sz w:val="22"/>
          <w:szCs w:val="22"/>
        </w:rPr>
        <w:t xml:space="preserve"> st</w:t>
      </w:r>
      <w:r w:rsidR="00635760" w:rsidRPr="00921CFA">
        <w:rPr>
          <w:rFonts w:asciiTheme="minorHAnsi" w:hAnsiTheme="minorHAnsi" w:cstheme="minorHAnsi"/>
          <w:sz w:val="22"/>
          <w:szCs w:val="22"/>
        </w:rPr>
        <w:t>anoveného</w:t>
      </w:r>
      <w:r w:rsidR="005973BF" w:rsidRPr="00921CFA">
        <w:rPr>
          <w:rFonts w:asciiTheme="minorHAnsi" w:hAnsiTheme="minorHAnsi" w:cstheme="minorHAnsi"/>
          <w:sz w:val="22"/>
          <w:szCs w:val="22"/>
        </w:rPr>
        <w:t xml:space="preserve"> zadavatelem na místo výběru zajistí vybraný uchazeč na vlastní náklady.</w:t>
      </w:r>
    </w:p>
    <w:p w:rsidR="00E74D47" w:rsidRPr="004C1972" w:rsidRDefault="00E74D47" w:rsidP="00E74D4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předmětu plnění je</w:t>
      </w:r>
      <w:r w:rsidR="00B7327A">
        <w:rPr>
          <w:rFonts w:asciiTheme="minorHAnsi" w:hAnsiTheme="minorHAnsi" w:cstheme="minorHAnsi"/>
          <w:sz w:val="22"/>
          <w:szCs w:val="22"/>
        </w:rPr>
        <w:t xml:space="preserve"> </w:t>
      </w:r>
      <w:r w:rsidR="00B7327A" w:rsidRPr="00921CFA">
        <w:rPr>
          <w:rFonts w:asciiTheme="minorHAnsi" w:hAnsiTheme="minorHAnsi" w:cstheme="minorHAnsi"/>
          <w:sz w:val="22"/>
          <w:szCs w:val="22"/>
        </w:rPr>
        <w:t>seřízení, instalace</w:t>
      </w:r>
      <w:r w:rsidR="00B7327A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7659">
        <w:rPr>
          <w:rFonts w:asciiTheme="minorHAnsi" w:hAnsiTheme="minorHAnsi" w:cstheme="minorHAnsi"/>
          <w:sz w:val="22"/>
          <w:szCs w:val="22"/>
        </w:rPr>
        <w:t>zajištění odborné dopravy od výrobce do místa plnění veřejné zakázky vč. umístění tj. přemístění z dopravního prostředku do prostoru určeného zadavatelem v místě dodávky a jeho</w:t>
      </w:r>
      <w:r w:rsidR="004F01D1">
        <w:rPr>
          <w:rFonts w:asciiTheme="minorHAnsi" w:hAnsiTheme="minorHAnsi" w:cstheme="minorHAnsi"/>
          <w:sz w:val="22"/>
          <w:szCs w:val="22"/>
        </w:rPr>
        <w:t xml:space="preserve"> instalace</w:t>
      </w:r>
      <w:r w:rsidRPr="00B07659">
        <w:rPr>
          <w:rFonts w:asciiTheme="minorHAnsi" w:hAnsiTheme="minorHAnsi" w:cstheme="minorHAnsi"/>
          <w:sz w:val="22"/>
          <w:szCs w:val="22"/>
        </w:rPr>
        <w:t>.</w:t>
      </w:r>
      <w:r w:rsidR="005973B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80E18" w:rsidRDefault="00D80E18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80E18">
        <w:rPr>
          <w:rFonts w:asciiTheme="minorHAnsi" w:hAnsiTheme="minorHAnsi" w:cstheme="minorHAnsi"/>
          <w:bCs/>
          <w:sz w:val="22"/>
          <w:szCs w:val="22"/>
        </w:rPr>
        <w:t>Předmět veřejné zakázky musí splňovat veškeré parametry uvedené Zadavatelem. V případě, že technická specifikace uchazečem nabízeného plnění nebude těmto minimálním technickým parametrům odpovídat, může být tento uchazeč ze zadávacího řízení vyloučen.</w:t>
      </w:r>
    </w:p>
    <w:p w:rsidR="00D80E18" w:rsidRPr="00F23C2B" w:rsidRDefault="00D80E18" w:rsidP="00F23C2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77E5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>Kontaktní osobou pro případné dotazy je</w:t>
      </w:r>
      <w:r w:rsidR="00265B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1C07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5F05A4" w:rsidRPr="00607022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001C07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="00F23C2B" w:rsidRPr="00607022">
        <w:rPr>
          <w:rFonts w:asciiTheme="minorHAnsi" w:hAnsiTheme="minorHAnsi" w:cstheme="minorHAnsi"/>
          <w:sz w:val="22"/>
          <w:szCs w:val="22"/>
        </w:rPr>
        <w:t xml:space="preserve"> ve věcech</w:t>
      </w:r>
      <w:r w:rsidR="00F23C2B" w:rsidRPr="00F23C2B">
        <w:rPr>
          <w:rFonts w:asciiTheme="minorHAnsi" w:hAnsiTheme="minorHAnsi" w:cstheme="minorHAnsi"/>
          <w:sz w:val="22"/>
          <w:szCs w:val="22"/>
        </w:rPr>
        <w:t xml:space="preserve"> technických a </w:t>
      </w:r>
      <w:proofErr w:type="spellStart"/>
      <w:r w:rsidR="00001C07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="00F23C2B">
        <w:rPr>
          <w:rFonts w:asciiTheme="minorHAnsi" w:hAnsiTheme="minorHAnsi" w:cstheme="minorHAnsi"/>
          <w:sz w:val="22"/>
          <w:szCs w:val="22"/>
        </w:rPr>
        <w:t xml:space="preserve">, </w:t>
      </w:r>
      <w:r w:rsidR="00F23C2B" w:rsidRPr="003759D9">
        <w:rPr>
          <w:rFonts w:asciiTheme="minorHAnsi" w:hAnsiTheme="minorHAnsi" w:cstheme="minorHAnsi"/>
          <w:sz w:val="22"/>
          <w:szCs w:val="22"/>
        </w:rPr>
        <w:t>tel.</w:t>
      </w:r>
      <w:r w:rsidR="003759D9" w:rsidRPr="003759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1C07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F23C2B">
        <w:rPr>
          <w:rFonts w:asciiTheme="minorHAnsi" w:hAnsiTheme="minorHAnsi" w:cstheme="minorHAnsi"/>
          <w:sz w:val="22"/>
          <w:szCs w:val="22"/>
        </w:rPr>
        <w:t xml:space="preserve"> </w:t>
      </w:r>
      <w:r w:rsidR="00F23C2B" w:rsidRPr="00F23C2B">
        <w:rPr>
          <w:rFonts w:asciiTheme="minorHAnsi" w:hAnsiTheme="minorHAnsi" w:cstheme="minorHAnsi"/>
          <w:sz w:val="22"/>
          <w:szCs w:val="22"/>
        </w:rPr>
        <w:t xml:space="preserve"> v oblasti organizace výběrového řízení a ve věcech smluvních</w:t>
      </w:r>
      <w:r w:rsidR="00FA77E5" w:rsidRPr="00F23C2B">
        <w:rPr>
          <w:rFonts w:asciiTheme="minorHAnsi" w:hAnsiTheme="minorHAnsi" w:cstheme="minorHAnsi"/>
          <w:sz w:val="22"/>
          <w:szCs w:val="22"/>
        </w:rPr>
        <w:t>.</w:t>
      </w:r>
    </w:p>
    <w:p w:rsidR="004D66B4" w:rsidRPr="007A1FB4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4F01D1" w:rsidRPr="00FA50A6" w:rsidRDefault="004F01D1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 w:rsidRPr="00FA50A6">
        <w:rPr>
          <w:rFonts w:asciiTheme="minorHAnsi" w:hAnsiTheme="minorHAnsi" w:cstheme="minorHAnsi"/>
          <w:sz w:val="22"/>
          <w:szCs w:val="22"/>
        </w:rPr>
        <w:t>Předpokládaná hodnota veřejné zakázky byla stanovena na základě průzkumu trhu a obvyklých cen za požadované plnění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FA50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Předpokládaná hodnota veřejné </w:t>
      </w:r>
      <w:r w:rsidRPr="00F23C2B">
        <w:rPr>
          <w:rFonts w:asciiTheme="minorHAnsi" w:hAnsiTheme="minorHAnsi" w:cstheme="minorHAnsi"/>
          <w:b/>
          <w:sz w:val="22"/>
          <w:szCs w:val="22"/>
        </w:rPr>
        <w:t>zaká</w:t>
      </w:r>
      <w:r w:rsidRPr="00044398">
        <w:rPr>
          <w:rFonts w:asciiTheme="minorHAnsi" w:hAnsiTheme="minorHAnsi" w:cstheme="minorHAnsi"/>
          <w:b/>
          <w:sz w:val="22"/>
          <w:szCs w:val="22"/>
        </w:rPr>
        <w:t xml:space="preserve">zky je </w:t>
      </w:r>
      <w:r w:rsidR="00D21743" w:rsidRPr="00044398">
        <w:rPr>
          <w:rFonts w:asciiTheme="minorHAnsi" w:hAnsiTheme="minorHAnsi" w:cstheme="minorHAnsi"/>
          <w:b/>
          <w:sz w:val="22"/>
          <w:szCs w:val="22"/>
        </w:rPr>
        <w:t>do</w:t>
      </w:r>
      <w:r w:rsidR="0078021D" w:rsidRPr="000443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3788">
        <w:rPr>
          <w:rFonts w:asciiTheme="minorHAnsi" w:hAnsiTheme="minorHAnsi" w:cstheme="minorHAnsi"/>
          <w:b/>
          <w:sz w:val="22"/>
          <w:szCs w:val="22"/>
        </w:rPr>
        <w:t>1 </w:t>
      </w:r>
      <w:r w:rsidR="00D006CD">
        <w:rPr>
          <w:rFonts w:asciiTheme="minorHAnsi" w:hAnsiTheme="minorHAnsi" w:cstheme="minorHAnsi"/>
          <w:b/>
          <w:sz w:val="22"/>
          <w:szCs w:val="22"/>
        </w:rPr>
        <w:t>999</w:t>
      </w:r>
      <w:r w:rsidR="00EE3397">
        <w:rPr>
          <w:rFonts w:asciiTheme="minorHAnsi" w:hAnsiTheme="minorHAnsi" w:cstheme="minorHAnsi"/>
          <w:b/>
          <w:sz w:val="22"/>
          <w:szCs w:val="22"/>
        </w:rPr>
        <w:t xml:space="preserve"> 990</w:t>
      </w:r>
      <w:r w:rsidRPr="00044398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D86A02" w:rsidRDefault="00D80E18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80E18">
        <w:rPr>
          <w:rFonts w:asciiTheme="minorHAnsi" w:hAnsiTheme="minorHAnsi" w:cstheme="minorHAnsi"/>
          <w:sz w:val="22"/>
          <w:szCs w:val="22"/>
        </w:rPr>
        <w:t>Zadavatel výslovně upozorňuje, že nepředpokládá překročení předpokládané hodnoty veřejné zakázky v nabídkách účastníků.</w:t>
      </w:r>
    </w:p>
    <w:p w:rsidR="001F4073" w:rsidRDefault="001F4073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1F4073">
        <w:rPr>
          <w:rFonts w:asciiTheme="minorHAnsi" w:hAnsiTheme="minorHAnsi" w:cstheme="minorHAnsi"/>
          <w:sz w:val="22"/>
          <w:szCs w:val="22"/>
        </w:rPr>
        <w:t>Předpokládaná hodnota celé veřejné zakázky představuje současně nejvýše přípustnou výši nabídkové ceny; nerespektování tohoto požadavku ze strany účastníka bude považováno za nesplnění zadávacích podmínek.</w:t>
      </w:r>
    </w:p>
    <w:p w:rsidR="0094711C" w:rsidRDefault="0094711C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11C" w:rsidRPr="0094711C" w:rsidRDefault="0094711C" w:rsidP="004314F0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4711C">
        <w:rPr>
          <w:rFonts w:asciiTheme="minorHAnsi" w:hAnsiTheme="minorHAnsi" w:cstheme="minorHAnsi"/>
          <w:b/>
          <w:i/>
          <w:sz w:val="22"/>
          <w:szCs w:val="22"/>
        </w:rPr>
        <w:t xml:space="preserve">Dodávka bude realizována pouze v případě, že Pražská konzervatoř obdrží účelovou finanční dotaci od </w:t>
      </w:r>
      <w:r>
        <w:rPr>
          <w:rFonts w:asciiTheme="minorHAnsi" w:hAnsiTheme="minorHAnsi" w:cstheme="minorHAnsi"/>
          <w:b/>
          <w:i/>
          <w:sz w:val="22"/>
          <w:szCs w:val="22"/>
        </w:rPr>
        <w:t>zřizovatele, tj. MHMP</w:t>
      </w:r>
      <w:r w:rsidRPr="0094711C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D80E18" w:rsidRPr="004C1972" w:rsidRDefault="00D80E18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F01D1" w:rsidRPr="004C1972" w:rsidRDefault="004F01D1" w:rsidP="004F01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Termín a místo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plnění </w:t>
      </w:r>
      <w:r w:rsidRPr="00921CFA">
        <w:rPr>
          <w:rFonts w:asciiTheme="minorHAnsi" w:hAnsiTheme="minorHAnsi" w:cstheme="minorHAnsi"/>
          <w:b/>
          <w:bCs/>
          <w:sz w:val="22"/>
          <w:szCs w:val="22"/>
        </w:rPr>
        <w:t>veřejné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 zakázky:</w:t>
      </w:r>
    </w:p>
    <w:p w:rsidR="00E7746D" w:rsidRPr="00921CFA" w:rsidRDefault="00B7327A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v</w:t>
      </w:r>
      <w:r w:rsidR="004F01D1" w:rsidRPr="002271D4">
        <w:rPr>
          <w:rFonts w:asciiTheme="minorHAnsi" w:hAnsiTheme="minorHAnsi" w:cstheme="minorHAnsi"/>
          <w:sz w:val="22"/>
          <w:szCs w:val="22"/>
        </w:rPr>
        <w:t>eřejné zakázky bude realizováno ode dn</w:t>
      </w:r>
      <w:r w:rsidR="005973BF">
        <w:rPr>
          <w:rFonts w:asciiTheme="minorHAnsi" w:hAnsiTheme="minorHAnsi" w:cstheme="minorHAnsi"/>
          <w:sz w:val="22"/>
          <w:szCs w:val="22"/>
        </w:rPr>
        <w:t>e podpisu smlouvy na realizaci v</w:t>
      </w:r>
      <w:r w:rsidR="004F01D1" w:rsidRPr="002271D4">
        <w:rPr>
          <w:rFonts w:asciiTheme="minorHAnsi" w:hAnsiTheme="minorHAnsi" w:cstheme="minorHAnsi"/>
          <w:sz w:val="22"/>
          <w:szCs w:val="22"/>
        </w:rPr>
        <w:t xml:space="preserve">eřejné zakázky, a to dle realizace </w:t>
      </w:r>
      <w:r w:rsidR="005973BF">
        <w:rPr>
          <w:rFonts w:asciiTheme="minorHAnsi" w:hAnsiTheme="minorHAnsi" w:cstheme="minorHAnsi"/>
          <w:sz w:val="22"/>
          <w:szCs w:val="22"/>
        </w:rPr>
        <w:t>konkrétního plnění v</w:t>
      </w:r>
      <w:r w:rsidR="004F01D1" w:rsidRPr="004E768F">
        <w:rPr>
          <w:rFonts w:asciiTheme="minorHAnsi" w:hAnsiTheme="minorHAnsi" w:cstheme="minorHAnsi"/>
          <w:sz w:val="22"/>
          <w:szCs w:val="22"/>
        </w:rPr>
        <w:t xml:space="preserve">eřejné zakázky, nejdéle však </w:t>
      </w:r>
      <w:r w:rsidR="00921CFA" w:rsidRPr="00921CFA">
        <w:rPr>
          <w:rFonts w:asciiTheme="minorHAnsi" w:hAnsiTheme="minorHAnsi" w:cstheme="minorHAnsi"/>
          <w:b/>
          <w:sz w:val="22"/>
          <w:szCs w:val="22"/>
        </w:rPr>
        <w:t>do 4. 12</w:t>
      </w:r>
      <w:r w:rsidR="004F01D1" w:rsidRPr="00921CFA">
        <w:rPr>
          <w:rFonts w:asciiTheme="minorHAnsi" w:hAnsiTheme="minorHAnsi" w:cstheme="minorHAnsi"/>
          <w:b/>
          <w:sz w:val="22"/>
          <w:szCs w:val="22"/>
        </w:rPr>
        <w:t>. 2020</w:t>
      </w:r>
      <w:r w:rsidR="00921CFA" w:rsidRPr="00921CFA">
        <w:rPr>
          <w:rFonts w:asciiTheme="minorHAnsi" w:hAnsiTheme="minorHAnsi" w:cstheme="minorHAnsi"/>
          <w:b/>
          <w:sz w:val="22"/>
          <w:szCs w:val="22"/>
        </w:rPr>
        <w:t>.</w:t>
      </w:r>
      <w:r w:rsidR="004F01D1" w:rsidRPr="00921CF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4F01D1" w:rsidRDefault="00E7746D" w:rsidP="004F01D1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Termín plnění bude v předložené cenové nabídce stanoven datem konkrétního dne, měsíce a roku, resp. vymezeným časovým intervalem.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F01D1" w:rsidRPr="004E768F">
        <w:rPr>
          <w:rFonts w:asciiTheme="minorHAnsi" w:hAnsiTheme="minorHAnsi" w:cstheme="minorHAnsi"/>
          <w:sz w:val="22"/>
          <w:szCs w:val="22"/>
        </w:rPr>
        <w:t>Doba</w:t>
      </w:r>
      <w:r w:rsidR="005973BF">
        <w:rPr>
          <w:rFonts w:asciiTheme="minorHAnsi" w:hAnsiTheme="minorHAnsi" w:cstheme="minorHAnsi"/>
          <w:sz w:val="22"/>
          <w:szCs w:val="22"/>
        </w:rPr>
        <w:t xml:space="preserve"> zahájení plnění v</w:t>
      </w:r>
      <w:r w:rsidR="004F01D1" w:rsidRPr="002271D4">
        <w:rPr>
          <w:rFonts w:asciiTheme="minorHAnsi" w:hAnsiTheme="minorHAnsi" w:cstheme="minorHAnsi"/>
          <w:sz w:val="22"/>
          <w:szCs w:val="22"/>
        </w:rPr>
        <w:t>eřejné zakázky je podmíněna řádným ukončením zadávacího řízení a podepsáním příslušné smlouvy.</w:t>
      </w:r>
    </w:p>
    <w:p w:rsidR="004314F0" w:rsidRDefault="00F23C2B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F23C2B">
        <w:rPr>
          <w:rFonts w:asciiTheme="minorHAnsi" w:hAnsiTheme="minorHAnsi" w:cstheme="minorHAnsi"/>
          <w:sz w:val="22"/>
          <w:szCs w:val="22"/>
        </w:rPr>
        <w:t xml:space="preserve">Místem plnění veřejné zakázky je </w:t>
      </w:r>
      <w:r>
        <w:rPr>
          <w:rFonts w:asciiTheme="minorHAnsi" w:hAnsiTheme="minorHAnsi" w:cstheme="minorHAnsi"/>
          <w:sz w:val="22"/>
          <w:szCs w:val="22"/>
        </w:rPr>
        <w:t>sídlo Zadavatele</w:t>
      </w:r>
      <w:r w:rsidRPr="00F23C2B">
        <w:rPr>
          <w:rFonts w:asciiTheme="minorHAnsi" w:hAnsiTheme="minorHAnsi" w:cstheme="minorHAnsi"/>
          <w:sz w:val="22"/>
          <w:szCs w:val="22"/>
        </w:rPr>
        <w:t>, adresa sídla Zadavatele: Na Rejdišti 1/77, 110 00 Praha 1</w:t>
      </w:r>
      <w:r w:rsidR="00053788">
        <w:rPr>
          <w:rFonts w:asciiTheme="minorHAnsi" w:hAnsiTheme="minorHAnsi" w:cstheme="minorHAnsi"/>
          <w:sz w:val="22"/>
          <w:szCs w:val="22"/>
        </w:rPr>
        <w:t>, Česká republika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E7746D" w:rsidRDefault="00E7746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64EE" w:rsidRDefault="006364E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364EE" w:rsidRPr="004C1972" w:rsidRDefault="006364EE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F23C2B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4</w:t>
      </w:r>
      <w:r w:rsidR="004314F0" w:rsidRPr="00320C83">
        <w:rPr>
          <w:rFonts w:asciiTheme="minorHAnsi" w:hAnsiTheme="minorHAnsi" w:cstheme="minorHAnsi"/>
          <w:b/>
          <w:sz w:val="22"/>
          <w:szCs w:val="22"/>
        </w:rPr>
        <w:t>. Odůvodnění veřejné zakázky:</w:t>
      </w:r>
    </w:p>
    <w:p w:rsidR="00F32023" w:rsidRDefault="004F01D1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FC71E8">
        <w:rPr>
          <w:rFonts w:asciiTheme="minorHAnsi" w:hAnsiTheme="minorHAnsi" w:cstheme="minorHAnsi"/>
          <w:sz w:val="22"/>
          <w:szCs w:val="22"/>
        </w:rPr>
        <w:t xml:space="preserve">Koncertní sál školy je nejen studijním místem, ale také místem, kde své výkony prezentují žáci školy. Pro tyto účely je potřebné pořízení nové harfy světové značky </w:t>
      </w:r>
      <w:r w:rsidRPr="00FC71E8">
        <w:rPr>
          <w:rFonts w:asciiTheme="minorHAnsi" w:hAnsiTheme="minorHAnsi" w:cstheme="minorHAnsi"/>
          <w:bCs/>
          <w:sz w:val="22"/>
          <w:szCs w:val="22"/>
        </w:rPr>
        <w:t xml:space="preserve">Lyon &amp; </w:t>
      </w:r>
      <w:proofErr w:type="spellStart"/>
      <w:r w:rsidRPr="00FC71E8">
        <w:rPr>
          <w:rFonts w:asciiTheme="minorHAnsi" w:hAnsiTheme="minorHAnsi" w:cstheme="minorHAnsi"/>
          <w:bCs/>
          <w:sz w:val="22"/>
          <w:szCs w:val="22"/>
        </w:rPr>
        <w:t>Healy</w:t>
      </w:r>
      <w:proofErr w:type="spellEnd"/>
      <w:r w:rsidRPr="00FC71E8">
        <w:rPr>
          <w:rFonts w:asciiTheme="minorHAnsi" w:hAnsiTheme="minorHAnsi" w:cstheme="minorHAnsi"/>
          <w:sz w:val="22"/>
          <w:szCs w:val="22"/>
        </w:rPr>
        <w:t>, která je dnes primární volbou všech světových koncertních pódií, všech světových orchestrů i sólistů</w:t>
      </w:r>
      <w:r w:rsidR="00D02EB0" w:rsidRPr="00FC71E8">
        <w:rPr>
          <w:rFonts w:asciiTheme="minorHAnsi" w:hAnsiTheme="minorHAnsi" w:cstheme="minorHAnsi"/>
          <w:sz w:val="22"/>
          <w:szCs w:val="22"/>
        </w:rPr>
        <w:t xml:space="preserve">. </w:t>
      </w:r>
      <w:r w:rsidR="00D80E18" w:rsidRPr="004F01D1">
        <w:rPr>
          <w:rFonts w:asciiTheme="minorHAnsi" w:hAnsiTheme="minorHAnsi" w:cstheme="minorHAnsi"/>
          <w:sz w:val="22"/>
          <w:szCs w:val="22"/>
        </w:rPr>
        <w:t>Cílem pořízení výše uvedeného</w:t>
      </w:r>
      <w:r w:rsidR="00D80E18" w:rsidRPr="00D02EB0">
        <w:rPr>
          <w:rFonts w:asciiTheme="minorHAnsi" w:hAnsiTheme="minorHAnsi" w:cstheme="minorHAnsi"/>
          <w:sz w:val="22"/>
          <w:szCs w:val="22"/>
        </w:rPr>
        <w:t xml:space="preserve"> předmětu veřejné zakázky je zvýšení umělecké a interpretační úrovně Zadavatele a naplňování kulturních, vzdělávacích a výchovných cílů, k nimž byl Zadavatel zřízen.</w:t>
      </w:r>
    </w:p>
    <w:p w:rsidR="00F32023" w:rsidRPr="00921CFA" w:rsidRDefault="00F32023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 xml:space="preserve">Značka Lyon &amp; </w:t>
      </w:r>
      <w:proofErr w:type="spellStart"/>
      <w:r w:rsidRPr="00921CFA">
        <w:rPr>
          <w:rFonts w:asciiTheme="minorHAnsi" w:hAnsiTheme="minorHAnsi" w:cstheme="minorHAnsi"/>
          <w:sz w:val="22"/>
          <w:szCs w:val="22"/>
        </w:rPr>
        <w:t>Healy</w:t>
      </w:r>
      <w:proofErr w:type="spellEnd"/>
      <w:r w:rsidRPr="00921CFA">
        <w:rPr>
          <w:rFonts w:asciiTheme="minorHAnsi" w:hAnsiTheme="minorHAnsi" w:cstheme="minorHAnsi"/>
          <w:sz w:val="22"/>
          <w:szCs w:val="22"/>
        </w:rPr>
        <w:t xml:space="preserve"> patří k absolutní světové špičce koncertních harf. Harfy Lyon &amp; </w:t>
      </w:r>
      <w:proofErr w:type="spellStart"/>
      <w:r w:rsidRPr="00921CFA">
        <w:rPr>
          <w:rFonts w:asciiTheme="minorHAnsi" w:hAnsiTheme="minorHAnsi" w:cstheme="minorHAnsi"/>
          <w:sz w:val="22"/>
          <w:szCs w:val="22"/>
        </w:rPr>
        <w:t>Healy</w:t>
      </w:r>
      <w:proofErr w:type="spellEnd"/>
      <w:r w:rsidRPr="00921CFA">
        <w:rPr>
          <w:rFonts w:asciiTheme="minorHAnsi" w:hAnsiTheme="minorHAnsi" w:cstheme="minorHAnsi"/>
          <w:sz w:val="22"/>
          <w:szCs w:val="22"/>
        </w:rPr>
        <w:t xml:space="preserve"> mají ušlechtilý a barevný zvuk, poskytují obrovskou škálu výrazových možností. Jsou mimořádně znělé a zvuk je velmi nosný, proto jsou ideální i do velkých koncertních síní nebo symfonických orchestrů. </w:t>
      </w:r>
    </w:p>
    <w:p w:rsidR="00F32023" w:rsidRPr="00921CFA" w:rsidRDefault="00F32023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 xml:space="preserve">Zadavatel pokládá za nezbytné, aby studenti harfy mohli na Pražské konzervatoři hrát </w:t>
      </w:r>
      <w:r w:rsidR="00921CFA" w:rsidRPr="00921CFA">
        <w:rPr>
          <w:rFonts w:asciiTheme="minorHAnsi" w:hAnsiTheme="minorHAnsi" w:cstheme="minorHAnsi"/>
          <w:sz w:val="22"/>
          <w:szCs w:val="22"/>
        </w:rPr>
        <w:t xml:space="preserve">a učit se </w:t>
      </w:r>
      <w:r w:rsidRPr="00921CFA">
        <w:rPr>
          <w:rFonts w:asciiTheme="minorHAnsi" w:hAnsiTheme="minorHAnsi" w:cstheme="minorHAnsi"/>
          <w:sz w:val="22"/>
          <w:szCs w:val="22"/>
        </w:rPr>
        <w:t>právě na nástroji Lyon &amp;</w:t>
      </w:r>
      <w:r w:rsidR="004B746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7469">
        <w:rPr>
          <w:rFonts w:asciiTheme="minorHAnsi" w:hAnsiTheme="minorHAnsi" w:cstheme="minorHAnsi"/>
          <w:sz w:val="22"/>
          <w:szCs w:val="22"/>
        </w:rPr>
        <w:t>Healy</w:t>
      </w:r>
      <w:proofErr w:type="spellEnd"/>
      <w:r w:rsidR="004B7469">
        <w:rPr>
          <w:rFonts w:asciiTheme="minorHAnsi" w:hAnsiTheme="minorHAnsi" w:cstheme="minorHAnsi"/>
          <w:sz w:val="22"/>
          <w:szCs w:val="22"/>
        </w:rPr>
        <w:t>, protože</w:t>
      </w:r>
      <w:r w:rsidR="00921CFA" w:rsidRPr="00921CFA">
        <w:rPr>
          <w:rFonts w:asciiTheme="minorHAnsi" w:hAnsiTheme="minorHAnsi" w:cstheme="minorHAnsi"/>
          <w:sz w:val="22"/>
          <w:szCs w:val="22"/>
        </w:rPr>
        <w:t xml:space="preserve"> </w:t>
      </w:r>
      <w:r w:rsidRPr="00921CFA">
        <w:rPr>
          <w:rFonts w:asciiTheme="minorHAnsi" w:hAnsiTheme="minorHAnsi" w:cstheme="minorHAnsi"/>
          <w:sz w:val="22"/>
          <w:szCs w:val="22"/>
        </w:rPr>
        <w:t xml:space="preserve">se s ním budou </w:t>
      </w:r>
      <w:r w:rsidR="00921CFA" w:rsidRPr="00921CFA">
        <w:rPr>
          <w:rFonts w:asciiTheme="minorHAnsi" w:hAnsiTheme="minorHAnsi" w:cstheme="minorHAnsi"/>
          <w:sz w:val="22"/>
          <w:szCs w:val="22"/>
        </w:rPr>
        <w:t>ve své umělecké činnosti stále setkávat. Pro umělecký</w:t>
      </w:r>
      <w:r w:rsidRPr="00921CFA">
        <w:rPr>
          <w:rFonts w:asciiTheme="minorHAnsi" w:hAnsiTheme="minorHAnsi" w:cstheme="minorHAnsi"/>
          <w:sz w:val="22"/>
          <w:szCs w:val="22"/>
        </w:rPr>
        <w:t xml:space="preserve"> růst osobnosti mladého harfisty je mimořádně důležité, aby mohl pracovat s těmi nejjemnějšími zvukovými nuancemi a barvami, které špičkový nástroj poskytuje, a rozvíjel tak plně svou muzikalitu. I rozvoj techniky je závislý na možnosti hrát na prvotřídní nástroj, co právě harfa této značky se svou vynikající mechaniku a specifickým napětím strun podporuje.</w:t>
      </w:r>
    </w:p>
    <w:p w:rsidR="003E3F6E" w:rsidRDefault="004F01D1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F32023">
        <w:rPr>
          <w:rFonts w:asciiTheme="minorHAnsi" w:hAnsiTheme="minorHAnsi" w:cstheme="minorHAnsi"/>
          <w:sz w:val="22"/>
          <w:szCs w:val="22"/>
        </w:rPr>
        <w:t xml:space="preserve">Zadavatel obdržel investiční finanční prostředky výlučně na pořízení koncertního nástroje </w:t>
      </w:r>
      <w:r w:rsidRPr="00F32023">
        <w:rPr>
          <w:rFonts w:asciiTheme="minorHAnsi" w:hAnsiTheme="minorHAnsi" w:cstheme="minorHAnsi"/>
          <w:bCs/>
          <w:sz w:val="22"/>
          <w:szCs w:val="22"/>
        </w:rPr>
        <w:t xml:space="preserve">Lyon &amp; </w:t>
      </w:r>
      <w:proofErr w:type="spellStart"/>
      <w:r w:rsidRPr="00F32023">
        <w:rPr>
          <w:rFonts w:asciiTheme="minorHAnsi" w:hAnsiTheme="minorHAnsi" w:cstheme="minorHAnsi"/>
          <w:bCs/>
          <w:sz w:val="22"/>
          <w:szCs w:val="22"/>
        </w:rPr>
        <w:t>Healy</w:t>
      </w:r>
      <w:proofErr w:type="spellEnd"/>
      <w:r w:rsidRPr="00F32023">
        <w:rPr>
          <w:rFonts w:asciiTheme="minorHAnsi" w:hAnsiTheme="minorHAnsi" w:cstheme="minorHAnsi"/>
          <w:sz w:val="22"/>
          <w:szCs w:val="22"/>
        </w:rPr>
        <w:t xml:space="preserve"> od svého zřizovatele a prostředky přidělené rozpočtovým opatřením lze tedy použít výhradně na nákup takového nástroje.</w:t>
      </w:r>
    </w:p>
    <w:p w:rsidR="00D80E18" w:rsidRPr="00A5290C" w:rsidRDefault="00D80E18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859F3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Požadavky na zpracování nabídkové ceny: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2E02A6">
        <w:rPr>
          <w:rFonts w:asciiTheme="minorHAnsi" w:hAnsiTheme="minorHAnsi" w:cstheme="minorHAnsi"/>
          <w:sz w:val="22"/>
          <w:szCs w:val="22"/>
        </w:rPr>
        <w:t xml:space="preserve"> spojené s realizací zakázky.</w:t>
      </w:r>
      <w:r w:rsidR="00E731BB">
        <w:rPr>
          <w:rFonts w:asciiTheme="minorHAnsi" w:hAnsiTheme="minorHAnsi" w:cstheme="minorHAnsi"/>
          <w:sz w:val="22"/>
          <w:szCs w:val="22"/>
        </w:rPr>
        <w:t xml:space="preserve"> </w:t>
      </w:r>
      <w:r w:rsidR="00E731BB" w:rsidRPr="00E731BB">
        <w:rPr>
          <w:rFonts w:asciiTheme="minorHAnsi" w:hAnsiTheme="minorHAnsi" w:cstheme="minorHAnsi"/>
          <w:sz w:val="22"/>
          <w:szCs w:val="22"/>
        </w:rPr>
        <w:t>Zadavatel nepřipouští varianty zpracování nabídkové ceny.</w:t>
      </w:r>
    </w:p>
    <w:p w:rsidR="0068768F" w:rsidRPr="004C1972" w:rsidRDefault="0068768F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E02A6" w:rsidRPr="00964CF5" w:rsidRDefault="002E02A6" w:rsidP="002E02A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64CF5">
        <w:rPr>
          <w:rFonts w:asciiTheme="minorHAnsi" w:hAnsiTheme="minorHAnsi" w:cstheme="minorHAnsi"/>
          <w:b/>
          <w:sz w:val="22"/>
          <w:szCs w:val="22"/>
        </w:rPr>
        <w:t>Cena bude zahrnovat:</w:t>
      </w:r>
    </w:p>
    <w:p w:rsidR="002E02A6" w:rsidRPr="004C1972" w:rsidRDefault="002E02A6" w:rsidP="002E02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B6D1F">
        <w:rPr>
          <w:rFonts w:asciiTheme="minorHAnsi" w:hAnsiTheme="minorHAnsi" w:cstheme="minorHAnsi"/>
          <w:sz w:val="22"/>
          <w:szCs w:val="22"/>
        </w:rPr>
        <w:t>odávku nástroje, dopravu a inst</w:t>
      </w:r>
      <w:r>
        <w:rPr>
          <w:rFonts w:asciiTheme="minorHAnsi" w:hAnsiTheme="minorHAnsi" w:cstheme="minorHAnsi"/>
          <w:sz w:val="22"/>
          <w:szCs w:val="22"/>
        </w:rPr>
        <w:t>alaci nástroje,</w:t>
      </w:r>
      <w:r w:rsidR="005C2AC0">
        <w:rPr>
          <w:rFonts w:asciiTheme="minorHAnsi" w:hAnsiTheme="minorHAnsi" w:cstheme="minorHAnsi"/>
          <w:sz w:val="22"/>
          <w:szCs w:val="22"/>
        </w:rPr>
        <w:t xml:space="preserve"> </w:t>
      </w:r>
      <w:r w:rsidR="00635760" w:rsidRPr="00635760">
        <w:rPr>
          <w:rFonts w:asciiTheme="minorHAnsi" w:hAnsiTheme="minorHAnsi" w:cstheme="minorHAnsi"/>
          <w:sz w:val="22"/>
          <w:szCs w:val="22"/>
        </w:rPr>
        <w:t>seřízení</w:t>
      </w:r>
      <w:r w:rsidR="005C2AC0" w:rsidRPr="00635760">
        <w:rPr>
          <w:rFonts w:asciiTheme="minorHAnsi" w:hAnsiTheme="minorHAnsi" w:cstheme="minorHAnsi"/>
          <w:sz w:val="22"/>
          <w:szCs w:val="22"/>
        </w:rPr>
        <w:t>,</w:t>
      </w:r>
      <w:r w:rsidR="00DB0D0D" w:rsidRPr="00635760">
        <w:rPr>
          <w:rFonts w:asciiTheme="minorHAnsi" w:hAnsiTheme="minorHAnsi" w:cstheme="minorHAnsi"/>
          <w:sz w:val="22"/>
          <w:szCs w:val="22"/>
        </w:rPr>
        <w:t xml:space="preserve"> odborné pokyny na údržbu,</w:t>
      </w:r>
      <w:r w:rsidR="005C2AC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obal na nástroj</w:t>
      </w:r>
      <w:r w:rsidRPr="00AB6D1F">
        <w:rPr>
          <w:rFonts w:asciiTheme="minorHAnsi" w:hAnsiTheme="minorHAnsi" w:cstheme="minorHAnsi"/>
          <w:sz w:val="22"/>
          <w:szCs w:val="22"/>
        </w:rPr>
        <w:t>, umožnění výběru z minimáln</w:t>
      </w:r>
      <w:r>
        <w:rPr>
          <w:rFonts w:asciiTheme="minorHAnsi" w:hAnsiTheme="minorHAnsi" w:cstheme="minorHAnsi"/>
          <w:sz w:val="22"/>
          <w:szCs w:val="22"/>
        </w:rPr>
        <w:t xml:space="preserve">ě 2 nástrojů, dopravu </w:t>
      </w:r>
      <w:r w:rsidRPr="00053788">
        <w:rPr>
          <w:rFonts w:asciiTheme="minorHAnsi" w:hAnsiTheme="minorHAnsi" w:cstheme="minorHAnsi"/>
          <w:sz w:val="22"/>
          <w:szCs w:val="22"/>
        </w:rPr>
        <w:t>odborník</w:t>
      </w:r>
      <w:r w:rsidR="004509CF">
        <w:rPr>
          <w:rFonts w:asciiTheme="minorHAnsi" w:hAnsiTheme="minorHAnsi" w:cstheme="minorHAnsi"/>
          <w:sz w:val="22"/>
          <w:szCs w:val="22"/>
        </w:rPr>
        <w:t>a</w:t>
      </w:r>
      <w:r w:rsidRPr="00053788">
        <w:rPr>
          <w:rFonts w:asciiTheme="minorHAnsi" w:hAnsiTheme="minorHAnsi" w:cstheme="minorHAnsi"/>
          <w:sz w:val="22"/>
          <w:szCs w:val="22"/>
        </w:rPr>
        <w:t xml:space="preserve"> st</w:t>
      </w:r>
      <w:r>
        <w:rPr>
          <w:rFonts w:asciiTheme="minorHAnsi" w:hAnsiTheme="minorHAnsi" w:cstheme="minorHAnsi"/>
          <w:sz w:val="22"/>
          <w:szCs w:val="22"/>
        </w:rPr>
        <w:t>anoveného</w:t>
      </w:r>
      <w:r w:rsidRPr="000537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="00FC71E8">
        <w:rPr>
          <w:rFonts w:asciiTheme="minorHAnsi" w:hAnsiTheme="minorHAnsi" w:cstheme="minorHAnsi"/>
          <w:sz w:val="22"/>
          <w:szCs w:val="22"/>
        </w:rPr>
        <w:t>rozhodnutí Z</w:t>
      </w:r>
      <w:r w:rsidRPr="00053788">
        <w:rPr>
          <w:rFonts w:asciiTheme="minorHAnsi" w:hAnsiTheme="minorHAnsi" w:cstheme="minorHAnsi"/>
          <w:sz w:val="22"/>
          <w:szCs w:val="22"/>
        </w:rPr>
        <w:t>adavatele</w:t>
      </w:r>
      <w:r w:rsidRPr="00AB6D1F">
        <w:rPr>
          <w:rFonts w:asciiTheme="minorHAnsi" w:hAnsiTheme="minorHAnsi" w:cstheme="minorHAnsi"/>
          <w:sz w:val="22"/>
          <w:szCs w:val="22"/>
        </w:rPr>
        <w:t xml:space="preserve"> na místo výběru</w:t>
      </w:r>
      <w:r>
        <w:rPr>
          <w:rFonts w:asciiTheme="minorHAnsi" w:hAnsiTheme="minorHAnsi" w:cstheme="minorHAnsi"/>
          <w:sz w:val="22"/>
          <w:szCs w:val="22"/>
        </w:rPr>
        <w:t xml:space="preserve"> a zpět</w:t>
      </w:r>
      <w:r w:rsidRPr="00AB6D1F">
        <w:rPr>
          <w:rFonts w:asciiTheme="minorHAnsi" w:hAnsiTheme="minorHAnsi" w:cstheme="minorHAnsi"/>
          <w:sz w:val="22"/>
          <w:szCs w:val="22"/>
        </w:rPr>
        <w:t>.</w:t>
      </w:r>
    </w:p>
    <w:p w:rsidR="002E02A6" w:rsidRDefault="002E02A6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68768F" w:rsidRDefault="0068768F" w:rsidP="002E02A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68768F">
        <w:rPr>
          <w:rFonts w:asciiTheme="minorHAnsi" w:hAnsiTheme="minorHAnsi" w:cstheme="minorHAnsi"/>
          <w:b/>
          <w:sz w:val="22"/>
          <w:szCs w:val="22"/>
        </w:rPr>
        <w:t xml:space="preserve">Cena </w:t>
      </w:r>
      <w:r w:rsidR="00FC71E8">
        <w:rPr>
          <w:rFonts w:asciiTheme="minorHAnsi" w:hAnsiTheme="minorHAnsi" w:cstheme="minorHAnsi"/>
          <w:b/>
          <w:sz w:val="22"/>
          <w:szCs w:val="22"/>
        </w:rPr>
        <w:t xml:space="preserve">v předložené </w:t>
      </w:r>
      <w:r w:rsidRPr="0068768F">
        <w:rPr>
          <w:rFonts w:asciiTheme="minorHAnsi" w:hAnsiTheme="minorHAnsi" w:cstheme="minorHAnsi"/>
          <w:b/>
          <w:sz w:val="22"/>
          <w:szCs w:val="22"/>
        </w:rPr>
        <w:t>cenové nabídce bude uvedena v Kč a je závazná.</w:t>
      </w:r>
      <w:r>
        <w:rPr>
          <w:rFonts w:asciiTheme="minorHAnsi" w:hAnsiTheme="minorHAnsi" w:cstheme="minorHAnsi"/>
          <w:sz w:val="22"/>
          <w:szCs w:val="22"/>
        </w:rPr>
        <w:t xml:space="preserve"> Případná rizika spojená s pohybem měnových kurzů nese uchazeč, resp. vybraný dodavatel.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D006CD" w:rsidRPr="004D44B9" w:rsidRDefault="00D006CD" w:rsidP="00D006C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44B9">
        <w:rPr>
          <w:rFonts w:asciiTheme="minorHAnsi" w:hAnsiTheme="minorHAnsi" w:cstheme="minorHAnsi"/>
          <w:b/>
          <w:bCs/>
          <w:sz w:val="22"/>
          <w:szCs w:val="22"/>
        </w:rPr>
        <w:t>6. Platební podmínky:</w:t>
      </w:r>
    </w:p>
    <w:p w:rsidR="00D006CD" w:rsidRPr="004D44B9" w:rsidRDefault="00A111FD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354CFB">
        <w:rPr>
          <w:rFonts w:asciiTheme="minorHAnsi" w:hAnsiTheme="minorHAnsi" w:cstheme="minorHAnsi"/>
          <w:sz w:val="22"/>
          <w:szCs w:val="22"/>
        </w:rPr>
        <w:t>Část dodávky ve výši 7</w:t>
      </w:r>
      <w:r w:rsidR="00D006CD" w:rsidRPr="00354CFB">
        <w:rPr>
          <w:rFonts w:asciiTheme="minorHAnsi" w:hAnsiTheme="minorHAnsi" w:cstheme="minorHAnsi"/>
          <w:sz w:val="22"/>
          <w:szCs w:val="22"/>
        </w:rPr>
        <w:t>0 % ceny pře</w:t>
      </w:r>
      <w:r w:rsidR="00880620" w:rsidRPr="00354CFB">
        <w:rPr>
          <w:rFonts w:asciiTheme="minorHAnsi" w:hAnsiTheme="minorHAnsi" w:cstheme="minorHAnsi"/>
          <w:sz w:val="22"/>
          <w:szCs w:val="22"/>
        </w:rPr>
        <w:t>dmětu plnění bude uhrazena do 14</w:t>
      </w:r>
      <w:r w:rsidR="00D006CD" w:rsidRPr="00354CFB">
        <w:rPr>
          <w:rFonts w:asciiTheme="minorHAnsi" w:hAnsiTheme="minorHAnsi" w:cstheme="minorHAnsi"/>
          <w:sz w:val="22"/>
          <w:szCs w:val="22"/>
        </w:rPr>
        <w:t xml:space="preserve"> kalendářních dnů od podpisu kupní smlouvy na základě vystavené faktury.  Zbýv</w:t>
      </w:r>
      <w:r w:rsidRPr="00354CFB">
        <w:rPr>
          <w:rFonts w:asciiTheme="minorHAnsi" w:hAnsiTheme="minorHAnsi" w:cstheme="minorHAnsi"/>
          <w:sz w:val="22"/>
          <w:szCs w:val="22"/>
        </w:rPr>
        <w:t>ajících 3</w:t>
      </w:r>
      <w:r w:rsidR="00D006CD" w:rsidRPr="00354CFB">
        <w:rPr>
          <w:rFonts w:asciiTheme="minorHAnsi" w:hAnsiTheme="minorHAnsi" w:cstheme="minorHAnsi"/>
          <w:sz w:val="22"/>
          <w:szCs w:val="22"/>
        </w:rPr>
        <w:t>0 % ceny předmětu plnění bude uhrazeno po řádné realizaci dodávky na základě vystavené faktury.</w:t>
      </w:r>
    </w:p>
    <w:p w:rsidR="00D006CD" w:rsidRPr="004D44B9" w:rsidRDefault="00D006CD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4D44B9">
        <w:rPr>
          <w:rFonts w:asciiTheme="minorHAnsi" w:hAnsiTheme="minorHAnsi" w:cstheme="minorHAnsi"/>
          <w:sz w:val="22"/>
          <w:szCs w:val="22"/>
        </w:rPr>
        <w:t>Záruční doba na předmět veřejné zakázky bude činit minimálně 24 měsíců.</w:t>
      </w:r>
    </w:p>
    <w:p w:rsidR="00D006CD" w:rsidRDefault="00D006CD" w:rsidP="00D006CD">
      <w:pPr>
        <w:jc w:val="both"/>
        <w:rPr>
          <w:rFonts w:asciiTheme="minorHAnsi" w:hAnsiTheme="minorHAnsi" w:cstheme="minorHAnsi"/>
          <w:sz w:val="22"/>
          <w:szCs w:val="22"/>
        </w:rPr>
      </w:pPr>
      <w:r w:rsidRPr="004D44B9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095749" w:rsidRDefault="00095749" w:rsidP="00D006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25A74" w:rsidRDefault="00095749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921CFA">
        <w:rPr>
          <w:rFonts w:asciiTheme="minorHAnsi" w:hAnsiTheme="minorHAnsi" w:cstheme="minorHAnsi"/>
          <w:sz w:val="22"/>
          <w:szCs w:val="22"/>
        </w:rPr>
        <w:t>Podrobné obchodní a platební podmínky, neuvedené ve výzvě či zadávací dokumentaci, budou vymezeny až v kupní smlouvě, která bude uzavřena nejpozději do 14 kalendářních dnů ode dne vyhlášení výsledku výběrového řízení.</w:t>
      </w:r>
    </w:p>
    <w:p w:rsidR="00095749" w:rsidRDefault="00095749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4711C" w:rsidRPr="00EE3397" w:rsidRDefault="0094711C" w:rsidP="0094711C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D36DFE">
        <w:rPr>
          <w:rFonts w:asciiTheme="minorHAnsi" w:hAnsiTheme="minorHAnsi" w:cstheme="minorHAnsi"/>
          <w:b/>
          <w:i/>
          <w:sz w:val="22"/>
          <w:szCs w:val="22"/>
        </w:rPr>
        <w:t>Úhrady budou provedeny po obdržení účelové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investiční</w:t>
      </w:r>
      <w:r w:rsidRPr="00D36DFE">
        <w:rPr>
          <w:rFonts w:asciiTheme="minorHAnsi" w:hAnsiTheme="minorHAnsi" w:cstheme="minorHAnsi"/>
          <w:b/>
          <w:i/>
          <w:sz w:val="22"/>
          <w:szCs w:val="22"/>
        </w:rPr>
        <w:t xml:space="preserve"> dotace od zřizovatele </w:t>
      </w:r>
      <w:r w:rsidRPr="009B3296">
        <w:rPr>
          <w:rFonts w:asciiTheme="minorHAnsi" w:hAnsiTheme="minorHAnsi" w:cstheme="minorHAnsi"/>
          <w:b/>
          <w:i/>
          <w:sz w:val="22"/>
          <w:szCs w:val="22"/>
        </w:rPr>
        <w:t xml:space="preserve">na </w:t>
      </w:r>
      <w:r w:rsidRPr="00250948">
        <w:rPr>
          <w:rFonts w:asciiTheme="minorHAnsi" w:hAnsiTheme="minorHAnsi" w:cstheme="minorHAnsi"/>
          <w:b/>
          <w:i/>
          <w:sz w:val="22"/>
          <w:szCs w:val="22"/>
        </w:rPr>
        <w:t>akci „</w:t>
      </w:r>
      <w:r w:rsidR="00095749" w:rsidRPr="00250948">
        <w:rPr>
          <w:rFonts w:asciiTheme="minorHAnsi" w:hAnsiTheme="minorHAnsi" w:cstheme="minorHAnsi"/>
          <w:b/>
          <w:i/>
          <w:sz w:val="22"/>
          <w:szCs w:val="22"/>
        </w:rPr>
        <w:t>Soubor hudebních nástrojů</w:t>
      </w:r>
      <w:r w:rsidRPr="00250948">
        <w:rPr>
          <w:rFonts w:asciiTheme="minorHAnsi" w:hAnsiTheme="minorHAnsi" w:cstheme="minorHAnsi"/>
          <w:b/>
          <w:i/>
          <w:sz w:val="22"/>
          <w:szCs w:val="22"/>
        </w:rPr>
        <w:t>“.</w:t>
      </w:r>
      <w:r w:rsidRPr="00EE3397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="0094711C" w:rsidRDefault="0094711C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D4E" w:rsidRDefault="001F6D4E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D4E" w:rsidRDefault="001F6D4E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D4E" w:rsidRDefault="001F6D4E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6D4E" w:rsidRPr="004C1972" w:rsidRDefault="001F6D4E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3859F3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7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682101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 xml:space="preserve">V souladu s § 53 odst. 4 zákona může uchazeč pro účely podání nabídky nahradit veškeré doklady o kvalifikaci čestným prohlášením nebo jednotným evropským osvědčením pro veřejné zakázky podle § 87 zákona. Doklady o základní a profesní způsobilosti může dodavatel rovněž nahradit výpisem ze seznamu kvalifikovaných dodavatelů dle § 228 zákona – doklady o prokázání profesní způsobilosti však jedině v tom rozsahu, v jakém údaje z tohoto výpisu prokazují splnění profesní způsobilosti. </w:t>
      </w: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>Zadavatel si však může i v tomto případě kdykoliv v průběhu zadávacího řízení vyžádat předložení originálů nebo úředně ověřených kopií dokladů o kvalifikaci.</w:t>
      </w:r>
    </w:p>
    <w:p w:rsidR="00682101" w:rsidRPr="00250948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82101" w:rsidRPr="004C1972" w:rsidRDefault="00682101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>Požadavky na prokázání kvalifikačních předpokladů musí být splněny i u případných poddodavatelů.</w:t>
      </w:r>
    </w:p>
    <w:p w:rsidR="004314F0" w:rsidRPr="004C1972" w:rsidRDefault="004314F0" w:rsidP="0068210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709C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FC71E8" w:rsidRDefault="00FC71E8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DE709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Uchazeč také nejpozději v den podpisu smlouvy přiloží informace a doklady podle § 122 odst. 5 zákona, je-li vybraným dodavatelem a právnickou osobou a není-li veden v evidenci údajů o skutečných majitelích.</w:t>
      </w:r>
    </w:p>
    <w:p w:rsidR="0004643C" w:rsidRPr="004C1972" w:rsidRDefault="0004643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D66B4" w:rsidRDefault="003859F3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35760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="004314F0" w:rsidRPr="00635760">
        <w:rPr>
          <w:rFonts w:asciiTheme="minorHAnsi" w:hAnsiTheme="minorHAnsi" w:cstheme="minorHAnsi"/>
          <w:b/>
          <w:bCs/>
          <w:sz w:val="22"/>
          <w:szCs w:val="22"/>
        </w:rPr>
        <w:t>. Kritéria hodnocení nabídky</w:t>
      </w:r>
    </w:p>
    <w:p w:rsidR="00617616" w:rsidRDefault="00617616" w:rsidP="00617616">
      <w:pPr>
        <w:jc w:val="both"/>
        <w:rPr>
          <w:rFonts w:asciiTheme="minorHAnsi" w:hAnsiTheme="minorHAnsi" w:cstheme="minorHAnsi"/>
          <w:sz w:val="22"/>
          <w:szCs w:val="22"/>
        </w:rPr>
      </w:pPr>
      <w:r w:rsidRPr="004D66B4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CE326D" w:rsidRDefault="00CE326D" w:rsidP="0004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0922" w:rsidRPr="00D70922" w:rsidRDefault="003859F3" w:rsidP="0004643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70922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D70922"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</w:t>
      </w:r>
      <w:r>
        <w:rPr>
          <w:rFonts w:asciiTheme="minorHAnsi" w:hAnsiTheme="minorHAnsi" w:cstheme="minorHAnsi"/>
          <w:sz w:val="22"/>
          <w:szCs w:val="22"/>
        </w:rPr>
        <w:t>adavatel všechny tyto nabídky z výběrového řízení</w:t>
      </w:r>
      <w:r w:rsidRPr="00D70922">
        <w:rPr>
          <w:rFonts w:asciiTheme="minorHAnsi" w:hAnsiTheme="minorHAnsi" w:cstheme="minorHAnsi"/>
          <w:sz w:val="22"/>
          <w:szCs w:val="22"/>
        </w:rPr>
        <w:t>.</w:t>
      </w:r>
    </w:p>
    <w:p w:rsidR="001D0AF2" w:rsidRDefault="001D0AF2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V nabídce musí být uvedeny identifikační údaje účastníka zadávacího řízení podávajícího nabídku, zejména: obchodní firma nebo název, sídlo, právní forma, jde-li o právnickou osobu, a obchodní firma nebo jméno nebo jména a příjmení, jde-li o fyzickou osobu, dále též identifikační číslo, je-li účastníku přiděleno.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Změnu, doplnění či opravu nabídky je po jejím podání možné provést jedině na základě výzvy Zadavatele a pouze v Zadavatelem požadovaném rozsahu. Jiné změny, doplnění či opravy nabídky po jejím podání nejsou přípustné.</w:t>
      </w:r>
    </w:p>
    <w:p w:rsidR="001D0AF2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Podepsání nabídky jako celku (tj. podepsání krycího listu nabídky) nenahrazuje podpisy na jednotlivých dokumentech, uchazeč nebo jeho oprávněná osoba tedy musí podepsat zvlášť každý dokument, u nějž to tato výzva a její přílohy vyžadují.</w:t>
      </w:r>
    </w:p>
    <w:p w:rsidR="00B60AA6" w:rsidRDefault="00B60AA6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A6" w:rsidRDefault="00B60AA6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A6" w:rsidRDefault="00B60AA6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A6" w:rsidRDefault="00B60AA6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AF2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D0AF2" w:rsidRPr="00541E4F" w:rsidRDefault="001D0AF2" w:rsidP="001D0AF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E4F">
        <w:rPr>
          <w:rFonts w:asciiTheme="minorHAnsi" w:hAnsiTheme="minorHAnsi" w:cstheme="minorHAnsi"/>
          <w:b/>
          <w:sz w:val="22"/>
          <w:szCs w:val="22"/>
        </w:rPr>
        <w:lastRenderedPageBreak/>
        <w:t>Zadavatel doporučuje zachovat podobu nabídky v níže uvedeném členění: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a) krycí list nabídky obsahující identifikační údaje uchazeče, opatřený razítkem a podpisem uchazeče, je-li uchazeč fyzickou osobou, či oprávněné osoby / oprávněných osob uchazeče, je-li uchazeč osobou právnickou, a údaje, identifikující před</w:t>
      </w:r>
      <w:r>
        <w:rPr>
          <w:rFonts w:asciiTheme="minorHAnsi" w:hAnsiTheme="minorHAnsi" w:cstheme="minorHAnsi"/>
          <w:sz w:val="22"/>
          <w:szCs w:val="22"/>
        </w:rPr>
        <w:t>mětnou veřejnou zakázku (</w:t>
      </w:r>
      <w:r w:rsidRPr="00541E4F">
        <w:rPr>
          <w:rFonts w:asciiTheme="minorHAnsi" w:hAnsiTheme="minorHAnsi" w:cstheme="minorHAnsi"/>
          <w:sz w:val="22"/>
          <w:szCs w:val="22"/>
        </w:rPr>
        <w:t>viz příloha č. 1 této výzvy),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obsah nabídky, 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c) doklady prokazující oprávnění oprávněné osoby uchazeče jednat jménem či za uchazeče výzvy (nevyplývá-li toto oprávnění z jiných dokladů předložených v rámci nabídky uchazeče),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 xml:space="preserve">d) identifikační údaje poddodavatelů - prohlášení o </w:t>
      </w:r>
      <w:r>
        <w:rPr>
          <w:rFonts w:asciiTheme="minorHAnsi" w:hAnsiTheme="minorHAnsi" w:cstheme="minorHAnsi"/>
          <w:sz w:val="22"/>
          <w:szCs w:val="22"/>
        </w:rPr>
        <w:t xml:space="preserve">případných </w:t>
      </w:r>
      <w:r w:rsidRPr="00541E4F">
        <w:rPr>
          <w:rFonts w:asciiTheme="minorHAnsi" w:hAnsiTheme="minorHAnsi" w:cstheme="minorHAnsi"/>
          <w:sz w:val="22"/>
          <w:szCs w:val="22"/>
        </w:rPr>
        <w:t>poddodavatelích</w:t>
      </w:r>
      <w:r>
        <w:rPr>
          <w:rFonts w:asciiTheme="minorHAnsi" w:hAnsiTheme="minorHAnsi" w:cstheme="minorHAnsi"/>
          <w:sz w:val="22"/>
          <w:szCs w:val="22"/>
        </w:rPr>
        <w:t>, pokud existují,</w:t>
      </w:r>
      <w:r w:rsidRPr="00541E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 xml:space="preserve">e) </w:t>
      </w:r>
      <w:r>
        <w:rPr>
          <w:rFonts w:asciiTheme="minorHAnsi" w:hAnsiTheme="minorHAnsi" w:cstheme="minorHAnsi"/>
          <w:sz w:val="22"/>
          <w:szCs w:val="22"/>
        </w:rPr>
        <w:t>prokázání</w:t>
      </w:r>
      <w:r w:rsidRPr="00541E4F">
        <w:rPr>
          <w:rFonts w:asciiTheme="minorHAnsi" w:hAnsiTheme="minorHAnsi" w:cstheme="minorHAnsi"/>
          <w:sz w:val="22"/>
          <w:szCs w:val="22"/>
        </w:rPr>
        <w:t xml:space="preserve"> splnění základní způsobilosti (i za poddodavatele)</w:t>
      </w:r>
      <w:r>
        <w:rPr>
          <w:rFonts w:asciiTheme="minorHAnsi" w:hAnsiTheme="minorHAnsi" w:cstheme="minorHAnsi"/>
          <w:sz w:val="22"/>
          <w:szCs w:val="22"/>
        </w:rPr>
        <w:t xml:space="preserve">, vzor je uveden v příloze č. 2 </w:t>
      </w:r>
      <w:proofErr w:type="gramStart"/>
      <w:r>
        <w:rPr>
          <w:rFonts w:asciiTheme="minorHAnsi" w:hAnsiTheme="minorHAnsi" w:cstheme="minorHAnsi"/>
          <w:sz w:val="22"/>
          <w:szCs w:val="22"/>
        </w:rPr>
        <w:t>této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výzvy,</w:t>
      </w:r>
      <w:r w:rsidRPr="00541E4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D0AF2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 w:rsidRPr="00541E4F">
        <w:rPr>
          <w:rFonts w:asciiTheme="minorHAnsi" w:hAnsiTheme="minorHAnsi" w:cstheme="minorHAnsi"/>
          <w:sz w:val="22"/>
          <w:szCs w:val="22"/>
        </w:rPr>
        <w:t>f) doklady prokazující splnění profesní způsobilosti (i za poddodavatele)</w:t>
      </w:r>
    </w:p>
    <w:p w:rsidR="001D0AF2" w:rsidRPr="00541E4F" w:rsidRDefault="001D0AF2" w:rsidP="001D0AF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g) podrobná technická a jiná specifikace předmětu veřejné zakázky.</w:t>
      </w:r>
    </w:p>
    <w:p w:rsidR="001D0AF2" w:rsidRDefault="001D0AF2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536BD" w:rsidRPr="008F3604" w:rsidRDefault="009536BD" w:rsidP="009536BD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Pr="008F3604">
        <w:rPr>
          <w:rFonts w:asciiTheme="minorHAnsi" w:hAnsiTheme="minorHAnsi" w:cstheme="minorHAnsi"/>
          <w:b/>
          <w:sz w:val="22"/>
          <w:szCs w:val="22"/>
        </w:rPr>
        <w:t>. Vysvětlení, změna nebo doplnění zadávací dokumentace</w:t>
      </w:r>
    </w:p>
    <w:p w:rsidR="009536BD" w:rsidRPr="008F3604" w:rsidRDefault="009536BD" w:rsidP="009536BD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>Přestože tato</w:t>
      </w:r>
      <w:r>
        <w:rPr>
          <w:rFonts w:asciiTheme="minorHAnsi" w:hAnsiTheme="minorHAnsi" w:cstheme="minorHAnsi"/>
          <w:sz w:val="22"/>
          <w:szCs w:val="22"/>
        </w:rPr>
        <w:t xml:space="preserve"> výzva včetně</w:t>
      </w:r>
      <w:r w:rsidRPr="008F3604">
        <w:rPr>
          <w:rFonts w:asciiTheme="minorHAnsi" w:hAnsiTheme="minorHAnsi" w:cstheme="minorHAnsi"/>
          <w:sz w:val="22"/>
          <w:szCs w:val="22"/>
        </w:rPr>
        <w:t xml:space="preserve"> zadávací dokumentace vymezuje předmět veřejné zakázky v podrobnostech nezbytných pro zpracování nabídky, mohou </w:t>
      </w:r>
      <w:r>
        <w:rPr>
          <w:rFonts w:asciiTheme="minorHAnsi" w:hAnsiTheme="minorHAnsi" w:cstheme="minorHAnsi"/>
          <w:sz w:val="22"/>
          <w:szCs w:val="22"/>
        </w:rPr>
        <w:t>účastníci</w:t>
      </w:r>
      <w:r w:rsidRPr="008F3604">
        <w:rPr>
          <w:rFonts w:asciiTheme="minorHAnsi" w:hAnsiTheme="minorHAnsi" w:cstheme="minorHAnsi"/>
          <w:sz w:val="22"/>
          <w:szCs w:val="22"/>
        </w:rPr>
        <w:t xml:space="preserve"> požadovat vysvětlení zadávacích podmínek. Písemná žádost musí b</w:t>
      </w:r>
      <w:r>
        <w:rPr>
          <w:rFonts w:asciiTheme="minorHAnsi" w:hAnsiTheme="minorHAnsi" w:cstheme="minorHAnsi"/>
          <w:sz w:val="22"/>
          <w:szCs w:val="22"/>
        </w:rPr>
        <w:t>ýt Zadavateli doručena nejpozději v den předcházející dni ukončení lhůty pro podání nabídek.</w:t>
      </w:r>
    </w:p>
    <w:p w:rsidR="00970CF3" w:rsidRDefault="009536BD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8F3604">
        <w:rPr>
          <w:rFonts w:asciiTheme="minorHAnsi" w:hAnsiTheme="minorHAnsi" w:cstheme="minorHAnsi"/>
          <w:sz w:val="22"/>
          <w:szCs w:val="22"/>
        </w:rPr>
        <w:t xml:space="preserve">Žádosti o vysvětlení zadávací dokumentace mohou </w:t>
      </w:r>
      <w:r>
        <w:rPr>
          <w:rFonts w:asciiTheme="minorHAnsi" w:hAnsiTheme="minorHAnsi" w:cstheme="minorHAnsi"/>
          <w:sz w:val="22"/>
          <w:szCs w:val="22"/>
        </w:rPr>
        <w:t xml:space="preserve">účastníci </w:t>
      </w:r>
      <w:r w:rsidRPr="008F3604">
        <w:rPr>
          <w:rFonts w:asciiTheme="minorHAnsi" w:hAnsiTheme="minorHAnsi" w:cstheme="minorHAnsi"/>
          <w:sz w:val="22"/>
          <w:szCs w:val="22"/>
        </w:rPr>
        <w:t>v písemné formě zasílat e-mailem</w:t>
      </w:r>
      <w:r>
        <w:rPr>
          <w:rFonts w:asciiTheme="minorHAnsi" w:hAnsiTheme="minorHAnsi" w:cstheme="minorHAnsi"/>
          <w:sz w:val="22"/>
          <w:szCs w:val="22"/>
        </w:rPr>
        <w:t xml:space="preserve"> kontaktní osobě ve věcech technických</w:t>
      </w:r>
      <w:r w:rsidRPr="008F3604">
        <w:rPr>
          <w:rFonts w:asciiTheme="minorHAnsi" w:hAnsiTheme="minorHAnsi" w:cstheme="minorHAnsi"/>
          <w:sz w:val="22"/>
          <w:szCs w:val="22"/>
        </w:rPr>
        <w:t xml:space="preserve">. V žádosti musí být uvedeny identifikační a kontaktní údaje </w:t>
      </w:r>
      <w:r>
        <w:rPr>
          <w:rFonts w:asciiTheme="minorHAnsi" w:hAnsiTheme="minorHAnsi" w:cstheme="minorHAnsi"/>
          <w:sz w:val="22"/>
          <w:szCs w:val="22"/>
        </w:rPr>
        <w:t>účastníka</w:t>
      </w:r>
      <w:r w:rsidRPr="008F3604">
        <w:rPr>
          <w:rFonts w:asciiTheme="minorHAnsi" w:hAnsiTheme="minorHAnsi" w:cstheme="minorHAnsi"/>
          <w:sz w:val="22"/>
          <w:szCs w:val="22"/>
        </w:rPr>
        <w:t xml:space="preserve"> a informace o tom, ke které veřejné zakázce se žádost vztahuje.</w:t>
      </w:r>
    </w:p>
    <w:p w:rsidR="009536BD" w:rsidRDefault="009536BD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9536BD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11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5F57DD" w:rsidRPr="004C1972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>0,1</w:t>
      </w:r>
      <w:r w:rsidRPr="008336A3">
        <w:rPr>
          <w:rFonts w:asciiTheme="minorHAnsi" w:hAnsiTheme="minorHAnsi" w:cstheme="minorHAnsi"/>
          <w:sz w:val="22"/>
          <w:szCs w:val="22"/>
        </w:rPr>
        <w:t xml:space="preserve"> %</w:t>
      </w:r>
      <w:r w:rsidRPr="004C1972">
        <w:rPr>
          <w:rFonts w:asciiTheme="minorHAnsi" w:hAnsiTheme="minorHAnsi" w:cstheme="minorHAnsi"/>
          <w:sz w:val="22"/>
          <w:szCs w:val="22"/>
        </w:rPr>
        <w:t xml:space="preserve"> z celkové ceny zakázky za každý započatý den prodlení.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5F57DD" w:rsidRPr="004C1972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5F57DD" w:rsidRPr="004C1972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C00B21">
        <w:rPr>
          <w:rFonts w:asciiTheme="minorHAnsi" w:hAnsiTheme="minorHAnsi" w:cstheme="minorHAnsi"/>
          <w:sz w:val="22"/>
          <w:szCs w:val="22"/>
        </w:rPr>
        <w:t>Zadavatel si vyhrazuje právo zrušit výzvu k předložení cenové nabídky, a to kdykoliv během výběrového řízení, za předpokladu, že sdělí účastníkům důvod zrušení. O takové změně budou uchazeči neprodleně informováni.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245003">
        <w:rPr>
          <w:rFonts w:asciiTheme="minorHAnsi" w:hAnsiTheme="minorHAnsi" w:cstheme="minorHAnsi"/>
          <w:sz w:val="22"/>
          <w:szCs w:val="22"/>
        </w:rPr>
        <w:t>Zadavatel si vyhrazuje právo neuzavřít smlouvu s žádným dodavatelem.</w:t>
      </w:r>
    </w:p>
    <w:p w:rsidR="003F486C" w:rsidRPr="004C1972" w:rsidRDefault="003F486C" w:rsidP="003F486C">
      <w:pPr>
        <w:jc w:val="both"/>
        <w:rPr>
          <w:rFonts w:asciiTheme="minorHAnsi" w:hAnsiTheme="minorHAnsi" w:cstheme="minorHAnsi"/>
          <w:sz w:val="22"/>
          <w:szCs w:val="22"/>
        </w:rPr>
      </w:pPr>
      <w:r w:rsidRPr="00250948">
        <w:rPr>
          <w:rFonts w:asciiTheme="minorHAnsi" w:hAnsiTheme="minorHAnsi" w:cstheme="minorHAnsi"/>
          <w:sz w:val="22"/>
          <w:szCs w:val="22"/>
        </w:rPr>
        <w:t>V případě, že vybraný dodavatel nedodrží podmínky zadávacího řízení, nedojde k podpisu kupní smlouvy do 14 kalendářních dnů ode dne vyhlášení výsledku výběrového řízení nebo Zadavatel či dodavatel odstoupí od uzavřené smlouvy, si Zadavatel vyhrazuje právo oslovit 2. uchazeče v pořadí.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 xml:space="preserve">Zadavatel výslovně upozorňuje uchazeče, že vybraný dodavatel je dle </w:t>
      </w:r>
      <w:proofErr w:type="spellStart"/>
      <w:r w:rsidRPr="00DE709C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DE709C">
        <w:rPr>
          <w:rFonts w:asciiTheme="minorHAnsi" w:hAnsiTheme="minorHAnsi" w:cstheme="minorHAnsi"/>
          <w:sz w:val="22"/>
          <w:szCs w:val="22"/>
        </w:rPr>
        <w:t>. § 2 písm. e) zákona č. 320/2001 Sb., o finanční kontrole, osobou povinnou spolupůsobit při výkonu finanční kontroly.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DE709C">
        <w:rPr>
          <w:rFonts w:asciiTheme="minorHAnsi" w:hAnsiTheme="minorHAnsi" w:cstheme="minorHAnsi"/>
          <w:sz w:val="22"/>
          <w:szCs w:val="22"/>
        </w:rPr>
        <w:t>Podáním nabídky uchazeč bere na vědomí, že Zadavatel poté, co bude uzavřena smlouva s uchazečem, který podal nejvhodnější nabídku, nebo poté, co bude zadávací řízení zrušeno, zveřejní příslušné dokumenty v souladu s požadavky zákona č. 340/2015 Sb., o zvláštních podmínkách účinnosti některých smluv, uveřejňování těchto smluv a o registru smluv (zákon o registru smluv).</w:t>
      </w:r>
    </w:p>
    <w:p w:rsidR="00B60AA6" w:rsidRDefault="00B60AA6" w:rsidP="005F57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A6" w:rsidRDefault="00B60AA6" w:rsidP="005F57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0AA6" w:rsidRDefault="00B60AA6" w:rsidP="005F57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41C4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Podáním  nabídky uchazeč bere na vědomí, že Zadavatel</w:t>
      </w:r>
      <w:r w:rsidRPr="00FC1686">
        <w:rPr>
          <w:rFonts w:asciiTheme="minorHAnsi" w:hAnsiTheme="minorHAnsi" w:cstheme="minorHAnsi"/>
          <w:sz w:val="22"/>
          <w:szCs w:val="22"/>
        </w:rPr>
        <w:t xml:space="preserve"> má povinnost podle ustanovení § 219 zákona č. 134/2016 Sb., o zadávání veřejných zakázek, ve znění pozdějších předpisů, </w:t>
      </w:r>
      <w:r>
        <w:rPr>
          <w:rFonts w:asciiTheme="minorHAnsi" w:hAnsiTheme="minorHAnsi" w:cstheme="minorHAnsi"/>
          <w:sz w:val="22"/>
          <w:szCs w:val="22"/>
        </w:rPr>
        <w:t>zveřejnit smlouvu (plný text) s vybraným uchazečem</w:t>
      </w:r>
      <w:r w:rsidRPr="00FC1686">
        <w:rPr>
          <w:rFonts w:asciiTheme="minorHAnsi" w:hAnsiTheme="minorHAnsi" w:cstheme="minorHAnsi"/>
          <w:sz w:val="22"/>
          <w:szCs w:val="22"/>
        </w:rPr>
        <w:t xml:space="preserve"> vč. jejich změn a dodatků na svém profilu zadavatele a uveřejnit skutečně uhrazenou cenu plnění. </w:t>
      </w:r>
      <w:r>
        <w:rPr>
          <w:rFonts w:asciiTheme="minorHAnsi" w:hAnsiTheme="minorHAnsi" w:cstheme="minorHAnsi"/>
          <w:sz w:val="22"/>
          <w:szCs w:val="22"/>
        </w:rPr>
        <w:t>Vybraný 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povinen poskytnout </w:t>
      </w:r>
      <w:r>
        <w:rPr>
          <w:rFonts w:asciiTheme="minorHAnsi" w:hAnsiTheme="minorHAnsi" w:cstheme="minorHAnsi"/>
          <w:sz w:val="22"/>
          <w:szCs w:val="22"/>
        </w:rPr>
        <w:t>Zadavateli</w:t>
      </w:r>
      <w:r w:rsidRPr="00FC1686">
        <w:rPr>
          <w:rFonts w:asciiTheme="minorHAnsi" w:hAnsiTheme="minorHAnsi" w:cstheme="minorHAnsi"/>
          <w:sz w:val="22"/>
          <w:szCs w:val="22"/>
        </w:rPr>
        <w:t xml:space="preserve"> potřebnou součinnost podle ustanovení § 219 zákona č. 134/2016 Sb., o zadávání veřejných zakázek, ve znění pozdějších předpisů. 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Uchazeč</w:t>
      </w:r>
      <w:r w:rsidRPr="00FC1686">
        <w:rPr>
          <w:rFonts w:asciiTheme="minorHAnsi" w:hAnsiTheme="minorHAnsi" w:cstheme="minorHAnsi"/>
          <w:sz w:val="22"/>
          <w:szCs w:val="22"/>
        </w:rPr>
        <w:t xml:space="preserve"> je seznámen se skutečností, že poskytnutí těchto informací se dle citovaného zákona nepovažuje za porušení obchodního tajemství a s jejich zveřejněním tímto vyslovuje svůj souhlas.</w:t>
      </w:r>
    </w:p>
    <w:p w:rsidR="00AC01A7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15BB" w:rsidRPr="004D66B4" w:rsidRDefault="009536BD" w:rsidP="001515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1515BB" w:rsidRPr="004D66B4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1515BB">
        <w:rPr>
          <w:rFonts w:asciiTheme="minorHAnsi" w:hAnsiTheme="minorHAnsi" w:cstheme="minorHAnsi"/>
          <w:b/>
          <w:bCs/>
          <w:sz w:val="22"/>
          <w:szCs w:val="22"/>
        </w:rPr>
        <w:t>Vyhrazené změny</w:t>
      </w:r>
      <w:r w:rsidR="00A5015A">
        <w:rPr>
          <w:rFonts w:asciiTheme="minorHAnsi" w:hAnsiTheme="minorHAnsi" w:cstheme="minorHAnsi"/>
          <w:b/>
          <w:bCs/>
          <w:sz w:val="22"/>
          <w:szCs w:val="22"/>
        </w:rPr>
        <w:t xml:space="preserve"> závazku</w:t>
      </w: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vyhrazuje právo na prodloužení termí</w:t>
      </w:r>
      <w:r>
        <w:rPr>
          <w:rFonts w:asciiTheme="minorHAnsi" w:hAnsiTheme="minorHAnsi" w:cstheme="minorHAnsi"/>
          <w:sz w:val="22"/>
          <w:szCs w:val="22"/>
        </w:rPr>
        <w:t>nu plnění veřejné zakázky až o 3 měsíce v následujících případech:</w:t>
      </w:r>
    </w:p>
    <w:p w:rsidR="005F57DD" w:rsidRPr="00250948" w:rsidRDefault="00682101" w:rsidP="00682101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250948">
        <w:rPr>
          <w:rFonts w:asciiTheme="minorHAnsi" w:hAnsiTheme="minorHAnsi" w:cstheme="minorHAnsi"/>
          <w:sz w:val="22"/>
          <w:szCs w:val="22"/>
        </w:rPr>
        <w:t>pokud bude osloven 2. uchazeč v pořadí v důsledku skutečnosti, že vybraný dodavatel nedodrží podmínky zadávacího řízení, nedojde do 14 kalendářních dnů ode dne vyhlášení výsledku výběrového řízení k podpisu smlouvy nebo Zadavatel či dodavatel odstoupí od uzavřené smlouvy,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důsledku neočekávaných komplikací, </w:t>
      </w:r>
      <w:r w:rsidRPr="005F57DD">
        <w:rPr>
          <w:rFonts w:asciiTheme="minorHAnsi" w:hAnsiTheme="minorHAnsi" w:cstheme="minorHAnsi"/>
          <w:sz w:val="22"/>
          <w:szCs w:val="22"/>
        </w:rPr>
        <w:t>např. požáru, výbuchu, stávky, epidemie, přírodní katastrofy, války, revoluce, sabotáže, blokády, embarga, tj. zásahu tzv. vyšší moci.  Vyšší mocí se rozumí taktéž jiné skutečnosti, na které Zadavatel ani vybraný dodavatel nemohly mít žádný vliv.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F57DD">
        <w:rPr>
          <w:rFonts w:asciiTheme="minorHAnsi" w:hAnsiTheme="minorHAnsi" w:cstheme="minorHAnsi"/>
          <w:sz w:val="22"/>
          <w:szCs w:val="22"/>
        </w:rPr>
        <w:t xml:space="preserve">v důsledku změny právních předpisů či příkazů a nařízení úřadů, pokud k nim došlo po uzavření smlouvy. </w:t>
      </w:r>
    </w:p>
    <w:p w:rsidR="005F57DD" w:rsidRDefault="005F57DD" w:rsidP="005F57DD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 důsledku výpadků ze strany výrobce nebo nedostupnosti zboží v České republice/EU, </w:t>
      </w:r>
      <w:r w:rsidR="00682101" w:rsidRPr="00250948">
        <w:rPr>
          <w:rFonts w:asciiTheme="minorHAnsi" w:hAnsiTheme="minorHAnsi" w:cstheme="minorHAnsi"/>
          <w:sz w:val="22"/>
          <w:szCs w:val="22"/>
        </w:rPr>
        <w:t>USA</w:t>
      </w:r>
    </w:p>
    <w:p w:rsidR="005F57DD" w:rsidRPr="005F57DD" w:rsidRDefault="005F57DD" w:rsidP="005F57DD">
      <w:pPr>
        <w:pStyle w:val="Odstavecseseznamem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5F57DD">
        <w:rPr>
          <w:rFonts w:asciiTheme="minorHAnsi" w:hAnsiTheme="minorHAnsi" w:cstheme="minorHAnsi"/>
          <w:sz w:val="22"/>
          <w:szCs w:val="22"/>
        </w:rPr>
        <w:t>v případě prodlení podpisu smlouvy o dílo ze strany zadavatele či prodlení schválení a zaslání dotačních prostředků na veřejnou zakázku zřizovatelem, tj. MHMP.</w:t>
      </w:r>
    </w:p>
    <w:p w:rsidR="005F57DD" w:rsidRPr="001668FA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57DD" w:rsidRDefault="005F57DD" w:rsidP="005F57DD">
      <w:pPr>
        <w:jc w:val="both"/>
        <w:rPr>
          <w:rFonts w:asciiTheme="minorHAnsi" w:hAnsiTheme="minorHAnsi" w:cstheme="minorHAnsi"/>
          <w:sz w:val="22"/>
          <w:szCs w:val="22"/>
        </w:rPr>
      </w:pPr>
      <w:r w:rsidRPr="00087A1E">
        <w:rPr>
          <w:rFonts w:asciiTheme="minorHAnsi" w:hAnsiTheme="minorHAnsi" w:cstheme="minorHAnsi"/>
          <w:sz w:val="22"/>
          <w:szCs w:val="22"/>
        </w:rPr>
        <w:t>Zadavatel si vyhr</w:t>
      </w:r>
      <w:r>
        <w:rPr>
          <w:rFonts w:asciiTheme="minorHAnsi" w:hAnsiTheme="minorHAnsi" w:cstheme="minorHAnsi"/>
          <w:sz w:val="22"/>
          <w:szCs w:val="22"/>
        </w:rPr>
        <w:t>azuje právo na změnu ce</w:t>
      </w:r>
      <w:r w:rsidR="00682101">
        <w:rPr>
          <w:rFonts w:asciiTheme="minorHAnsi" w:hAnsiTheme="minorHAnsi" w:cstheme="minorHAnsi"/>
          <w:sz w:val="22"/>
          <w:szCs w:val="22"/>
        </w:rPr>
        <w:t>ny plnění veřejné zakázky až o 5</w:t>
      </w:r>
      <w:r>
        <w:rPr>
          <w:rFonts w:asciiTheme="minorHAnsi" w:hAnsiTheme="minorHAnsi" w:cstheme="minorHAnsi"/>
          <w:sz w:val="22"/>
          <w:szCs w:val="22"/>
        </w:rPr>
        <w:t xml:space="preserve"> % v případě změny požadavků nebo vzniku nových požadavků Zadavatele na předmět veřejné zakázky.</w:t>
      </w:r>
    </w:p>
    <w:p w:rsidR="00CA36D3" w:rsidRPr="004F7394" w:rsidRDefault="00CA36D3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354CFB" w:rsidRDefault="009536BD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54CFB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4314F0" w:rsidRPr="00354CFB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CFB">
        <w:rPr>
          <w:rFonts w:asciiTheme="minorHAnsi" w:hAnsiTheme="minorHAnsi" w:cstheme="minorHAnsi"/>
          <w:bCs/>
          <w:sz w:val="22"/>
          <w:szCs w:val="22"/>
        </w:rPr>
        <w:t>Nabídky</w:t>
      </w:r>
      <w:r w:rsidR="004B7F6E" w:rsidRPr="00354CFB">
        <w:rPr>
          <w:rFonts w:asciiTheme="minorHAnsi" w:hAnsiTheme="minorHAnsi" w:cstheme="minorHAnsi"/>
          <w:bCs/>
          <w:sz w:val="22"/>
          <w:szCs w:val="22"/>
        </w:rPr>
        <w:t xml:space="preserve"> v listinné podobě</w:t>
      </w:r>
      <w:r w:rsidRPr="00354CFB">
        <w:rPr>
          <w:rFonts w:asciiTheme="minorHAnsi" w:hAnsiTheme="minorHAnsi" w:cstheme="minorHAnsi"/>
          <w:bCs/>
          <w:sz w:val="22"/>
          <w:szCs w:val="22"/>
        </w:rPr>
        <w:t xml:space="preserve"> musí zájemce doručit do sídla zadavatele do budovy Pražské konzervatoře, Na Rejdišti 1, Praha 1 do </w:t>
      </w:r>
      <w:r w:rsidR="001E66CB" w:rsidRPr="00354CFB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EE3397" w:rsidRPr="00354CFB">
        <w:rPr>
          <w:rFonts w:asciiTheme="minorHAnsi" w:hAnsiTheme="minorHAnsi" w:cstheme="minorHAnsi"/>
          <w:b/>
          <w:bCs/>
          <w:sz w:val="22"/>
          <w:szCs w:val="22"/>
        </w:rPr>
        <w:t>. 9</w:t>
      </w:r>
      <w:r w:rsidRPr="00354CF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354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4CF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617616" w:rsidRPr="00354CFB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1E66CB" w:rsidRPr="00354CFB">
        <w:rPr>
          <w:rFonts w:asciiTheme="minorHAnsi" w:hAnsiTheme="minorHAnsi" w:cstheme="minorHAnsi"/>
          <w:b/>
          <w:bCs/>
          <w:sz w:val="22"/>
          <w:szCs w:val="22"/>
        </w:rPr>
        <w:t xml:space="preserve"> do 08,45</w:t>
      </w:r>
      <w:r w:rsidRPr="00354CFB">
        <w:rPr>
          <w:rFonts w:asciiTheme="minorHAnsi" w:hAnsiTheme="minorHAnsi" w:cstheme="minorHAnsi"/>
          <w:b/>
          <w:bCs/>
          <w:sz w:val="22"/>
          <w:szCs w:val="22"/>
        </w:rPr>
        <w:t xml:space="preserve"> hod</w:t>
      </w:r>
      <w:r w:rsidRPr="00354CFB">
        <w:rPr>
          <w:rFonts w:asciiTheme="minorHAnsi" w:hAnsiTheme="minorHAnsi" w:cstheme="minorHAnsi"/>
          <w:bCs/>
          <w:sz w:val="22"/>
          <w:szCs w:val="22"/>
        </w:rPr>
        <w:t>.,</w:t>
      </w:r>
      <w:r w:rsidR="009D6C2E" w:rsidRPr="00354C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4CFB">
        <w:rPr>
          <w:rFonts w:asciiTheme="minorHAnsi" w:hAnsiTheme="minorHAnsi" w:cstheme="minorHAnsi"/>
          <w:bCs/>
          <w:sz w:val="22"/>
          <w:szCs w:val="22"/>
        </w:rPr>
        <w:t>a to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 xml:space="preserve">Nabídky došlé po termínu pro podání nebudou zadavatelem akceptované a bude na ně pohlíženo jako by nebyly podány a nebudou otevřeny (zůstanou archivovány neotevřené). Zadavatel bezodkladně vyrozumí </w:t>
      </w:r>
      <w:r w:rsidR="00A712A6">
        <w:rPr>
          <w:rFonts w:asciiTheme="minorHAnsi" w:hAnsiTheme="minorHAnsi" w:cstheme="minorHAnsi"/>
          <w:bCs/>
          <w:sz w:val="22"/>
          <w:szCs w:val="22"/>
        </w:rPr>
        <w:t>účastníka</w:t>
      </w:r>
      <w:r w:rsidRPr="002A657E">
        <w:rPr>
          <w:rFonts w:asciiTheme="minorHAnsi" w:hAnsiTheme="minorHAnsi" w:cstheme="minorHAnsi"/>
          <w:bCs/>
          <w:sz w:val="22"/>
          <w:szCs w:val="22"/>
        </w:rPr>
        <w:t xml:space="preserve">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</w:t>
      </w:r>
      <w:r w:rsidR="00D53EDC">
        <w:rPr>
          <w:rFonts w:asciiTheme="minorHAnsi" w:hAnsiTheme="minorHAnsi" w:cstheme="minorHAnsi"/>
          <w:bCs/>
          <w:sz w:val="22"/>
          <w:szCs w:val="22"/>
        </w:rPr>
        <w:t> </w:t>
      </w:r>
      <w:r w:rsidRPr="004C1972">
        <w:rPr>
          <w:rFonts w:asciiTheme="minorHAnsi" w:hAnsiTheme="minorHAnsi" w:cstheme="minorHAnsi"/>
          <w:bCs/>
          <w:sz w:val="22"/>
          <w:szCs w:val="22"/>
        </w:rPr>
        <w:t>českém</w:t>
      </w:r>
      <w:r w:rsidR="00D53EDC">
        <w:rPr>
          <w:rFonts w:asciiTheme="minorHAnsi" w:hAnsiTheme="minorHAnsi" w:cstheme="minorHAnsi"/>
          <w:bCs/>
          <w:sz w:val="22"/>
          <w:szCs w:val="22"/>
        </w:rPr>
        <w:t xml:space="preserve"> nebo slovenském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617616" w:rsidRDefault="004314F0" w:rsidP="0061761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</w:t>
      </w:r>
      <w:r w:rsidRPr="001515BB">
        <w:rPr>
          <w:rFonts w:asciiTheme="minorHAnsi" w:hAnsiTheme="minorHAnsi" w:cstheme="minorHAnsi"/>
          <w:b/>
          <w:bCs/>
          <w:sz w:val="22"/>
          <w:szCs w:val="22"/>
        </w:rPr>
        <w:t xml:space="preserve">– </w:t>
      </w:r>
      <w:r w:rsidR="00617616">
        <w:rPr>
          <w:rFonts w:asciiTheme="minorHAnsi" w:hAnsiTheme="minorHAnsi" w:cstheme="minorHAnsi"/>
          <w:b/>
          <w:sz w:val="22"/>
          <w:szCs w:val="22"/>
        </w:rPr>
        <w:t>„</w:t>
      </w:r>
      <w:r w:rsidR="00682101" w:rsidRPr="00682101">
        <w:rPr>
          <w:rFonts w:asciiTheme="minorHAnsi" w:hAnsiTheme="minorHAnsi" w:cstheme="minorHAnsi"/>
          <w:b/>
          <w:sz w:val="22"/>
          <w:szCs w:val="22"/>
        </w:rPr>
        <w:t>Nákup harfy do koncertního sálu Pražské konzervatoře</w:t>
      </w:r>
      <w:r w:rsidR="00617616"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987884" w:rsidRDefault="00987884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3EDC" w:rsidRPr="002A657E" w:rsidRDefault="00D53EDC" w:rsidP="00D53E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50948">
        <w:rPr>
          <w:rFonts w:asciiTheme="minorHAnsi" w:hAnsiTheme="minorHAnsi" w:cstheme="minorHAnsi"/>
          <w:bCs/>
          <w:sz w:val="22"/>
          <w:szCs w:val="22"/>
        </w:rPr>
        <w:t xml:space="preserve">Chybně označené, nabídky v nezalepené obálce, nabídky v jiném, než předepsaném jazyce, či nabídky podané jiným než požadovaným způsobem nebudou zadavatelem akceptované a bude na ně pohlíženo jako by nebyly podány a nebudou otevřeny (zůstanou archivovány neotevřené). Zadavatel bezodkladně vyrozumí </w:t>
      </w:r>
      <w:r w:rsidR="00A712A6" w:rsidRPr="00250948">
        <w:rPr>
          <w:rFonts w:asciiTheme="minorHAnsi" w:hAnsiTheme="minorHAnsi" w:cstheme="minorHAnsi"/>
          <w:bCs/>
          <w:sz w:val="22"/>
          <w:szCs w:val="22"/>
        </w:rPr>
        <w:t>účastníka</w:t>
      </w:r>
      <w:r w:rsidRPr="00250948">
        <w:rPr>
          <w:rFonts w:asciiTheme="minorHAnsi" w:hAnsiTheme="minorHAnsi" w:cstheme="minorHAnsi"/>
          <w:bCs/>
          <w:sz w:val="22"/>
          <w:szCs w:val="22"/>
        </w:rPr>
        <w:t xml:space="preserve"> o tom, že jeho nabídka nebyla otevřena.</w:t>
      </w:r>
    </w:p>
    <w:p w:rsidR="00D53EDC" w:rsidRDefault="00D53EDC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B4EC2" w:rsidRDefault="00987884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9C7AD5">
        <w:rPr>
          <w:rFonts w:asciiTheme="minorHAnsi" w:hAnsiTheme="minorHAnsi" w:cstheme="minorHAnsi"/>
          <w:sz w:val="22"/>
          <w:szCs w:val="22"/>
        </w:rPr>
        <w:t>Doba, po kterou účastníci zadávacího řízení nesmí ze zadávacího</w:t>
      </w:r>
      <w:r w:rsidR="00A2487B">
        <w:rPr>
          <w:rFonts w:asciiTheme="minorHAnsi" w:hAnsiTheme="minorHAnsi" w:cstheme="minorHAnsi"/>
          <w:sz w:val="22"/>
          <w:szCs w:val="22"/>
        </w:rPr>
        <w:t xml:space="preserve"> řízení odstoupit, činí </w:t>
      </w:r>
      <w:r w:rsidR="00A2487B" w:rsidRPr="00250948">
        <w:rPr>
          <w:rFonts w:asciiTheme="minorHAnsi" w:hAnsiTheme="minorHAnsi" w:cstheme="minorHAnsi"/>
          <w:sz w:val="22"/>
          <w:szCs w:val="22"/>
        </w:rPr>
        <w:t>9</w:t>
      </w:r>
      <w:r w:rsidRPr="00250948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 kalendářních</w:t>
      </w:r>
      <w:r w:rsidRPr="009C7AD5">
        <w:rPr>
          <w:rFonts w:asciiTheme="minorHAnsi" w:hAnsiTheme="minorHAnsi" w:cstheme="minorHAnsi"/>
          <w:sz w:val="22"/>
          <w:szCs w:val="22"/>
        </w:rPr>
        <w:t xml:space="preserve"> dnů od skončení lhůty pro podání nabídek.</w:t>
      </w:r>
    </w:p>
    <w:p w:rsidR="00A1170F" w:rsidRDefault="00A1170F" w:rsidP="00CA1E8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1170F" w:rsidRPr="00CA1E8C" w:rsidRDefault="00A1170F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Vybraný dodavatel se zavazuje zaslat svou nabídku také v elektronické podobě, ve </w:t>
      </w:r>
      <w:r w:rsidRPr="00A1170F">
        <w:rPr>
          <w:rFonts w:asciiTheme="minorHAnsi" w:hAnsiTheme="minorHAnsi" w:cstheme="minorHAnsi"/>
          <w:b/>
          <w:sz w:val="22"/>
          <w:szCs w:val="22"/>
        </w:rPr>
        <w:t>strojově čitelném formátu</w:t>
      </w:r>
      <w:r>
        <w:rPr>
          <w:rFonts w:asciiTheme="minorHAnsi" w:hAnsiTheme="minorHAnsi" w:cstheme="minorHAnsi"/>
          <w:sz w:val="22"/>
          <w:szCs w:val="22"/>
        </w:rPr>
        <w:t xml:space="preserve"> a zároveň ve </w:t>
      </w:r>
      <w:r w:rsidRPr="00A1170F">
        <w:rPr>
          <w:rFonts w:asciiTheme="minorHAnsi" w:hAnsiTheme="minorHAnsi" w:cstheme="minorHAnsi"/>
          <w:b/>
          <w:sz w:val="22"/>
          <w:szCs w:val="22"/>
        </w:rPr>
        <w:t>formátu MS Word</w:t>
      </w:r>
      <w:r>
        <w:rPr>
          <w:rFonts w:asciiTheme="minorHAnsi" w:hAnsiTheme="minorHAnsi" w:cstheme="minorHAnsi"/>
          <w:sz w:val="22"/>
          <w:szCs w:val="22"/>
        </w:rPr>
        <w:t xml:space="preserve"> na mail </w:t>
      </w:r>
      <w:r w:rsidRPr="00A1170F">
        <w:rPr>
          <w:rFonts w:asciiTheme="minorHAnsi" w:hAnsiTheme="minorHAnsi" w:cstheme="minorHAnsi"/>
          <w:b/>
          <w:sz w:val="22"/>
          <w:szCs w:val="22"/>
        </w:rPr>
        <w:t>hana.vimrova@prgcons.cz</w:t>
      </w:r>
      <w:r>
        <w:rPr>
          <w:rFonts w:asciiTheme="minorHAnsi" w:hAnsiTheme="minorHAnsi" w:cstheme="minorHAnsi"/>
          <w:sz w:val="22"/>
          <w:szCs w:val="22"/>
        </w:rPr>
        <w:t xml:space="preserve">, a to nejpozději do 3 pracovních dnů od obdržení </w:t>
      </w:r>
      <w:r w:rsidR="001B5781">
        <w:rPr>
          <w:rFonts w:asciiTheme="minorHAnsi" w:hAnsiTheme="minorHAnsi" w:cstheme="minorHAnsi"/>
          <w:sz w:val="22"/>
          <w:szCs w:val="22"/>
        </w:rPr>
        <w:t>„O</w:t>
      </w:r>
      <w:r>
        <w:rPr>
          <w:rFonts w:asciiTheme="minorHAnsi" w:hAnsiTheme="minorHAnsi" w:cstheme="minorHAnsi"/>
          <w:sz w:val="22"/>
          <w:szCs w:val="22"/>
        </w:rPr>
        <w:t>známení o výběru</w:t>
      </w:r>
      <w:r w:rsidR="001B5781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9536BD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4B7469">
        <w:rPr>
          <w:rFonts w:asciiTheme="minorHAnsi" w:hAnsiTheme="minorHAnsi" w:cstheme="minorHAnsi"/>
          <w:bCs/>
          <w:sz w:val="22"/>
          <w:szCs w:val="22"/>
        </w:rPr>
        <w:t>21</w:t>
      </w:r>
      <w:r w:rsidR="003948CA" w:rsidRPr="0025094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70E9F" w:rsidRPr="00250948">
        <w:rPr>
          <w:rFonts w:asciiTheme="minorHAnsi" w:hAnsiTheme="minorHAnsi" w:cstheme="minorHAnsi"/>
          <w:bCs/>
          <w:sz w:val="22"/>
          <w:szCs w:val="22"/>
        </w:rPr>
        <w:t>9</w:t>
      </w:r>
      <w:r w:rsidR="006607D2" w:rsidRPr="00250948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2509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7616" w:rsidRPr="00250948">
        <w:rPr>
          <w:rFonts w:asciiTheme="minorHAnsi" w:hAnsiTheme="minorHAnsi" w:cstheme="minorHAnsi"/>
          <w:bCs/>
          <w:sz w:val="22"/>
          <w:szCs w:val="22"/>
        </w:rPr>
        <w:t>2020</w:t>
      </w:r>
      <w:r w:rsidRPr="0025094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7616" w:rsidRPr="00250948">
        <w:rPr>
          <w:rFonts w:asciiTheme="minorHAnsi" w:hAnsiTheme="minorHAnsi" w:cstheme="minorHAnsi"/>
          <w:bCs/>
          <w:sz w:val="22"/>
          <w:szCs w:val="22"/>
        </w:rPr>
        <w:t>v 9</w:t>
      </w:r>
      <w:r w:rsidR="00FC78B2" w:rsidRPr="00250948">
        <w:rPr>
          <w:rFonts w:asciiTheme="minorHAnsi" w:hAnsiTheme="minorHAnsi" w:cstheme="minorHAnsi"/>
          <w:bCs/>
          <w:sz w:val="22"/>
          <w:szCs w:val="22"/>
        </w:rPr>
        <w:t>,0</w:t>
      </w:r>
      <w:r w:rsidR="004C4EBC" w:rsidRPr="00250948">
        <w:rPr>
          <w:rFonts w:asciiTheme="minorHAnsi" w:hAnsiTheme="minorHAnsi" w:cstheme="minorHAnsi"/>
          <w:bCs/>
          <w:sz w:val="22"/>
          <w:szCs w:val="22"/>
        </w:rPr>
        <w:t>0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>1/77, Praha 1 – kancelář č. 1.21</w:t>
      </w:r>
      <w:r w:rsidRPr="004314F0">
        <w:rPr>
          <w:rFonts w:asciiTheme="minorHAnsi" w:hAnsiTheme="minorHAnsi" w:cstheme="minorHAnsi"/>
          <w:bCs/>
          <w:sz w:val="22"/>
          <w:szCs w:val="22"/>
        </w:rPr>
        <w:t>.</w:t>
      </w:r>
    </w:p>
    <w:p w:rsidR="0005595D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0641C4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4B7469">
        <w:rPr>
          <w:rFonts w:asciiTheme="minorHAnsi" w:hAnsiTheme="minorHAnsi" w:cstheme="minorHAnsi"/>
          <w:b/>
          <w:bCs/>
          <w:sz w:val="22"/>
          <w:szCs w:val="22"/>
        </w:rPr>
        <w:t>23</w:t>
      </w:r>
      <w:r w:rsidR="00951F76" w:rsidRPr="00250948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70E9F" w:rsidRPr="00250948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096C5E" w:rsidRPr="00250948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51F76" w:rsidRPr="002509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17616" w:rsidRPr="00250948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Pr="00250948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DE709C" w:rsidRDefault="00DE709C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E709C" w:rsidRPr="00DE709C" w:rsidRDefault="009536BD" w:rsidP="00DE709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15</w:t>
      </w:r>
      <w:r w:rsidR="00DE709C" w:rsidRPr="00DE709C">
        <w:rPr>
          <w:rFonts w:asciiTheme="minorHAnsi" w:hAnsiTheme="minorHAnsi" w:cstheme="minorHAnsi"/>
          <w:b/>
          <w:bCs/>
          <w:sz w:val="22"/>
          <w:szCs w:val="22"/>
        </w:rPr>
        <w:t>. Nedílnou součástí této výzvy jsou následující přílohy, které musí uchazeč vyplnit, doplnit či podepsat a předložit současně s nabídkou.</w:t>
      </w:r>
    </w:p>
    <w:p w:rsidR="00DE709C" w:rsidRPr="00DE709C" w:rsidRDefault="00DE709C" w:rsidP="00DE70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1. Krycí list nabídky</w:t>
      </w:r>
    </w:p>
    <w:p w:rsidR="00DE709C" w:rsidRPr="00647881" w:rsidRDefault="00DE709C" w:rsidP="00DE70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709C">
        <w:rPr>
          <w:rFonts w:asciiTheme="minorHAnsi" w:hAnsiTheme="minorHAnsi" w:cstheme="minorHAnsi"/>
          <w:bCs/>
          <w:sz w:val="22"/>
          <w:szCs w:val="22"/>
        </w:rPr>
        <w:t>2. Čestné prohlášení o základní způsobilosti - vzor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bookmarkStart w:id="0" w:name="_GoBack"/>
      <w:bookmarkEnd w:id="0"/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5595D" w:rsidRDefault="0005595D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5595D" w:rsidRDefault="0005595D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Pr="004C1972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001C07">
        <w:rPr>
          <w:rFonts w:asciiTheme="minorHAnsi" w:hAnsiTheme="minorHAnsi" w:cstheme="minorHAnsi"/>
          <w:bCs/>
          <w:sz w:val="22"/>
          <w:szCs w:val="22"/>
        </w:rPr>
        <w:t>xxxxxxxxxxxxxxxxxxxx</w:t>
      </w:r>
      <w:proofErr w:type="spellEnd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default" r:id="rId7"/>
      <w:footerReference w:type="default" r:id="rId8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6F" w:rsidRDefault="00784A6F">
      <w:r>
        <w:separator/>
      </w:r>
    </w:p>
  </w:endnote>
  <w:endnote w:type="continuationSeparator" w:id="0">
    <w:p w:rsidR="00784A6F" w:rsidRDefault="0078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</w:t>
                          </w:r>
                          <w:proofErr w:type="spell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hl.m.Prahy</w:t>
                          </w:r>
                          <w:proofErr w:type="spell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zřízena usnesením RHMP </w:t>
                          </w:r>
                          <w:proofErr w:type="gramStart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č.550</w:t>
                          </w:r>
                          <w:proofErr w:type="gramEnd"/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6F" w:rsidRDefault="00784A6F">
      <w:r>
        <w:separator/>
      </w:r>
    </w:p>
  </w:footnote>
  <w:footnote w:type="continuationSeparator" w:id="0">
    <w:p w:rsidR="00784A6F" w:rsidRDefault="0078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6458"/>
    <w:multiLevelType w:val="hybridMultilevel"/>
    <w:tmpl w:val="8DE63E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1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1C07"/>
    <w:rsid w:val="0000235F"/>
    <w:rsid w:val="00004D68"/>
    <w:rsid w:val="00007A49"/>
    <w:rsid w:val="00011DAA"/>
    <w:rsid w:val="00012C6C"/>
    <w:rsid w:val="00015A35"/>
    <w:rsid w:val="00015CA8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4398"/>
    <w:rsid w:val="00045CFB"/>
    <w:rsid w:val="0004643C"/>
    <w:rsid w:val="00046AD3"/>
    <w:rsid w:val="00047A3D"/>
    <w:rsid w:val="000500EC"/>
    <w:rsid w:val="00050280"/>
    <w:rsid w:val="00051D26"/>
    <w:rsid w:val="00053788"/>
    <w:rsid w:val="00054C31"/>
    <w:rsid w:val="00054D4F"/>
    <w:rsid w:val="0005595D"/>
    <w:rsid w:val="000572C8"/>
    <w:rsid w:val="00057AF2"/>
    <w:rsid w:val="00063118"/>
    <w:rsid w:val="000641C4"/>
    <w:rsid w:val="0006483C"/>
    <w:rsid w:val="00065F3A"/>
    <w:rsid w:val="0007153B"/>
    <w:rsid w:val="000727F5"/>
    <w:rsid w:val="00072DEE"/>
    <w:rsid w:val="00073D0A"/>
    <w:rsid w:val="00073DDA"/>
    <w:rsid w:val="00073ED2"/>
    <w:rsid w:val="00076C3B"/>
    <w:rsid w:val="0008299E"/>
    <w:rsid w:val="00082BFD"/>
    <w:rsid w:val="00082C50"/>
    <w:rsid w:val="000832F7"/>
    <w:rsid w:val="00095350"/>
    <w:rsid w:val="00095749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3EC6"/>
    <w:rsid w:val="000B4736"/>
    <w:rsid w:val="000B491F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24E4"/>
    <w:rsid w:val="000E3690"/>
    <w:rsid w:val="000E42C2"/>
    <w:rsid w:val="000F001A"/>
    <w:rsid w:val="000F08A5"/>
    <w:rsid w:val="000F30B3"/>
    <w:rsid w:val="000F5F4B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45C4"/>
    <w:rsid w:val="00115150"/>
    <w:rsid w:val="001172DE"/>
    <w:rsid w:val="00121765"/>
    <w:rsid w:val="001222E5"/>
    <w:rsid w:val="0012282B"/>
    <w:rsid w:val="001236EC"/>
    <w:rsid w:val="00124BA7"/>
    <w:rsid w:val="00127156"/>
    <w:rsid w:val="001277D3"/>
    <w:rsid w:val="00130CEA"/>
    <w:rsid w:val="001312DD"/>
    <w:rsid w:val="0013131E"/>
    <w:rsid w:val="00134841"/>
    <w:rsid w:val="001361F9"/>
    <w:rsid w:val="001422C7"/>
    <w:rsid w:val="00142BEC"/>
    <w:rsid w:val="00144208"/>
    <w:rsid w:val="00146902"/>
    <w:rsid w:val="00150096"/>
    <w:rsid w:val="0015037E"/>
    <w:rsid w:val="001515BB"/>
    <w:rsid w:val="00155582"/>
    <w:rsid w:val="001562C9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2699"/>
    <w:rsid w:val="00183A96"/>
    <w:rsid w:val="0018516A"/>
    <w:rsid w:val="001857F1"/>
    <w:rsid w:val="0018599F"/>
    <w:rsid w:val="001865E4"/>
    <w:rsid w:val="00190DF6"/>
    <w:rsid w:val="00192738"/>
    <w:rsid w:val="00192B0D"/>
    <w:rsid w:val="00192BD9"/>
    <w:rsid w:val="0019350D"/>
    <w:rsid w:val="00195668"/>
    <w:rsid w:val="00197A1F"/>
    <w:rsid w:val="001A1EDE"/>
    <w:rsid w:val="001A2A9F"/>
    <w:rsid w:val="001A5415"/>
    <w:rsid w:val="001A68AF"/>
    <w:rsid w:val="001A6CFD"/>
    <w:rsid w:val="001B1758"/>
    <w:rsid w:val="001B1EDC"/>
    <w:rsid w:val="001B26B8"/>
    <w:rsid w:val="001B39C0"/>
    <w:rsid w:val="001B460F"/>
    <w:rsid w:val="001B5781"/>
    <w:rsid w:val="001B59A8"/>
    <w:rsid w:val="001B6561"/>
    <w:rsid w:val="001B703F"/>
    <w:rsid w:val="001C191F"/>
    <w:rsid w:val="001C1969"/>
    <w:rsid w:val="001C1D01"/>
    <w:rsid w:val="001C28E0"/>
    <w:rsid w:val="001C2D82"/>
    <w:rsid w:val="001C2F88"/>
    <w:rsid w:val="001C5216"/>
    <w:rsid w:val="001C57D8"/>
    <w:rsid w:val="001C7BA8"/>
    <w:rsid w:val="001D0763"/>
    <w:rsid w:val="001D0AF2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66CB"/>
    <w:rsid w:val="001E7ABF"/>
    <w:rsid w:val="001F0D10"/>
    <w:rsid w:val="001F1C15"/>
    <w:rsid w:val="001F1D27"/>
    <w:rsid w:val="001F2D12"/>
    <w:rsid w:val="001F4073"/>
    <w:rsid w:val="001F437F"/>
    <w:rsid w:val="001F54C7"/>
    <w:rsid w:val="001F6D4E"/>
    <w:rsid w:val="001F78C6"/>
    <w:rsid w:val="00201936"/>
    <w:rsid w:val="00202022"/>
    <w:rsid w:val="002079F9"/>
    <w:rsid w:val="002113B1"/>
    <w:rsid w:val="00212FAD"/>
    <w:rsid w:val="00213188"/>
    <w:rsid w:val="00216F31"/>
    <w:rsid w:val="00220774"/>
    <w:rsid w:val="00222E0C"/>
    <w:rsid w:val="0022444E"/>
    <w:rsid w:val="00227865"/>
    <w:rsid w:val="002301F9"/>
    <w:rsid w:val="00240987"/>
    <w:rsid w:val="00241CBD"/>
    <w:rsid w:val="002435E4"/>
    <w:rsid w:val="002448F5"/>
    <w:rsid w:val="0024626E"/>
    <w:rsid w:val="002506E7"/>
    <w:rsid w:val="00250948"/>
    <w:rsid w:val="0025325F"/>
    <w:rsid w:val="00255E2E"/>
    <w:rsid w:val="002575B3"/>
    <w:rsid w:val="0026034C"/>
    <w:rsid w:val="00261388"/>
    <w:rsid w:val="002616DE"/>
    <w:rsid w:val="00263968"/>
    <w:rsid w:val="00265BC1"/>
    <w:rsid w:val="002676F2"/>
    <w:rsid w:val="002704F7"/>
    <w:rsid w:val="002707B0"/>
    <w:rsid w:val="00270943"/>
    <w:rsid w:val="00271674"/>
    <w:rsid w:val="0027193E"/>
    <w:rsid w:val="002721D1"/>
    <w:rsid w:val="002724A1"/>
    <w:rsid w:val="00273A22"/>
    <w:rsid w:val="00275365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3F05"/>
    <w:rsid w:val="002A4106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0A7"/>
    <w:rsid w:val="002C75F8"/>
    <w:rsid w:val="002D293B"/>
    <w:rsid w:val="002D2B08"/>
    <w:rsid w:val="002D5CAD"/>
    <w:rsid w:val="002E02A6"/>
    <w:rsid w:val="002E064B"/>
    <w:rsid w:val="002E196C"/>
    <w:rsid w:val="002E3D14"/>
    <w:rsid w:val="002E4864"/>
    <w:rsid w:val="002E5263"/>
    <w:rsid w:val="002E56F7"/>
    <w:rsid w:val="002F05ED"/>
    <w:rsid w:val="002F0734"/>
    <w:rsid w:val="002F0B79"/>
    <w:rsid w:val="002F3D78"/>
    <w:rsid w:val="002F7960"/>
    <w:rsid w:val="00301AB3"/>
    <w:rsid w:val="003038B6"/>
    <w:rsid w:val="00303AFE"/>
    <w:rsid w:val="00304B8F"/>
    <w:rsid w:val="003063B9"/>
    <w:rsid w:val="0031064B"/>
    <w:rsid w:val="00310783"/>
    <w:rsid w:val="00310845"/>
    <w:rsid w:val="00312738"/>
    <w:rsid w:val="00314FEF"/>
    <w:rsid w:val="00315F40"/>
    <w:rsid w:val="00316DEB"/>
    <w:rsid w:val="00320C83"/>
    <w:rsid w:val="003232D9"/>
    <w:rsid w:val="00327175"/>
    <w:rsid w:val="003337FA"/>
    <w:rsid w:val="00333A58"/>
    <w:rsid w:val="00336317"/>
    <w:rsid w:val="00336602"/>
    <w:rsid w:val="003379A8"/>
    <w:rsid w:val="00340966"/>
    <w:rsid w:val="00343708"/>
    <w:rsid w:val="00345D08"/>
    <w:rsid w:val="00346958"/>
    <w:rsid w:val="00350F83"/>
    <w:rsid w:val="00351761"/>
    <w:rsid w:val="00353974"/>
    <w:rsid w:val="003545E4"/>
    <w:rsid w:val="00354A3E"/>
    <w:rsid w:val="00354CFB"/>
    <w:rsid w:val="00356354"/>
    <w:rsid w:val="00357A22"/>
    <w:rsid w:val="003618D4"/>
    <w:rsid w:val="00362BFC"/>
    <w:rsid w:val="003641D6"/>
    <w:rsid w:val="003643BD"/>
    <w:rsid w:val="003656C7"/>
    <w:rsid w:val="00366262"/>
    <w:rsid w:val="003665AB"/>
    <w:rsid w:val="00366DC1"/>
    <w:rsid w:val="0037203E"/>
    <w:rsid w:val="003723D0"/>
    <w:rsid w:val="003745B2"/>
    <w:rsid w:val="0037469E"/>
    <w:rsid w:val="0037532A"/>
    <w:rsid w:val="003759D9"/>
    <w:rsid w:val="00376934"/>
    <w:rsid w:val="00377E1B"/>
    <w:rsid w:val="00380020"/>
    <w:rsid w:val="00380752"/>
    <w:rsid w:val="00381A59"/>
    <w:rsid w:val="0038552F"/>
    <w:rsid w:val="003855FF"/>
    <w:rsid w:val="003859F3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25A"/>
    <w:rsid w:val="003C45F9"/>
    <w:rsid w:val="003C4F4C"/>
    <w:rsid w:val="003C57FF"/>
    <w:rsid w:val="003C5CBE"/>
    <w:rsid w:val="003C688C"/>
    <w:rsid w:val="003C7A6E"/>
    <w:rsid w:val="003D00FE"/>
    <w:rsid w:val="003D3379"/>
    <w:rsid w:val="003D3538"/>
    <w:rsid w:val="003D37CD"/>
    <w:rsid w:val="003D3A48"/>
    <w:rsid w:val="003E09F1"/>
    <w:rsid w:val="003E12B0"/>
    <w:rsid w:val="003E312A"/>
    <w:rsid w:val="003E3B1D"/>
    <w:rsid w:val="003E3F6E"/>
    <w:rsid w:val="003E51CF"/>
    <w:rsid w:val="003E57B8"/>
    <w:rsid w:val="003F016F"/>
    <w:rsid w:val="003F0E0D"/>
    <w:rsid w:val="003F1024"/>
    <w:rsid w:val="003F3A35"/>
    <w:rsid w:val="003F419B"/>
    <w:rsid w:val="003F486C"/>
    <w:rsid w:val="003F634D"/>
    <w:rsid w:val="003F7210"/>
    <w:rsid w:val="00401AB1"/>
    <w:rsid w:val="0040209C"/>
    <w:rsid w:val="00402816"/>
    <w:rsid w:val="00404A7A"/>
    <w:rsid w:val="00404DB4"/>
    <w:rsid w:val="0041082F"/>
    <w:rsid w:val="00411486"/>
    <w:rsid w:val="00411BF7"/>
    <w:rsid w:val="00411F15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6F2C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37F17"/>
    <w:rsid w:val="004404A0"/>
    <w:rsid w:val="00440A7D"/>
    <w:rsid w:val="0044130B"/>
    <w:rsid w:val="00441EE8"/>
    <w:rsid w:val="00445E1D"/>
    <w:rsid w:val="00447493"/>
    <w:rsid w:val="004477DC"/>
    <w:rsid w:val="00447825"/>
    <w:rsid w:val="004509CF"/>
    <w:rsid w:val="0045405D"/>
    <w:rsid w:val="00454B26"/>
    <w:rsid w:val="004608DF"/>
    <w:rsid w:val="00466A99"/>
    <w:rsid w:val="004700DB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2400"/>
    <w:rsid w:val="004A5658"/>
    <w:rsid w:val="004A674C"/>
    <w:rsid w:val="004A69A2"/>
    <w:rsid w:val="004B2EBD"/>
    <w:rsid w:val="004B3143"/>
    <w:rsid w:val="004B32B3"/>
    <w:rsid w:val="004B3408"/>
    <w:rsid w:val="004B4A89"/>
    <w:rsid w:val="004B4E9B"/>
    <w:rsid w:val="004B628C"/>
    <w:rsid w:val="004B7469"/>
    <w:rsid w:val="004B7F6E"/>
    <w:rsid w:val="004C06BE"/>
    <w:rsid w:val="004C15A2"/>
    <w:rsid w:val="004C4EBC"/>
    <w:rsid w:val="004C6C87"/>
    <w:rsid w:val="004C75A3"/>
    <w:rsid w:val="004D02FB"/>
    <w:rsid w:val="004D0F9C"/>
    <w:rsid w:val="004D48C0"/>
    <w:rsid w:val="004D66B4"/>
    <w:rsid w:val="004D686E"/>
    <w:rsid w:val="004E1CAC"/>
    <w:rsid w:val="004E710A"/>
    <w:rsid w:val="004F010A"/>
    <w:rsid w:val="004F01D1"/>
    <w:rsid w:val="004F1D95"/>
    <w:rsid w:val="004F4554"/>
    <w:rsid w:val="004F7394"/>
    <w:rsid w:val="00502499"/>
    <w:rsid w:val="00502F39"/>
    <w:rsid w:val="005046B6"/>
    <w:rsid w:val="00506607"/>
    <w:rsid w:val="00506635"/>
    <w:rsid w:val="0050755D"/>
    <w:rsid w:val="0050795C"/>
    <w:rsid w:val="005102B9"/>
    <w:rsid w:val="005121AB"/>
    <w:rsid w:val="00514789"/>
    <w:rsid w:val="00514B81"/>
    <w:rsid w:val="00515A62"/>
    <w:rsid w:val="00520B3D"/>
    <w:rsid w:val="005224B8"/>
    <w:rsid w:val="00524B0B"/>
    <w:rsid w:val="00526546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32F4"/>
    <w:rsid w:val="00586528"/>
    <w:rsid w:val="00586855"/>
    <w:rsid w:val="005869BF"/>
    <w:rsid w:val="005923D0"/>
    <w:rsid w:val="00592717"/>
    <w:rsid w:val="00594195"/>
    <w:rsid w:val="005973BF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2AC0"/>
    <w:rsid w:val="005C58D8"/>
    <w:rsid w:val="005D3521"/>
    <w:rsid w:val="005E2546"/>
    <w:rsid w:val="005E32D2"/>
    <w:rsid w:val="005E343B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7DD"/>
    <w:rsid w:val="005F587B"/>
    <w:rsid w:val="005F6234"/>
    <w:rsid w:val="00600876"/>
    <w:rsid w:val="00600A60"/>
    <w:rsid w:val="006027E2"/>
    <w:rsid w:val="00604FFA"/>
    <w:rsid w:val="0060588F"/>
    <w:rsid w:val="00606928"/>
    <w:rsid w:val="00607022"/>
    <w:rsid w:val="006075F4"/>
    <w:rsid w:val="00607710"/>
    <w:rsid w:val="0060783D"/>
    <w:rsid w:val="00607A51"/>
    <w:rsid w:val="0061142E"/>
    <w:rsid w:val="00612070"/>
    <w:rsid w:val="006151D4"/>
    <w:rsid w:val="006153F4"/>
    <w:rsid w:val="00617159"/>
    <w:rsid w:val="00617616"/>
    <w:rsid w:val="00617D88"/>
    <w:rsid w:val="006204B9"/>
    <w:rsid w:val="00620B05"/>
    <w:rsid w:val="00621689"/>
    <w:rsid w:val="00624F0E"/>
    <w:rsid w:val="0062542F"/>
    <w:rsid w:val="006260E6"/>
    <w:rsid w:val="00630E0F"/>
    <w:rsid w:val="00631427"/>
    <w:rsid w:val="0063153A"/>
    <w:rsid w:val="00631E2A"/>
    <w:rsid w:val="00635760"/>
    <w:rsid w:val="006364EE"/>
    <w:rsid w:val="00636524"/>
    <w:rsid w:val="0064085D"/>
    <w:rsid w:val="00640F2D"/>
    <w:rsid w:val="00650A89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82101"/>
    <w:rsid w:val="00682612"/>
    <w:rsid w:val="006826D5"/>
    <w:rsid w:val="00685E1F"/>
    <w:rsid w:val="006871A2"/>
    <w:rsid w:val="0068768F"/>
    <w:rsid w:val="00690132"/>
    <w:rsid w:val="00696D4F"/>
    <w:rsid w:val="00696F7B"/>
    <w:rsid w:val="00697C62"/>
    <w:rsid w:val="006A02A8"/>
    <w:rsid w:val="006A16E9"/>
    <w:rsid w:val="006A304D"/>
    <w:rsid w:val="006A342E"/>
    <w:rsid w:val="006A7CB1"/>
    <w:rsid w:val="006B0F50"/>
    <w:rsid w:val="006B59F4"/>
    <w:rsid w:val="006B6650"/>
    <w:rsid w:val="006C295D"/>
    <w:rsid w:val="006C5BBB"/>
    <w:rsid w:val="006C609F"/>
    <w:rsid w:val="006C6416"/>
    <w:rsid w:val="006D2C5D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4C0B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2948"/>
    <w:rsid w:val="007334FF"/>
    <w:rsid w:val="00733A4F"/>
    <w:rsid w:val="00733F2C"/>
    <w:rsid w:val="007366E6"/>
    <w:rsid w:val="007418FF"/>
    <w:rsid w:val="00742D4D"/>
    <w:rsid w:val="00744046"/>
    <w:rsid w:val="00745EDF"/>
    <w:rsid w:val="007461AF"/>
    <w:rsid w:val="00747EFC"/>
    <w:rsid w:val="0075102E"/>
    <w:rsid w:val="00756682"/>
    <w:rsid w:val="00762FA4"/>
    <w:rsid w:val="0076559A"/>
    <w:rsid w:val="0076766D"/>
    <w:rsid w:val="00770E9F"/>
    <w:rsid w:val="00770F41"/>
    <w:rsid w:val="007744EC"/>
    <w:rsid w:val="00774676"/>
    <w:rsid w:val="00774C09"/>
    <w:rsid w:val="0077590C"/>
    <w:rsid w:val="00775DDA"/>
    <w:rsid w:val="0078021D"/>
    <w:rsid w:val="00780986"/>
    <w:rsid w:val="007819A3"/>
    <w:rsid w:val="00781FB5"/>
    <w:rsid w:val="00783787"/>
    <w:rsid w:val="00783BD2"/>
    <w:rsid w:val="00784A6F"/>
    <w:rsid w:val="00785418"/>
    <w:rsid w:val="00785A9F"/>
    <w:rsid w:val="00790A4F"/>
    <w:rsid w:val="00793327"/>
    <w:rsid w:val="00793AF1"/>
    <w:rsid w:val="00795426"/>
    <w:rsid w:val="00797710"/>
    <w:rsid w:val="007A08F2"/>
    <w:rsid w:val="007A1EA1"/>
    <w:rsid w:val="007A1FB4"/>
    <w:rsid w:val="007A440D"/>
    <w:rsid w:val="007A50AC"/>
    <w:rsid w:val="007A520B"/>
    <w:rsid w:val="007A5CDB"/>
    <w:rsid w:val="007B17E2"/>
    <w:rsid w:val="007B6E3D"/>
    <w:rsid w:val="007C6736"/>
    <w:rsid w:val="007C7259"/>
    <w:rsid w:val="007C7EA0"/>
    <w:rsid w:val="007D0E0B"/>
    <w:rsid w:val="007D0EF4"/>
    <w:rsid w:val="007D2F8D"/>
    <w:rsid w:val="007D35C9"/>
    <w:rsid w:val="007D48E3"/>
    <w:rsid w:val="007D6434"/>
    <w:rsid w:val="007D6516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3CE0"/>
    <w:rsid w:val="007F6194"/>
    <w:rsid w:val="007F7136"/>
    <w:rsid w:val="008009F9"/>
    <w:rsid w:val="00800D04"/>
    <w:rsid w:val="008034C7"/>
    <w:rsid w:val="00803CE0"/>
    <w:rsid w:val="00805877"/>
    <w:rsid w:val="00805C70"/>
    <w:rsid w:val="00810B69"/>
    <w:rsid w:val="00811AE6"/>
    <w:rsid w:val="008156CB"/>
    <w:rsid w:val="008172B0"/>
    <w:rsid w:val="00823038"/>
    <w:rsid w:val="00825093"/>
    <w:rsid w:val="00826E22"/>
    <w:rsid w:val="008307C1"/>
    <w:rsid w:val="008322BC"/>
    <w:rsid w:val="00835419"/>
    <w:rsid w:val="00836512"/>
    <w:rsid w:val="00840E95"/>
    <w:rsid w:val="00842FAF"/>
    <w:rsid w:val="00843FED"/>
    <w:rsid w:val="008505EF"/>
    <w:rsid w:val="008512EE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6715"/>
    <w:rsid w:val="00880620"/>
    <w:rsid w:val="00880711"/>
    <w:rsid w:val="00881D2C"/>
    <w:rsid w:val="00884834"/>
    <w:rsid w:val="00890282"/>
    <w:rsid w:val="0089260D"/>
    <w:rsid w:val="00897081"/>
    <w:rsid w:val="008A144F"/>
    <w:rsid w:val="008A653C"/>
    <w:rsid w:val="008A6EB9"/>
    <w:rsid w:val="008B0559"/>
    <w:rsid w:val="008B2070"/>
    <w:rsid w:val="008B36B5"/>
    <w:rsid w:val="008B5D63"/>
    <w:rsid w:val="008B6352"/>
    <w:rsid w:val="008C0DF5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505F"/>
    <w:rsid w:val="008E6F0C"/>
    <w:rsid w:val="00900D5E"/>
    <w:rsid w:val="009019BB"/>
    <w:rsid w:val="00901FA7"/>
    <w:rsid w:val="00902AA6"/>
    <w:rsid w:val="00903099"/>
    <w:rsid w:val="0090431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1CFA"/>
    <w:rsid w:val="00924F00"/>
    <w:rsid w:val="00926B67"/>
    <w:rsid w:val="00930D4E"/>
    <w:rsid w:val="00931108"/>
    <w:rsid w:val="009323B9"/>
    <w:rsid w:val="009333EF"/>
    <w:rsid w:val="009350EA"/>
    <w:rsid w:val="00936236"/>
    <w:rsid w:val="0093691C"/>
    <w:rsid w:val="009370CC"/>
    <w:rsid w:val="00941D36"/>
    <w:rsid w:val="00943611"/>
    <w:rsid w:val="0094372F"/>
    <w:rsid w:val="00945256"/>
    <w:rsid w:val="0094611F"/>
    <w:rsid w:val="009463AB"/>
    <w:rsid w:val="0094711C"/>
    <w:rsid w:val="00947877"/>
    <w:rsid w:val="009504E2"/>
    <w:rsid w:val="009506C7"/>
    <w:rsid w:val="00951F76"/>
    <w:rsid w:val="009535B8"/>
    <w:rsid w:val="009536BD"/>
    <w:rsid w:val="009565AF"/>
    <w:rsid w:val="00960D6A"/>
    <w:rsid w:val="00961049"/>
    <w:rsid w:val="009611E6"/>
    <w:rsid w:val="00963B82"/>
    <w:rsid w:val="00963BEB"/>
    <w:rsid w:val="009643F0"/>
    <w:rsid w:val="0096574F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53C"/>
    <w:rsid w:val="00987797"/>
    <w:rsid w:val="00987884"/>
    <w:rsid w:val="009910E0"/>
    <w:rsid w:val="009929C4"/>
    <w:rsid w:val="009936DD"/>
    <w:rsid w:val="00994164"/>
    <w:rsid w:val="009A0AE9"/>
    <w:rsid w:val="009A1C28"/>
    <w:rsid w:val="009A1ED4"/>
    <w:rsid w:val="009A34C2"/>
    <w:rsid w:val="009A3CB7"/>
    <w:rsid w:val="009A4CC2"/>
    <w:rsid w:val="009A6136"/>
    <w:rsid w:val="009B26C3"/>
    <w:rsid w:val="009B465C"/>
    <w:rsid w:val="009B5A22"/>
    <w:rsid w:val="009B6544"/>
    <w:rsid w:val="009B7EC2"/>
    <w:rsid w:val="009C031B"/>
    <w:rsid w:val="009C0449"/>
    <w:rsid w:val="009C1F67"/>
    <w:rsid w:val="009C2A8F"/>
    <w:rsid w:val="009C6057"/>
    <w:rsid w:val="009C76C3"/>
    <w:rsid w:val="009D10A0"/>
    <w:rsid w:val="009D23D6"/>
    <w:rsid w:val="009D416E"/>
    <w:rsid w:val="009D4CB7"/>
    <w:rsid w:val="009D6C2E"/>
    <w:rsid w:val="009E25F7"/>
    <w:rsid w:val="009E2C59"/>
    <w:rsid w:val="009E346F"/>
    <w:rsid w:val="009E3CE3"/>
    <w:rsid w:val="009E4CFA"/>
    <w:rsid w:val="009E5511"/>
    <w:rsid w:val="009E604B"/>
    <w:rsid w:val="009F03C9"/>
    <w:rsid w:val="009F123C"/>
    <w:rsid w:val="009F18BE"/>
    <w:rsid w:val="009F21BC"/>
    <w:rsid w:val="009F6045"/>
    <w:rsid w:val="009F7909"/>
    <w:rsid w:val="009F7BAD"/>
    <w:rsid w:val="00A004A9"/>
    <w:rsid w:val="00A0536A"/>
    <w:rsid w:val="00A05F42"/>
    <w:rsid w:val="00A07469"/>
    <w:rsid w:val="00A111FD"/>
    <w:rsid w:val="00A1170F"/>
    <w:rsid w:val="00A12292"/>
    <w:rsid w:val="00A129F9"/>
    <w:rsid w:val="00A1489D"/>
    <w:rsid w:val="00A1606E"/>
    <w:rsid w:val="00A1620F"/>
    <w:rsid w:val="00A1644B"/>
    <w:rsid w:val="00A16660"/>
    <w:rsid w:val="00A20D04"/>
    <w:rsid w:val="00A22E11"/>
    <w:rsid w:val="00A23334"/>
    <w:rsid w:val="00A2487B"/>
    <w:rsid w:val="00A2572A"/>
    <w:rsid w:val="00A316A0"/>
    <w:rsid w:val="00A31FDA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5015A"/>
    <w:rsid w:val="00A50C2D"/>
    <w:rsid w:val="00A51D90"/>
    <w:rsid w:val="00A5290C"/>
    <w:rsid w:val="00A54885"/>
    <w:rsid w:val="00A579A4"/>
    <w:rsid w:val="00A64931"/>
    <w:rsid w:val="00A65571"/>
    <w:rsid w:val="00A712A6"/>
    <w:rsid w:val="00A715F5"/>
    <w:rsid w:val="00A729C1"/>
    <w:rsid w:val="00A7339B"/>
    <w:rsid w:val="00A73A16"/>
    <w:rsid w:val="00A76745"/>
    <w:rsid w:val="00A767A0"/>
    <w:rsid w:val="00A769F5"/>
    <w:rsid w:val="00A82420"/>
    <w:rsid w:val="00A848A7"/>
    <w:rsid w:val="00A85A37"/>
    <w:rsid w:val="00A87A62"/>
    <w:rsid w:val="00A93474"/>
    <w:rsid w:val="00A9647C"/>
    <w:rsid w:val="00A97A73"/>
    <w:rsid w:val="00AA0FD3"/>
    <w:rsid w:val="00AA13CB"/>
    <w:rsid w:val="00AA2AD2"/>
    <w:rsid w:val="00AB0590"/>
    <w:rsid w:val="00AB0F0E"/>
    <w:rsid w:val="00AB175C"/>
    <w:rsid w:val="00AB19A6"/>
    <w:rsid w:val="00AB2AB6"/>
    <w:rsid w:val="00AB5863"/>
    <w:rsid w:val="00AB5DD5"/>
    <w:rsid w:val="00AC01A7"/>
    <w:rsid w:val="00AC1912"/>
    <w:rsid w:val="00AC3239"/>
    <w:rsid w:val="00AC3842"/>
    <w:rsid w:val="00AC3D6F"/>
    <w:rsid w:val="00AC42FC"/>
    <w:rsid w:val="00AD0BF7"/>
    <w:rsid w:val="00AD0FCA"/>
    <w:rsid w:val="00AD37F7"/>
    <w:rsid w:val="00AD396F"/>
    <w:rsid w:val="00AD7581"/>
    <w:rsid w:val="00AE72FC"/>
    <w:rsid w:val="00AF023B"/>
    <w:rsid w:val="00AF0442"/>
    <w:rsid w:val="00AF3535"/>
    <w:rsid w:val="00AF44DA"/>
    <w:rsid w:val="00AF762A"/>
    <w:rsid w:val="00B009AB"/>
    <w:rsid w:val="00B02C24"/>
    <w:rsid w:val="00B034DF"/>
    <w:rsid w:val="00B0436A"/>
    <w:rsid w:val="00B0634B"/>
    <w:rsid w:val="00B06D2A"/>
    <w:rsid w:val="00B07B3F"/>
    <w:rsid w:val="00B10112"/>
    <w:rsid w:val="00B104E2"/>
    <w:rsid w:val="00B12725"/>
    <w:rsid w:val="00B1365A"/>
    <w:rsid w:val="00B13D5C"/>
    <w:rsid w:val="00B15E78"/>
    <w:rsid w:val="00B16D1F"/>
    <w:rsid w:val="00B1721E"/>
    <w:rsid w:val="00B240C2"/>
    <w:rsid w:val="00B25A74"/>
    <w:rsid w:val="00B317B6"/>
    <w:rsid w:val="00B31EF6"/>
    <w:rsid w:val="00B327E8"/>
    <w:rsid w:val="00B37CFE"/>
    <w:rsid w:val="00B43D3E"/>
    <w:rsid w:val="00B45560"/>
    <w:rsid w:val="00B459A1"/>
    <w:rsid w:val="00B50B0B"/>
    <w:rsid w:val="00B52E35"/>
    <w:rsid w:val="00B532F6"/>
    <w:rsid w:val="00B561BB"/>
    <w:rsid w:val="00B57EB2"/>
    <w:rsid w:val="00B60AA6"/>
    <w:rsid w:val="00B624A5"/>
    <w:rsid w:val="00B63EA4"/>
    <w:rsid w:val="00B65E3D"/>
    <w:rsid w:val="00B716FC"/>
    <w:rsid w:val="00B7327A"/>
    <w:rsid w:val="00B73452"/>
    <w:rsid w:val="00B77E4C"/>
    <w:rsid w:val="00B813F0"/>
    <w:rsid w:val="00B817DE"/>
    <w:rsid w:val="00B82494"/>
    <w:rsid w:val="00B84811"/>
    <w:rsid w:val="00B86FD7"/>
    <w:rsid w:val="00B87D87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47DE"/>
    <w:rsid w:val="00BC5BAD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E41A2"/>
    <w:rsid w:val="00BE43ED"/>
    <w:rsid w:val="00BE46AA"/>
    <w:rsid w:val="00BE6E4C"/>
    <w:rsid w:val="00BE75CF"/>
    <w:rsid w:val="00BE7A21"/>
    <w:rsid w:val="00BE7E05"/>
    <w:rsid w:val="00BF1B5A"/>
    <w:rsid w:val="00BF2862"/>
    <w:rsid w:val="00BF4F1D"/>
    <w:rsid w:val="00BF5F01"/>
    <w:rsid w:val="00BF7FAD"/>
    <w:rsid w:val="00C06E94"/>
    <w:rsid w:val="00C07531"/>
    <w:rsid w:val="00C10BFA"/>
    <w:rsid w:val="00C11578"/>
    <w:rsid w:val="00C14F62"/>
    <w:rsid w:val="00C164F8"/>
    <w:rsid w:val="00C17414"/>
    <w:rsid w:val="00C17462"/>
    <w:rsid w:val="00C20A7C"/>
    <w:rsid w:val="00C21076"/>
    <w:rsid w:val="00C21271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37581"/>
    <w:rsid w:val="00C40116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5768"/>
    <w:rsid w:val="00C965AD"/>
    <w:rsid w:val="00C96A5E"/>
    <w:rsid w:val="00C97300"/>
    <w:rsid w:val="00CA0FBA"/>
    <w:rsid w:val="00CA1328"/>
    <w:rsid w:val="00CA1898"/>
    <w:rsid w:val="00CA1E8C"/>
    <w:rsid w:val="00CA2AD1"/>
    <w:rsid w:val="00CA36D3"/>
    <w:rsid w:val="00CA38FD"/>
    <w:rsid w:val="00CA4115"/>
    <w:rsid w:val="00CA49CD"/>
    <w:rsid w:val="00CA5A63"/>
    <w:rsid w:val="00CB17DC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7352"/>
    <w:rsid w:val="00CE326D"/>
    <w:rsid w:val="00CE3D2A"/>
    <w:rsid w:val="00CE7B41"/>
    <w:rsid w:val="00CF047F"/>
    <w:rsid w:val="00CF0A26"/>
    <w:rsid w:val="00CF2876"/>
    <w:rsid w:val="00CF5F9F"/>
    <w:rsid w:val="00CF6D07"/>
    <w:rsid w:val="00CF7860"/>
    <w:rsid w:val="00D006CD"/>
    <w:rsid w:val="00D02EB0"/>
    <w:rsid w:val="00D0413E"/>
    <w:rsid w:val="00D05D31"/>
    <w:rsid w:val="00D0657E"/>
    <w:rsid w:val="00D07459"/>
    <w:rsid w:val="00D10EF1"/>
    <w:rsid w:val="00D14723"/>
    <w:rsid w:val="00D208C1"/>
    <w:rsid w:val="00D21743"/>
    <w:rsid w:val="00D22D2A"/>
    <w:rsid w:val="00D24CB3"/>
    <w:rsid w:val="00D2563A"/>
    <w:rsid w:val="00D258A0"/>
    <w:rsid w:val="00D259AB"/>
    <w:rsid w:val="00D31336"/>
    <w:rsid w:val="00D31E05"/>
    <w:rsid w:val="00D364E7"/>
    <w:rsid w:val="00D3765B"/>
    <w:rsid w:val="00D40EC9"/>
    <w:rsid w:val="00D451AF"/>
    <w:rsid w:val="00D4778A"/>
    <w:rsid w:val="00D50080"/>
    <w:rsid w:val="00D51611"/>
    <w:rsid w:val="00D52886"/>
    <w:rsid w:val="00D53EDC"/>
    <w:rsid w:val="00D55031"/>
    <w:rsid w:val="00D553B7"/>
    <w:rsid w:val="00D60099"/>
    <w:rsid w:val="00D6036E"/>
    <w:rsid w:val="00D61D76"/>
    <w:rsid w:val="00D6245F"/>
    <w:rsid w:val="00D63EBA"/>
    <w:rsid w:val="00D665AC"/>
    <w:rsid w:val="00D66EEF"/>
    <w:rsid w:val="00D67461"/>
    <w:rsid w:val="00D70922"/>
    <w:rsid w:val="00D73358"/>
    <w:rsid w:val="00D7489A"/>
    <w:rsid w:val="00D74B8A"/>
    <w:rsid w:val="00D76246"/>
    <w:rsid w:val="00D76D4E"/>
    <w:rsid w:val="00D80E18"/>
    <w:rsid w:val="00D85FBC"/>
    <w:rsid w:val="00D86A02"/>
    <w:rsid w:val="00D95EFD"/>
    <w:rsid w:val="00D95F3A"/>
    <w:rsid w:val="00D960C8"/>
    <w:rsid w:val="00D96A19"/>
    <w:rsid w:val="00DA155F"/>
    <w:rsid w:val="00DA23FD"/>
    <w:rsid w:val="00DA282B"/>
    <w:rsid w:val="00DB0D05"/>
    <w:rsid w:val="00DB0D0D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F7D"/>
    <w:rsid w:val="00DD41DD"/>
    <w:rsid w:val="00DD5BB6"/>
    <w:rsid w:val="00DD6E6C"/>
    <w:rsid w:val="00DE08D4"/>
    <w:rsid w:val="00DE1F48"/>
    <w:rsid w:val="00DE383F"/>
    <w:rsid w:val="00DE38D8"/>
    <w:rsid w:val="00DE45CA"/>
    <w:rsid w:val="00DE6E63"/>
    <w:rsid w:val="00DE709C"/>
    <w:rsid w:val="00DF03E9"/>
    <w:rsid w:val="00DF041E"/>
    <w:rsid w:val="00DF1218"/>
    <w:rsid w:val="00DF56F0"/>
    <w:rsid w:val="00DF7ACC"/>
    <w:rsid w:val="00E04DD4"/>
    <w:rsid w:val="00E117FA"/>
    <w:rsid w:val="00E127B7"/>
    <w:rsid w:val="00E12D46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4024A"/>
    <w:rsid w:val="00E41E60"/>
    <w:rsid w:val="00E42453"/>
    <w:rsid w:val="00E43453"/>
    <w:rsid w:val="00E43A29"/>
    <w:rsid w:val="00E44D4F"/>
    <w:rsid w:val="00E45151"/>
    <w:rsid w:val="00E4593E"/>
    <w:rsid w:val="00E459F3"/>
    <w:rsid w:val="00E45DD2"/>
    <w:rsid w:val="00E465FE"/>
    <w:rsid w:val="00E51404"/>
    <w:rsid w:val="00E51416"/>
    <w:rsid w:val="00E60882"/>
    <w:rsid w:val="00E60A62"/>
    <w:rsid w:val="00E6179C"/>
    <w:rsid w:val="00E64DCE"/>
    <w:rsid w:val="00E67BC7"/>
    <w:rsid w:val="00E71814"/>
    <w:rsid w:val="00E7276C"/>
    <w:rsid w:val="00E731BB"/>
    <w:rsid w:val="00E74D47"/>
    <w:rsid w:val="00E7746D"/>
    <w:rsid w:val="00E77F07"/>
    <w:rsid w:val="00E81BB7"/>
    <w:rsid w:val="00E82FB0"/>
    <w:rsid w:val="00E833A0"/>
    <w:rsid w:val="00E833E3"/>
    <w:rsid w:val="00E83F59"/>
    <w:rsid w:val="00E85B00"/>
    <w:rsid w:val="00E903F1"/>
    <w:rsid w:val="00E90BEE"/>
    <w:rsid w:val="00E91FCB"/>
    <w:rsid w:val="00E9255B"/>
    <w:rsid w:val="00E9700B"/>
    <w:rsid w:val="00E970C3"/>
    <w:rsid w:val="00EA1798"/>
    <w:rsid w:val="00EA1A2B"/>
    <w:rsid w:val="00EA246C"/>
    <w:rsid w:val="00EA4259"/>
    <w:rsid w:val="00EA4A13"/>
    <w:rsid w:val="00EA592E"/>
    <w:rsid w:val="00EB3D5A"/>
    <w:rsid w:val="00EB4907"/>
    <w:rsid w:val="00EC2E05"/>
    <w:rsid w:val="00EC4FF6"/>
    <w:rsid w:val="00EC5328"/>
    <w:rsid w:val="00ED0989"/>
    <w:rsid w:val="00ED0C0D"/>
    <w:rsid w:val="00ED1ED5"/>
    <w:rsid w:val="00ED1F6A"/>
    <w:rsid w:val="00ED2DED"/>
    <w:rsid w:val="00ED3E39"/>
    <w:rsid w:val="00EE0657"/>
    <w:rsid w:val="00EE1221"/>
    <w:rsid w:val="00EE1730"/>
    <w:rsid w:val="00EE2DD9"/>
    <w:rsid w:val="00EE3397"/>
    <w:rsid w:val="00EE7F4C"/>
    <w:rsid w:val="00EF3BCB"/>
    <w:rsid w:val="00EF4735"/>
    <w:rsid w:val="00EF5166"/>
    <w:rsid w:val="00EF5408"/>
    <w:rsid w:val="00F00011"/>
    <w:rsid w:val="00F006F2"/>
    <w:rsid w:val="00F0169C"/>
    <w:rsid w:val="00F069BB"/>
    <w:rsid w:val="00F109DA"/>
    <w:rsid w:val="00F10BB5"/>
    <w:rsid w:val="00F10E17"/>
    <w:rsid w:val="00F111B4"/>
    <w:rsid w:val="00F11D20"/>
    <w:rsid w:val="00F14524"/>
    <w:rsid w:val="00F232CD"/>
    <w:rsid w:val="00F23C2B"/>
    <w:rsid w:val="00F24C57"/>
    <w:rsid w:val="00F27CFE"/>
    <w:rsid w:val="00F30CE2"/>
    <w:rsid w:val="00F32023"/>
    <w:rsid w:val="00F3203A"/>
    <w:rsid w:val="00F3253D"/>
    <w:rsid w:val="00F33F4E"/>
    <w:rsid w:val="00F344AC"/>
    <w:rsid w:val="00F34A02"/>
    <w:rsid w:val="00F34CAF"/>
    <w:rsid w:val="00F3623D"/>
    <w:rsid w:val="00F400D1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0108"/>
    <w:rsid w:val="00F7541B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A484D"/>
    <w:rsid w:val="00FA4C47"/>
    <w:rsid w:val="00FA77E5"/>
    <w:rsid w:val="00FB0BF3"/>
    <w:rsid w:val="00FB14FA"/>
    <w:rsid w:val="00FB307F"/>
    <w:rsid w:val="00FB49B1"/>
    <w:rsid w:val="00FB4EC2"/>
    <w:rsid w:val="00FB51BD"/>
    <w:rsid w:val="00FB5244"/>
    <w:rsid w:val="00FB53C4"/>
    <w:rsid w:val="00FB7AAB"/>
    <w:rsid w:val="00FC0822"/>
    <w:rsid w:val="00FC34DB"/>
    <w:rsid w:val="00FC3B2B"/>
    <w:rsid w:val="00FC5123"/>
    <w:rsid w:val="00FC6281"/>
    <w:rsid w:val="00FC71E8"/>
    <w:rsid w:val="00FC78B2"/>
    <w:rsid w:val="00FD1342"/>
    <w:rsid w:val="00FD169E"/>
    <w:rsid w:val="00FD1F51"/>
    <w:rsid w:val="00FD2FFA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8906B"/>
  <w15:docId w15:val="{6EF11309-4111-46F5-B504-1916EFD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1">
    <w:name w:val="Zvýraznění1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2664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18348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Marie Hlavičková</dc:creator>
  <cp:lastModifiedBy>Hana Vimrová</cp:lastModifiedBy>
  <cp:revision>3</cp:revision>
  <cp:lastPrinted>2020-09-14T10:00:00Z</cp:lastPrinted>
  <dcterms:created xsi:type="dcterms:W3CDTF">2020-10-15T14:18:00Z</dcterms:created>
  <dcterms:modified xsi:type="dcterms:W3CDTF">2020-10-15T14:19:00Z</dcterms:modified>
</cp:coreProperties>
</file>