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05" w:rsidRPr="00D52CA2" w:rsidRDefault="00B83B05" w:rsidP="00B83B05">
      <w:pPr>
        <w:jc w:val="center"/>
        <w:rPr>
          <w:rFonts w:ascii="UnitPro" w:eastAsia="UnitPro" w:hAnsi="UnitPro" w:cs="UnitPro"/>
          <w:b/>
          <w:sz w:val="28"/>
          <w:szCs w:val="28"/>
        </w:rPr>
      </w:pPr>
      <w:r w:rsidRPr="00D52CA2">
        <w:rPr>
          <w:rFonts w:ascii="UnitPro" w:eastAsia="UnitPro" w:hAnsi="UnitPro" w:cs="UnitPro"/>
          <w:b/>
          <w:sz w:val="28"/>
          <w:szCs w:val="28"/>
        </w:rPr>
        <w:t>Příloha č. 1</w:t>
      </w:r>
      <w:r w:rsidR="0004519B">
        <w:rPr>
          <w:rFonts w:ascii="UnitPro" w:eastAsia="UnitPro" w:hAnsi="UnitPro" w:cs="UnitPro"/>
          <w:b/>
          <w:sz w:val="28"/>
          <w:szCs w:val="28"/>
        </w:rPr>
        <w:t>.</w:t>
      </w:r>
      <w:bookmarkStart w:id="0" w:name="_GoBack"/>
      <w:bookmarkEnd w:id="0"/>
    </w:p>
    <w:p w:rsidR="00B83B05" w:rsidRPr="00D52CA2" w:rsidRDefault="00B83B05" w:rsidP="00B83B05">
      <w:pPr>
        <w:jc w:val="center"/>
        <w:rPr>
          <w:rFonts w:ascii="UnitPro" w:eastAsia="UnitPro-Bold" w:hAnsi="UnitPro" w:cs="UnitPro"/>
          <w:b/>
          <w:sz w:val="24"/>
          <w:szCs w:val="24"/>
        </w:rPr>
      </w:pPr>
      <w:r w:rsidRPr="00D52CA2">
        <w:rPr>
          <w:rFonts w:ascii="UnitPro" w:eastAsia="UnitPro-Bold" w:hAnsi="UnitPro" w:cs="UnitPro"/>
          <w:b/>
          <w:sz w:val="24"/>
          <w:szCs w:val="24"/>
        </w:rPr>
        <w:t>Specifikace projektového týmu a podpory IPR</w:t>
      </w:r>
      <w:r w:rsidR="00655158" w:rsidRPr="00D52CA2">
        <w:rPr>
          <w:rFonts w:ascii="UnitPro" w:eastAsia="UnitPro-Bold" w:hAnsi="UnitPro" w:cs="UnitPro"/>
          <w:b/>
          <w:sz w:val="24"/>
          <w:szCs w:val="24"/>
        </w:rPr>
        <w:t xml:space="preserve"> Praha</w:t>
      </w:r>
    </w:p>
    <w:p w:rsidR="00B83B05" w:rsidRPr="00D52CA2" w:rsidRDefault="00B83B05" w:rsidP="00B83B05">
      <w:pPr>
        <w:jc w:val="center"/>
        <w:rPr>
          <w:rFonts w:ascii="UnitPro" w:eastAsia="UnitPro-Bold" w:hAnsi="UnitPro" w:cs="UnitPro"/>
          <w:b/>
          <w:sz w:val="24"/>
          <w:szCs w:val="24"/>
        </w:rPr>
      </w:pPr>
    </w:p>
    <w:p w:rsidR="00B83B05" w:rsidRPr="00D52CA2" w:rsidRDefault="00B83B05" w:rsidP="00B83B05">
      <w:pPr>
        <w:jc w:val="both"/>
        <w:rPr>
          <w:rFonts w:ascii="UnitPro" w:eastAsia="Times New Roman" w:hAnsi="UnitPro" w:cs="UnitPro"/>
          <w:sz w:val="24"/>
          <w:szCs w:val="24"/>
        </w:rPr>
      </w:pPr>
      <w:r w:rsidRPr="00D52CA2">
        <w:rPr>
          <w:rFonts w:ascii="UnitPro" w:eastAsia="UnitPro-Light" w:hAnsi="UnitPro" w:cs="UnitPro"/>
        </w:rPr>
        <w:t xml:space="preserve">Na každé městské části (MČ), která je zapojena do pilotního programu Koordinátoři participativního plánování, existuje pozice Koordinátora participativního plánování. Ten je jejím zaměstnancem </w:t>
      </w:r>
      <w:r w:rsidR="00655158" w:rsidRPr="00D52CA2">
        <w:rPr>
          <w:rFonts w:ascii="UnitPro" w:eastAsia="UnitPro-Light" w:hAnsi="UnitPro" w:cs="UnitPro"/>
        </w:rPr>
        <w:br/>
      </w:r>
      <w:r w:rsidRPr="00D52CA2">
        <w:rPr>
          <w:rFonts w:ascii="UnitPro" w:eastAsia="UnitPro-Light" w:hAnsi="UnitPro" w:cs="UnitPro"/>
        </w:rPr>
        <w:t xml:space="preserve">a pracuje na projektech pro MČ. Má podporu IPR Praha, s jehož zaměstnanci se pravidelně schází a sdílí s ním průběh projektů. Vedle stojí podpůrný tým programu, který řídí samotný proces </w:t>
      </w:r>
      <w:r w:rsidR="00D3579B">
        <w:rPr>
          <w:rFonts w:ascii="UnitPro" w:eastAsia="UnitPro-Light" w:hAnsi="UnitPro" w:cs="UnitPro"/>
        </w:rPr>
        <w:br/>
      </w:r>
      <w:r w:rsidRPr="00D52CA2">
        <w:rPr>
          <w:rFonts w:ascii="UnitPro" w:eastAsia="UnitPro-Light" w:hAnsi="UnitPro" w:cs="UnitPro"/>
        </w:rPr>
        <w:t xml:space="preserve">a monitoruje průběh. Sbírá data a ukládá je, nastavuje procesy a hlídá je, koučuje a školí samotné koordinátory </w:t>
      </w:r>
      <w:r w:rsidR="00655158" w:rsidRPr="00D52CA2">
        <w:rPr>
          <w:rFonts w:ascii="UnitPro" w:eastAsia="UnitPro-Light" w:hAnsi="UnitPro" w:cs="UnitPro"/>
        </w:rPr>
        <w:br/>
      </w:r>
      <w:r w:rsidRPr="00D52CA2">
        <w:rPr>
          <w:rFonts w:ascii="UnitPro" w:eastAsia="UnitPro-Light" w:hAnsi="UnitPro" w:cs="UnitPro"/>
        </w:rPr>
        <w:t xml:space="preserve">na MČ, svolává schůzky (vše probíhá po odsouhlasení IPR Praha). Podpůrný tým je dodavatelem IPR Praha a zodpovídám se mu. Důležitou součástí je také evaluační tým, který je dalším externím dodavatelem a není součástí podpůrného týmu. Evaluační tým hodnotí program dle předem nastavených kritérií. Monitoring sloužící evaluaci pomáhá realizovat podpůrný tým. </w:t>
      </w:r>
    </w:p>
    <w:p w:rsidR="00B83B05" w:rsidRPr="00D52CA2" w:rsidRDefault="00B83B05" w:rsidP="00B83B05">
      <w:pPr>
        <w:rPr>
          <w:rFonts w:ascii="UnitPro" w:eastAsia="UnitPro" w:hAnsi="UnitPro" w:cs="UnitPro"/>
          <w:b/>
          <w:sz w:val="28"/>
          <w:szCs w:val="28"/>
        </w:rPr>
      </w:pPr>
    </w:p>
    <w:p w:rsidR="00B83B05" w:rsidRPr="00D52CA2" w:rsidRDefault="00B83B05" w:rsidP="00B83B05">
      <w:pPr>
        <w:rPr>
          <w:rFonts w:ascii="UnitPro" w:eastAsia="UnitPro-Light" w:hAnsi="UnitPro" w:cs="UnitPro"/>
          <w:b/>
        </w:rPr>
      </w:pPr>
      <w:r w:rsidRPr="00D52CA2">
        <w:rPr>
          <w:rFonts w:ascii="UnitPro" w:eastAsia="UnitPro-Light" w:hAnsi="UnitPro" w:cs="UnitPro"/>
          <w:b/>
        </w:rPr>
        <w:t>Role IPR Praha</w:t>
      </w:r>
    </w:p>
    <w:p w:rsidR="00B83B05" w:rsidRPr="00D52CA2" w:rsidRDefault="00B83B05" w:rsidP="00B83B05">
      <w:pPr>
        <w:rPr>
          <w:rFonts w:ascii="UnitPro" w:eastAsia="UnitPro-Light" w:hAnsi="UnitPro" w:cs="UnitPro"/>
          <w:b/>
        </w:rPr>
      </w:pPr>
    </w:p>
    <w:p w:rsidR="00B83B05" w:rsidRPr="00D52CA2" w:rsidRDefault="00B83B05" w:rsidP="00B83B05">
      <w:pPr>
        <w:numPr>
          <w:ilvl w:val="0"/>
          <w:numId w:val="1"/>
        </w:numPr>
        <w:spacing w:after="0" w:line="240" w:lineRule="auto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 xml:space="preserve">Vedení pilotního programu a hlavní zodpovědnost za program </w:t>
      </w:r>
    </w:p>
    <w:p w:rsidR="00B83B05" w:rsidRPr="00D52CA2" w:rsidRDefault="00B83B05" w:rsidP="00B83B05">
      <w:pPr>
        <w:numPr>
          <w:ilvl w:val="0"/>
          <w:numId w:val="1"/>
        </w:numPr>
        <w:spacing w:after="0" w:line="240" w:lineRule="auto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>Zadání a cíle pilotního programu</w:t>
      </w:r>
    </w:p>
    <w:p w:rsidR="00B83B05" w:rsidRPr="00D52CA2" w:rsidRDefault="00B83B05" w:rsidP="00B83B05">
      <w:pPr>
        <w:numPr>
          <w:ilvl w:val="0"/>
          <w:numId w:val="1"/>
        </w:numPr>
        <w:spacing w:after="0" w:line="240" w:lineRule="auto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>Strategický management - odborný dohled celého projektu za IPR, pomáhá nastavovat pilotní projekty MČ, hlídá, jestli jsou naplňovány cíle a vize pilotního projektu, včetně průzkumů na začátku a na konci.</w:t>
      </w:r>
    </w:p>
    <w:p w:rsidR="00B83B05" w:rsidRPr="00D52CA2" w:rsidRDefault="00B83B05" w:rsidP="00B83B05">
      <w:pPr>
        <w:numPr>
          <w:ilvl w:val="0"/>
          <w:numId w:val="1"/>
        </w:numPr>
        <w:spacing w:after="0" w:line="240" w:lineRule="auto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>Průběžná koordinace s dodavateli</w:t>
      </w:r>
    </w:p>
    <w:p w:rsidR="00B83B05" w:rsidRPr="00D52CA2" w:rsidRDefault="00B83B05" w:rsidP="00B83B05">
      <w:pPr>
        <w:numPr>
          <w:ilvl w:val="0"/>
          <w:numId w:val="1"/>
        </w:numPr>
        <w:spacing w:after="0" w:line="240" w:lineRule="auto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>Výběr MČ a institucí města pro pilotní program</w:t>
      </w:r>
    </w:p>
    <w:p w:rsidR="00B83B05" w:rsidRPr="00D52CA2" w:rsidRDefault="00B83B05" w:rsidP="00B83B05">
      <w:pPr>
        <w:numPr>
          <w:ilvl w:val="0"/>
          <w:numId w:val="1"/>
        </w:numPr>
        <w:spacing w:after="0" w:line="240" w:lineRule="auto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>Schválení projektů jednotlivých MČ a institucí města</w:t>
      </w:r>
    </w:p>
    <w:p w:rsidR="00B83B05" w:rsidRPr="00D52CA2" w:rsidRDefault="00B83B05" w:rsidP="00B83B05">
      <w:pPr>
        <w:numPr>
          <w:ilvl w:val="0"/>
          <w:numId w:val="1"/>
        </w:numPr>
        <w:spacing w:after="0" w:line="240" w:lineRule="auto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 xml:space="preserve">Komunikace a koordinace s institucemi města nad rámec témat, která jsou dopředu dána projektem v rámci práce koordinátora a dodavatele. </w:t>
      </w:r>
    </w:p>
    <w:p w:rsidR="00B83B05" w:rsidRPr="00D52CA2" w:rsidRDefault="00B83B05" w:rsidP="00B83B05">
      <w:pPr>
        <w:numPr>
          <w:ilvl w:val="0"/>
          <w:numId w:val="1"/>
        </w:numPr>
        <w:spacing w:after="0" w:line="240" w:lineRule="auto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 xml:space="preserve">Zajištění externího evaluátora pilotního programu </w:t>
      </w:r>
    </w:p>
    <w:p w:rsidR="00B83B05" w:rsidRPr="00D52CA2" w:rsidRDefault="00B83B05" w:rsidP="00B83B05">
      <w:pPr>
        <w:rPr>
          <w:rFonts w:ascii="UnitPro" w:hAnsi="UnitPro" w:cs="UnitPro"/>
          <w:u w:val="single"/>
        </w:rPr>
      </w:pPr>
    </w:p>
    <w:p w:rsidR="00B83B05" w:rsidRPr="00D52CA2" w:rsidRDefault="00B83B05" w:rsidP="00B83B05">
      <w:pPr>
        <w:rPr>
          <w:rFonts w:ascii="UnitPro" w:hAnsi="UnitPro" w:cs="UnitPro"/>
          <w:u w:val="single"/>
        </w:rPr>
      </w:pPr>
    </w:p>
    <w:p w:rsidR="00B83B05" w:rsidRPr="00D52CA2" w:rsidRDefault="00B83B05" w:rsidP="00B83B05">
      <w:pPr>
        <w:rPr>
          <w:rFonts w:ascii="UnitPro" w:eastAsia="UnitPro-Light" w:hAnsi="UnitPro" w:cs="UnitPro"/>
          <w:b/>
        </w:rPr>
      </w:pPr>
      <w:r w:rsidRPr="00D52CA2">
        <w:rPr>
          <w:rFonts w:ascii="UnitPro" w:eastAsia="UnitPro-Light" w:hAnsi="UnitPro" w:cs="UnitPro"/>
          <w:b/>
        </w:rPr>
        <w:t>Role dodavatele</w:t>
      </w:r>
    </w:p>
    <w:p w:rsidR="00B83B05" w:rsidRPr="00D52CA2" w:rsidRDefault="00B83B05" w:rsidP="00B83B05">
      <w:pPr>
        <w:rPr>
          <w:rFonts w:ascii="UnitPro" w:eastAsia="UnitPro-Light" w:hAnsi="UnitPro" w:cs="UnitPro"/>
          <w:b/>
        </w:rPr>
      </w:pPr>
    </w:p>
    <w:p w:rsidR="00B83B05" w:rsidRPr="00D52CA2" w:rsidRDefault="00B83B05" w:rsidP="00B83B05">
      <w:pPr>
        <w:numPr>
          <w:ilvl w:val="0"/>
          <w:numId w:val="2"/>
        </w:numPr>
        <w:spacing w:after="0"/>
        <w:rPr>
          <w:rFonts w:ascii="UnitPro" w:eastAsia="Times New Roman" w:hAnsi="UnitPro" w:cs="UnitPro"/>
        </w:rPr>
      </w:pPr>
      <w:r w:rsidRPr="00D52CA2">
        <w:rPr>
          <w:rFonts w:ascii="UnitPro" w:eastAsia="UnitPro-Light" w:hAnsi="UnitPro" w:cs="UnitPro"/>
        </w:rPr>
        <w:t>Projektový manažer – vedoucí týmu</w:t>
      </w:r>
    </w:p>
    <w:p w:rsidR="00B83B05" w:rsidRPr="00D52CA2" w:rsidRDefault="00B83B05" w:rsidP="00B83B05">
      <w:pPr>
        <w:numPr>
          <w:ilvl w:val="0"/>
          <w:numId w:val="2"/>
        </w:numPr>
        <w:spacing w:after="0"/>
        <w:rPr>
          <w:rFonts w:ascii="UnitPro" w:eastAsia="Times New Roman" w:hAnsi="UnitPro" w:cs="UnitPro"/>
        </w:rPr>
      </w:pPr>
      <w:r w:rsidRPr="00D52CA2">
        <w:rPr>
          <w:rFonts w:ascii="UnitPro" w:eastAsia="UnitPro-Light" w:hAnsi="UnitPro" w:cs="UnitPro"/>
        </w:rPr>
        <w:t xml:space="preserve">Strategický konzultant – odborný dohled celého projektu za dodavatele, pomáhá nastavovat pilotní projekty MČ, hlídá, jestli jsou naplňovány cíle a vize pilotního projektu, včetně průzkumů na začátku a na konci. </w:t>
      </w:r>
    </w:p>
    <w:p w:rsidR="00B83B05" w:rsidRPr="00D52CA2" w:rsidRDefault="00B83B05" w:rsidP="00B83B05">
      <w:pPr>
        <w:numPr>
          <w:ilvl w:val="0"/>
          <w:numId w:val="2"/>
        </w:numPr>
        <w:spacing w:after="0"/>
        <w:rPr>
          <w:rFonts w:ascii="UnitPro" w:eastAsia="Times New Roman" w:hAnsi="UnitPro" w:cs="UnitPro"/>
        </w:rPr>
      </w:pPr>
      <w:r w:rsidRPr="00D52CA2">
        <w:rPr>
          <w:rFonts w:ascii="UnitPro" w:eastAsia="UnitPro-Light" w:hAnsi="UnitPro" w:cs="UnitPro"/>
        </w:rPr>
        <w:t>Sociolog – podpora pro nastavení šetření pro pilotní projekt. Analýza výstupů ze vstupního a výstupního šetření – závěry. Výpomoc MČ během pilotního projektu podle potřeby.</w:t>
      </w:r>
    </w:p>
    <w:p w:rsidR="00B83B05" w:rsidRPr="00D52CA2" w:rsidRDefault="00B83B05" w:rsidP="00B83B05">
      <w:pPr>
        <w:numPr>
          <w:ilvl w:val="0"/>
          <w:numId w:val="2"/>
        </w:numPr>
        <w:spacing w:after="0"/>
        <w:rPr>
          <w:rFonts w:ascii="UnitPro" w:eastAsia="Times New Roman" w:hAnsi="UnitPro" w:cs="UnitPro"/>
        </w:rPr>
      </w:pPr>
      <w:r w:rsidRPr="00D52CA2">
        <w:rPr>
          <w:rFonts w:ascii="UnitPro" w:eastAsia="UnitPro-Light" w:hAnsi="UnitPro" w:cs="UnitPro"/>
        </w:rPr>
        <w:t xml:space="preserve">Koordinátor výzkumů a práce s daty – evidence průzkumů a koordinaci sběru dat pro pilotní programu – vstupní a výstupní šetření, rozhovory s MČ na začátku (zkušenost s </w:t>
      </w:r>
      <w:r w:rsidRPr="00D52CA2">
        <w:rPr>
          <w:rFonts w:ascii="UnitPro" w:eastAsia="UnitPro-Light" w:hAnsi="UnitPro" w:cs="UnitPro"/>
        </w:rPr>
        <w:lastRenderedPageBreak/>
        <w:t xml:space="preserve">participací, průběh projektů. Výpomoc pro koordinátory na MČ – bude vědět, jaká jsou k dispozici data, sdílení know-how. </w:t>
      </w:r>
    </w:p>
    <w:p w:rsidR="00B83B05" w:rsidRPr="00D52CA2" w:rsidRDefault="00B83B05" w:rsidP="00B83B05">
      <w:pPr>
        <w:numPr>
          <w:ilvl w:val="0"/>
          <w:numId w:val="2"/>
        </w:numPr>
        <w:spacing w:after="0"/>
        <w:rPr>
          <w:rFonts w:ascii="UnitPro" w:eastAsia="Times New Roman" w:hAnsi="UnitPro" w:cs="UnitPro"/>
        </w:rPr>
      </w:pPr>
      <w:r w:rsidRPr="00D52CA2">
        <w:rPr>
          <w:rFonts w:ascii="UnitPro" w:eastAsia="UnitPro-Light" w:hAnsi="UnitPro" w:cs="UnitPro"/>
        </w:rPr>
        <w:t>Expert na digitální nástroje v participaci – konzultant pro MČ na téma využití digitálních nástrojů.</w:t>
      </w:r>
    </w:p>
    <w:p w:rsidR="00B83B05" w:rsidRPr="00D52CA2" w:rsidRDefault="00B83B05" w:rsidP="00B83B05">
      <w:pPr>
        <w:numPr>
          <w:ilvl w:val="0"/>
          <w:numId w:val="2"/>
        </w:numPr>
        <w:spacing w:after="0"/>
        <w:ind w:left="714" w:hanging="357"/>
        <w:rPr>
          <w:rFonts w:ascii="UnitPro" w:eastAsia="Times New Roman" w:hAnsi="UnitPro" w:cs="UnitPro"/>
        </w:rPr>
      </w:pPr>
      <w:r w:rsidRPr="00D52CA2">
        <w:rPr>
          <w:rFonts w:ascii="UnitPro" w:eastAsia="UnitPro-Light" w:hAnsi="UnitPro" w:cs="UnitPro"/>
        </w:rPr>
        <w:t xml:space="preserve">Administrativní podpora – každodenní administrativní podpora pro projekt, komunikace </w:t>
      </w:r>
      <w:r w:rsidR="00D3579B">
        <w:rPr>
          <w:rFonts w:ascii="UnitPro" w:eastAsia="UnitPro-Light" w:hAnsi="UnitPro" w:cs="UnitPro"/>
        </w:rPr>
        <w:br/>
      </w:r>
      <w:r w:rsidRPr="00D52CA2">
        <w:rPr>
          <w:rFonts w:ascii="UnitPro" w:eastAsia="UnitPro-Light" w:hAnsi="UnitPro" w:cs="UnitPro"/>
        </w:rPr>
        <w:t>s MČ a s IPR. Součástí bude i svolávání ad-hoc schůzek s MČ.</w:t>
      </w:r>
    </w:p>
    <w:p w:rsidR="00B83B05" w:rsidRPr="00D52CA2" w:rsidRDefault="00B83B05" w:rsidP="00B83B05">
      <w:pPr>
        <w:ind w:left="714" w:hanging="357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 xml:space="preserve">7) </w:t>
      </w:r>
      <w:r w:rsidRPr="00D52CA2">
        <w:rPr>
          <w:rFonts w:ascii="UnitPro" w:eastAsia="UnitPro-Light" w:hAnsi="UnitPro" w:cs="UnitPro"/>
        </w:rPr>
        <w:tab/>
      </w:r>
      <w:proofErr w:type="gramStart"/>
      <w:r w:rsidRPr="00D52CA2">
        <w:rPr>
          <w:rFonts w:ascii="UnitPro" w:eastAsia="UnitPro-Light" w:hAnsi="UnitPro" w:cs="UnitPro"/>
        </w:rPr>
        <w:t>Kronikář(</w:t>
      </w:r>
      <w:proofErr w:type="spellStart"/>
      <w:r w:rsidRPr="00D52CA2">
        <w:rPr>
          <w:rFonts w:ascii="UnitPro" w:eastAsia="UnitPro-Light" w:hAnsi="UnitPro" w:cs="UnitPro"/>
        </w:rPr>
        <w:t>ka</w:t>
      </w:r>
      <w:proofErr w:type="spellEnd"/>
      <w:proofErr w:type="gramEnd"/>
      <w:r w:rsidRPr="00D52CA2">
        <w:rPr>
          <w:rFonts w:ascii="UnitPro" w:eastAsia="UnitPro-Light" w:hAnsi="UnitPro" w:cs="UnitPro"/>
        </w:rPr>
        <w:t>)/archivář(</w:t>
      </w:r>
      <w:proofErr w:type="spellStart"/>
      <w:r w:rsidRPr="00D52CA2">
        <w:rPr>
          <w:rFonts w:ascii="UnitPro" w:eastAsia="UnitPro-Light" w:hAnsi="UnitPro" w:cs="UnitPro"/>
        </w:rPr>
        <w:t>ka</w:t>
      </w:r>
      <w:proofErr w:type="spellEnd"/>
      <w:r w:rsidRPr="00D52CA2">
        <w:rPr>
          <w:rFonts w:ascii="UnitPro" w:eastAsia="UnitPro-Light" w:hAnsi="UnitPro" w:cs="UnitPro"/>
        </w:rPr>
        <w:t>) – uchovávání dokumentů důležitých pro pilotní program, včetně výstupů ze šetření a rozhovorů s MČ.</w:t>
      </w:r>
    </w:p>
    <w:p w:rsidR="00B83B05" w:rsidRPr="00D52CA2" w:rsidRDefault="00B83B05" w:rsidP="00B83B05">
      <w:pPr>
        <w:spacing w:line="252" w:lineRule="auto"/>
        <w:rPr>
          <w:rFonts w:ascii="UnitPro" w:hAnsi="UnitPro" w:cs="UnitPro"/>
        </w:rPr>
      </w:pPr>
    </w:p>
    <w:p w:rsidR="00B83B05" w:rsidRPr="00D52CA2" w:rsidRDefault="00B83B05" w:rsidP="00B83B05">
      <w:pPr>
        <w:spacing w:line="252" w:lineRule="auto"/>
        <w:jc w:val="both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 xml:space="preserve">Dodavatel bude mít zároveň na starosti pravidelný monitoring programu. Dodavatel připraví krátký report o jednotkách stran A4, kde se zaměří na to, jak jsou naplňovány cíle programu, jestli pilotní program sleduje cíle, které byly stanoveny na začátku a blíží se jejich naplňování, kde vznikají překážky, kdy vznikají rizika a jak se k tomu IPR Praha, MČ, MHMP staví. Jakým způsobem </w:t>
      </w:r>
      <w:r w:rsidR="00D3579B">
        <w:rPr>
          <w:rFonts w:ascii="UnitPro" w:eastAsia="UnitPro-Light" w:hAnsi="UnitPro" w:cs="UnitPro"/>
        </w:rPr>
        <w:br/>
      </w:r>
      <w:r w:rsidRPr="00D52CA2">
        <w:rPr>
          <w:rFonts w:ascii="UnitPro" w:eastAsia="UnitPro-Light" w:hAnsi="UnitPro" w:cs="UnitPro"/>
        </w:rPr>
        <w:t>by se měla rizika ošetřit a jak případně flexibilně přenastavit fungování programu (komunikace, koordinace, spolupráce), aby se riziko minimalizovalo.</w:t>
      </w:r>
    </w:p>
    <w:p w:rsidR="00B83B05" w:rsidRPr="00D52CA2" w:rsidRDefault="00B83B05" w:rsidP="00B83B05">
      <w:pPr>
        <w:jc w:val="both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>Dodavatel bude čerpat ze zápisů a záznamů z jednání, jejichž výrobu, archivaci a administraci bude mít v celém průběhu pilotního programu na starosti. Ze zápisů a záznamů bude poté vyhodnocovat plnění cílů a vyhodnocování rizik programu.</w:t>
      </w:r>
    </w:p>
    <w:p w:rsidR="00B83B05" w:rsidRPr="00D52CA2" w:rsidRDefault="00B83B05" w:rsidP="00B83B05">
      <w:pPr>
        <w:jc w:val="both"/>
        <w:rPr>
          <w:rFonts w:ascii="UnitPro" w:eastAsia="UnitPro-Light" w:hAnsi="UnitPro" w:cs="UnitPro"/>
        </w:rPr>
      </w:pPr>
      <w:r w:rsidRPr="00D52CA2">
        <w:rPr>
          <w:rFonts w:ascii="UnitPro" w:eastAsia="UnitPro-Light" w:hAnsi="UnitPro" w:cs="UnitPro"/>
        </w:rPr>
        <w:t xml:space="preserve">Zároveň bude spolupracovat s IPR Praha a externím evaluačním týmem na průběžném, případně pravidelném monitoringu stanovených ukazatelů, jako například komunikace a koordinace projektů uvnitř úřadů, mezi úřady a mezi úřady a veřejností. </w:t>
      </w:r>
    </w:p>
    <w:p w:rsidR="00B83B05" w:rsidRPr="00D52CA2" w:rsidRDefault="00B83B05" w:rsidP="00B83B05">
      <w:pPr>
        <w:spacing w:line="310" w:lineRule="auto"/>
        <w:rPr>
          <w:rFonts w:ascii="UnitPro" w:eastAsia="Times New Roman" w:hAnsi="UnitPro" w:cs="UnitPro"/>
        </w:rPr>
      </w:pPr>
    </w:p>
    <w:p w:rsidR="00476731" w:rsidRPr="00D52CA2" w:rsidRDefault="00476731">
      <w:pPr>
        <w:rPr>
          <w:rFonts w:ascii="UnitPro" w:hAnsi="UnitPro" w:cs="UnitPro"/>
        </w:rPr>
      </w:pPr>
    </w:p>
    <w:sectPr w:rsidR="00476731" w:rsidRPr="00D5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Bold">
    <w:panose1 w:val="020B08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6B3A"/>
    <w:multiLevelType w:val="multilevel"/>
    <w:tmpl w:val="D00AA1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7B3F"/>
    <w:multiLevelType w:val="multilevel"/>
    <w:tmpl w:val="EA7073D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05"/>
    <w:rsid w:val="0004519B"/>
    <w:rsid w:val="00476731"/>
    <w:rsid w:val="00655158"/>
    <w:rsid w:val="00833F0D"/>
    <w:rsid w:val="00B83B05"/>
    <w:rsid w:val="00D3579B"/>
    <w:rsid w:val="00D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6355"/>
  <w15:chartTrackingRefBased/>
  <w15:docId w15:val="{A4FC6CC7-24F3-4756-8043-5320F00D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B05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Fasurová Tereza Mgr. (SVV/PAR)</dc:creator>
  <cp:keywords/>
  <dc:description/>
  <cp:lastModifiedBy>Raffayová Markéta (SPR/VEZ)</cp:lastModifiedBy>
  <cp:revision>6</cp:revision>
  <dcterms:created xsi:type="dcterms:W3CDTF">2020-04-23T15:28:00Z</dcterms:created>
  <dcterms:modified xsi:type="dcterms:W3CDTF">2020-10-02T08:34:00Z</dcterms:modified>
</cp:coreProperties>
</file>