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Calibri" w:cstheme="minorHAnsi"/>
          <w:b/>
          <w:b/>
          <w:sz w:val="22"/>
        </w:rPr>
      </w:pPr>
      <w:r>
        <w:rPr>
          <w:rFonts w:cs="Calibri" w:cstheme="minorHAnsi"/>
          <w:b/>
          <w:sz w:val="22"/>
        </w:rPr>
        <w:t>K U P N Í    S M L O U V A</w:t>
      </w:r>
    </w:p>
    <w:p>
      <w:pPr>
        <w:pStyle w:val="Normal"/>
        <w:spacing w:lineRule="auto" w:line="240"/>
        <w:jc w:val="center"/>
        <w:rPr>
          <w:rFonts w:cs="Calibri" w:cstheme="minorHAnsi"/>
          <w:sz w:val="22"/>
        </w:rPr>
      </w:pPr>
      <w:r>
        <w:rPr>
          <w:rFonts w:cs="Calibri" w:cstheme="minorHAnsi"/>
          <w:sz w:val="22"/>
        </w:rPr>
        <w:t>uzavřená dle § 2079 a násl. z. č. 89/2012 Sb., občanský zákoník, ve znění pozdějších předpisů („</w:t>
      </w:r>
      <w:r>
        <w:rPr>
          <w:rFonts w:cs="Calibri" w:cstheme="minorHAnsi"/>
          <w:b/>
          <w:sz w:val="22"/>
        </w:rPr>
        <w:t>NOZ</w:t>
      </w:r>
      <w:r>
        <w:rPr>
          <w:rFonts w:cs="Calibri" w:cstheme="minorHAnsi"/>
          <w:sz w:val="22"/>
        </w:rPr>
        <w:t>“), mezi</w:t>
      </w:r>
    </w:p>
    <w:p>
      <w:pPr>
        <w:pStyle w:val="Normal"/>
        <w:spacing w:lineRule="auto" w:line="240"/>
        <w:jc w:val="both"/>
        <w:rPr>
          <w:rFonts w:cs="Calibri" w:cstheme="minorHAnsi"/>
          <w:sz w:val="22"/>
        </w:rPr>
      </w:pPr>
      <w:r>
        <w:rPr>
          <w:rFonts w:cs="Calibri" w:cstheme="minorHAnsi"/>
          <w:sz w:val="22"/>
        </w:rPr>
        <w:t xml:space="preserve"> </w:t>
      </w:r>
    </w:p>
    <w:p>
      <w:pPr>
        <w:pStyle w:val="Normal"/>
        <w:spacing w:lineRule="auto" w:line="240"/>
        <w:rPr>
          <w:rFonts w:eastAsia="Times New Roman" w:cs="Calibri"/>
          <w:sz w:val="22"/>
          <w:lang w:eastAsia="cs-CZ"/>
        </w:rPr>
      </w:pPr>
      <w:r>
        <w:rPr>
          <w:rFonts w:eastAsia="Times New Roman" w:cs="Calibri"/>
          <w:b/>
          <w:bCs/>
          <w:sz w:val="22"/>
          <w:lang w:eastAsia="cs-CZ"/>
        </w:rPr>
        <w:t>MEVA-TEC, s.r.o..</w:t>
      </w:r>
    </w:p>
    <w:p>
      <w:pPr>
        <w:pStyle w:val="Normal"/>
        <w:spacing w:lineRule="auto" w:line="240"/>
        <w:rPr>
          <w:rFonts w:eastAsia="Times New Roman" w:cs="Calibri"/>
          <w:sz w:val="22"/>
          <w:lang w:eastAsia="cs-CZ"/>
        </w:rPr>
      </w:pPr>
      <w:r>
        <w:rPr>
          <w:rFonts w:eastAsia="Times New Roman" w:cs="Calibri"/>
          <w:sz w:val="22"/>
          <w:lang w:eastAsia="cs-CZ"/>
        </w:rPr>
        <w:t>se sídlem Roudnice nad Labem, Chelčického 1228, Česká republika</w:t>
      </w:r>
    </w:p>
    <w:p>
      <w:pPr>
        <w:pStyle w:val="Normal"/>
        <w:spacing w:lineRule="auto" w:line="240"/>
        <w:rPr>
          <w:rFonts w:eastAsia="Times New Roman" w:cs="Calibri"/>
          <w:sz w:val="22"/>
          <w:lang w:eastAsia="cs-CZ"/>
        </w:rPr>
      </w:pPr>
      <w:r>
        <w:rPr>
          <w:rFonts w:eastAsia="Times New Roman" w:cs="Calibri"/>
          <w:sz w:val="22"/>
          <w:lang w:eastAsia="cs-CZ"/>
        </w:rPr>
        <w:t>IČ: </w:t>
      </w:r>
      <w:r>
        <w:rPr>
          <w:rFonts w:eastAsia="Times New Roman" w:cs="Calibri"/>
          <w:bCs/>
          <w:sz w:val="22"/>
          <w:lang w:eastAsia="cs-CZ"/>
        </w:rPr>
        <w:t>62742051</w:t>
      </w:r>
    </w:p>
    <w:p>
      <w:pPr>
        <w:pStyle w:val="Normal"/>
        <w:spacing w:lineRule="auto" w:line="240"/>
        <w:rPr>
          <w:rFonts w:eastAsia="Times New Roman" w:cs="Calibri"/>
          <w:sz w:val="22"/>
          <w:lang w:eastAsia="cs-CZ"/>
        </w:rPr>
      </w:pPr>
      <w:r>
        <w:rPr>
          <w:rFonts w:eastAsia="Times New Roman" w:cs="Calibri"/>
          <w:sz w:val="22"/>
          <w:lang w:eastAsia="cs-CZ"/>
        </w:rPr>
        <w:t>zapsaná v obchodním rejstříku vedeném Krajským soudem v Ústí n/L, odd.C, vložka 8830</w:t>
      </w:r>
    </w:p>
    <w:p>
      <w:pPr>
        <w:pStyle w:val="Normal"/>
        <w:spacing w:lineRule="auto" w:line="240"/>
        <w:rPr>
          <w:rFonts w:eastAsia="Times New Roman" w:cs="Calibri"/>
          <w:sz w:val="22"/>
          <w:lang w:eastAsia="cs-CZ"/>
        </w:rPr>
      </w:pPr>
      <w:r>
        <w:rPr>
          <w:rFonts w:eastAsia="Times New Roman" w:cs="Calibri"/>
          <w:sz w:val="22"/>
          <w:lang w:eastAsia="cs-CZ"/>
        </w:rPr>
        <w:t xml:space="preserve">zastoupena panem Josefem Zimákem, členem představenstva </w:t>
      </w:r>
    </w:p>
    <w:p>
      <w:pPr>
        <w:pStyle w:val="Normal"/>
        <w:spacing w:lineRule="auto" w:line="240"/>
        <w:rPr>
          <w:rFonts w:cs="Calibri" w:cstheme="minorHAnsi"/>
          <w:sz w:val="22"/>
        </w:rPr>
      </w:pPr>
      <w:r>
        <w:rPr>
          <w:rFonts w:cs="Calibri" w:cstheme="minorHAnsi"/>
          <w:sz w:val="22"/>
        </w:rPr>
        <w:t>(„</w:t>
      </w:r>
      <w:r>
        <w:rPr>
          <w:rFonts w:cs="Calibri" w:cstheme="minorHAnsi"/>
          <w:b/>
          <w:sz w:val="22"/>
        </w:rPr>
        <w:t>Prodávající</w:t>
      </w:r>
      <w:r>
        <w:rPr>
          <w:rFonts w:cs="Calibri" w:cstheme="minorHAnsi"/>
          <w:sz w:val="22"/>
        </w:rPr>
        <w:t>“)</w:t>
      </w:r>
    </w:p>
    <w:p>
      <w:pPr>
        <w:pStyle w:val="Normal"/>
        <w:spacing w:lineRule="auto" w:line="240"/>
        <w:rPr>
          <w:rFonts w:cs="Calibri" w:cstheme="minorHAnsi"/>
          <w:sz w:val="22"/>
        </w:rPr>
      </w:pPr>
      <w:r>
        <w:rPr>
          <w:rFonts w:cs="Calibri" w:cstheme="minorHAnsi"/>
          <w:sz w:val="22"/>
        </w:rPr>
        <w:t xml:space="preserve"> </w:t>
      </w:r>
    </w:p>
    <w:p>
      <w:pPr>
        <w:pStyle w:val="Normal"/>
        <w:spacing w:lineRule="auto" w:line="240"/>
        <w:rPr>
          <w:rFonts w:cs="Calibri" w:cstheme="minorHAnsi"/>
          <w:sz w:val="22"/>
        </w:rPr>
      </w:pPr>
      <w:r>
        <w:rPr>
          <w:rFonts w:cs="Calibri" w:cstheme="minorHAnsi"/>
          <w:sz w:val="22"/>
        </w:rPr>
        <w:t>a</w:t>
      </w:r>
    </w:p>
    <w:p>
      <w:pPr>
        <w:pStyle w:val="Normal"/>
        <w:spacing w:lineRule="auto" w:line="240"/>
        <w:rPr>
          <w:rFonts w:cs="Calibri" w:cstheme="minorHAnsi"/>
          <w:sz w:val="22"/>
        </w:rPr>
      </w:pPr>
      <w:r>
        <w:rPr>
          <w:rFonts w:cs="Calibri" w:cstheme="minorHAnsi"/>
          <w:sz w:val="22"/>
        </w:rPr>
        <w:t xml:space="preserve"> </w:t>
      </w:r>
    </w:p>
    <w:p>
      <w:pPr>
        <w:pStyle w:val="Normal"/>
        <w:spacing w:lineRule="auto" w:line="240"/>
        <w:rPr>
          <w:rFonts w:cs="Calibri" w:cstheme="minorHAnsi"/>
          <w:b/>
          <w:b/>
          <w:sz w:val="22"/>
        </w:rPr>
      </w:pPr>
      <w:r>
        <w:rPr>
          <w:rFonts w:cs="Calibri" w:cstheme="minorHAnsi"/>
          <w:b/>
          <w:sz w:val="22"/>
        </w:rPr>
        <w:t>Služby města Vrchlabí, p.o.</w:t>
      </w:r>
    </w:p>
    <w:p>
      <w:pPr>
        <w:pStyle w:val="Normal"/>
        <w:spacing w:lineRule="auto" w:line="240"/>
        <w:rPr>
          <w:rFonts w:cs="Calibri" w:cstheme="minorHAnsi"/>
          <w:sz w:val="22"/>
        </w:rPr>
      </w:pPr>
      <w:r>
        <w:rPr>
          <w:rFonts w:cs="Calibri" w:cstheme="minorHAnsi"/>
          <w:sz w:val="22"/>
        </w:rPr>
        <w:t>se sídlem</w:t>
      </w:r>
      <w:r>
        <w:rPr>
          <w:sz w:val="22"/>
        </w:rPr>
        <w:t xml:space="preserve"> Vrchlabí, Jihoslovanská 441,</w:t>
      </w:r>
      <w:r>
        <w:rPr>
          <w:rFonts w:cs="Calibri" w:cstheme="minorHAnsi"/>
          <w:sz w:val="22"/>
        </w:rPr>
        <w:t xml:space="preserve"> PSČ 543 01, Česká republika</w:t>
      </w:r>
    </w:p>
    <w:p>
      <w:pPr>
        <w:pStyle w:val="Normal"/>
        <w:spacing w:lineRule="auto" w:line="240"/>
        <w:rPr>
          <w:rFonts w:cs="Calibri" w:cstheme="minorHAnsi"/>
          <w:sz w:val="22"/>
        </w:rPr>
      </w:pPr>
      <w:r>
        <w:rPr>
          <w:rFonts w:cs="Calibri" w:cstheme="minorHAnsi"/>
          <w:sz w:val="22"/>
        </w:rPr>
        <w:t>IČ: 71219803</w:t>
      </w:r>
    </w:p>
    <w:p>
      <w:pPr>
        <w:pStyle w:val="Normal"/>
        <w:spacing w:lineRule="auto" w:line="240"/>
        <w:rPr>
          <w:rFonts w:cs="Calibri" w:cstheme="minorHAnsi"/>
          <w:sz w:val="22"/>
        </w:rPr>
      </w:pPr>
      <w:r>
        <w:rPr>
          <w:rFonts w:cs="Calibri" w:cstheme="minorHAnsi"/>
          <w:sz w:val="22"/>
        </w:rPr>
        <w:t>zapsaná v obchodním rejstříku vedeném Krajským soudem v Hradci Králové, oddíl Pr, vložka 1062</w:t>
      </w:r>
    </w:p>
    <w:p>
      <w:pPr>
        <w:pStyle w:val="Normal"/>
        <w:spacing w:lineRule="auto" w:line="240"/>
        <w:rPr>
          <w:rFonts w:cs="Calibri" w:cstheme="minorHAnsi"/>
          <w:sz w:val="22"/>
        </w:rPr>
      </w:pPr>
      <w:r>
        <w:rPr>
          <w:rFonts w:eastAsia="Times New Roman" w:cs="Calibri"/>
          <w:sz w:val="22"/>
          <w:lang w:eastAsia="cs-CZ"/>
        </w:rPr>
        <w:t xml:space="preserve">zastoupená Bc. Jiřím Prokopcem, ředitelem organizace </w:t>
      </w:r>
    </w:p>
    <w:p>
      <w:pPr>
        <w:pStyle w:val="Normal"/>
        <w:spacing w:lineRule="auto" w:line="240"/>
        <w:rPr>
          <w:rFonts w:cs="Calibri" w:cstheme="minorHAnsi"/>
          <w:sz w:val="22"/>
        </w:rPr>
      </w:pPr>
      <w:r>
        <w:rPr>
          <w:rFonts w:cs="Calibri" w:cstheme="minorHAnsi"/>
          <w:sz w:val="22"/>
        </w:rPr>
        <w:t>(„</w:t>
      </w:r>
      <w:r>
        <w:rPr>
          <w:rFonts w:cs="Calibri" w:cstheme="minorHAnsi"/>
          <w:b/>
          <w:sz w:val="22"/>
        </w:rPr>
        <w:t>Kupující</w:t>
      </w:r>
      <w:r>
        <w:rPr>
          <w:rFonts w:cs="Calibri" w:cstheme="minorHAnsi"/>
          <w:sz w:val="22"/>
        </w:rPr>
        <w:t>“)</w:t>
      </w:r>
    </w:p>
    <w:p>
      <w:pPr>
        <w:pStyle w:val="Normal"/>
        <w:spacing w:lineRule="auto" w:line="240"/>
        <w:jc w:val="both"/>
        <w:rPr>
          <w:rFonts w:cs="Calibri" w:cstheme="minorHAnsi"/>
          <w:sz w:val="22"/>
        </w:rPr>
      </w:pPr>
      <w:r>
        <w:rPr>
          <w:rFonts w:cs="Calibri" w:cstheme="minorHAnsi"/>
          <w:sz w:val="22"/>
        </w:rPr>
        <w:t xml:space="preserve">  </w:t>
      </w:r>
    </w:p>
    <w:p>
      <w:pPr>
        <w:pStyle w:val="Normal"/>
        <w:spacing w:lineRule="auto" w:line="240"/>
        <w:jc w:val="both"/>
        <w:rPr>
          <w:rFonts w:cs="Calibri" w:cstheme="minorHAnsi"/>
          <w:sz w:val="22"/>
        </w:rPr>
      </w:pPr>
      <w:r>
        <w:rPr>
          <w:rFonts w:cs="Calibri" w:cstheme="minorHAnsi"/>
          <w:sz w:val="22"/>
        </w:rPr>
        <w:t>níže uvedeného dne, měsíce a roku a na níže uvedeném místě s obsahem a přílohou uvedenou dále v tomto dokumentu.</w:t>
      </w:r>
    </w:p>
    <w:p>
      <w:pPr>
        <w:pStyle w:val="Normal"/>
        <w:spacing w:lineRule="auto" w:line="240"/>
        <w:jc w:val="both"/>
        <w:rPr>
          <w:rFonts w:cs="Calibri" w:cstheme="minorHAnsi"/>
          <w:sz w:val="22"/>
        </w:rPr>
      </w:pPr>
      <w:r>
        <w:rPr>
          <w:rFonts w:cs="Calibri" w:cstheme="minorHAnsi"/>
          <w:sz w:val="22"/>
        </w:rPr>
        <w:t xml:space="preserve"> </w:t>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Úvodní ustanovení</w:t>
      </w:r>
      <w:r>
        <w:rPr>
          <w:rFonts w:cs="Calibri" w:cstheme="minorHAnsi"/>
          <w:sz w:val="22"/>
        </w:rPr>
        <w:t>. Kupující má zájem koupit od Prodávajícího zboží – kovové nádoby 110 l, specifikované níže, a Prodávající má zájem toto zboží Kupujícímu prodat za níže uvedených podmínek.</w:t>
      </w:r>
    </w:p>
    <w:p>
      <w:pPr>
        <w:pStyle w:val="ListParagraph"/>
        <w:spacing w:lineRule="auto" w:line="240"/>
        <w:ind w:left="0" w:hanging="0"/>
        <w:jc w:val="bot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Kontejnery</w:t>
      </w:r>
      <w:r>
        <w:rPr>
          <w:rFonts w:cs="Calibri" w:cstheme="minorHAnsi"/>
          <w:sz w:val="22"/>
        </w:rPr>
        <w:t xml:space="preserve">. Prodávající prohlašuje, že je dodavatelem kovových popelnic o síle materiálu 1mm, z pozinkovaného plechu 200g/m², výrobního typu 1006. Na každém kusu bude provedeno ražení, které bude obsahovat čtvrtletí/rok výroby a označení - VRCHLABÍ. Kupující prohlašuje, že se před podpisem této smlouvy důkladně seznámil s vzorkem předmětné nádoby a mj. jsou mu známy jeho vlastnosti, provedení, standardní jakost, specifikace a účel užití, přičemž tato nádoba odpovídá jeho požadavkům („Popelnice“). </w:t>
      </w:r>
    </w:p>
    <w:p>
      <w:pPr>
        <w:pStyle w:val="ListParagraph"/>
        <w:spacing w:lineRule="auto" w:line="240"/>
        <w:ind w:left="0" w:hanging="0"/>
        <w:jc w:val="bot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Závazky stran</w:t>
      </w:r>
      <w:r>
        <w:rPr>
          <w:rFonts w:cs="Calibri" w:cstheme="minorHAnsi"/>
          <w:sz w:val="22"/>
        </w:rPr>
        <w:t xml:space="preserve">. Prodávající se zavazuje, že Kupujícímu dodá do třiceti dnů od podepsání Kupní smlouvy, dle odst. 4 této smlouvy  věc – Popelnice, které jsou předmětem koupě (viz. odst. 2 této smlouvy), a umožní mu nabýt vlastnické právo k nim, a Kupující se zavazuje, že Popelnice převezme a zaplatí Prodávajícímu kupní cenu. </w:t>
      </w:r>
    </w:p>
    <w:p>
      <w:pPr>
        <w:pStyle w:val="ListParagraph"/>
        <w:spacing w:lineRule="auto" w:line="240"/>
        <w:ind w:left="0" w:hanging="0"/>
        <w:jc w:val="bot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Kupní cena a množství</w:t>
      </w:r>
      <w:r>
        <w:rPr>
          <w:rFonts w:cs="Calibri" w:cstheme="minorHAnsi"/>
          <w:sz w:val="22"/>
        </w:rPr>
        <w:t>. Kupní cena činí 630,- Kč bez DPH za jeden kus Popelnice („</w:t>
      </w:r>
      <w:r>
        <w:rPr>
          <w:rFonts w:cs="Calibri" w:cstheme="minorHAnsi"/>
          <w:b/>
          <w:sz w:val="22"/>
        </w:rPr>
        <w:t>Kupní cena</w:t>
      </w:r>
      <w:r>
        <w:rPr>
          <w:rFonts w:cs="Calibri" w:cstheme="minorHAnsi"/>
          <w:sz w:val="22"/>
        </w:rPr>
        <w:t>“). Prodávající dodá Kupujícímu celkem 463 kusů. Dodávka bude uskutečněna jedním kamionem, za celkovou smluvní cenu 6.500,- Kč bez DPH. Celková Kupní cena za dodávku všech Popelnic, včetně dopravy, dle této smlouvy činí 298.190,- Kč bez DPH. Součástí dodávky Popelnic jsou také doklady k převzetí.</w:t>
      </w:r>
    </w:p>
    <w:p>
      <w:pPr>
        <w:pStyle w:val="ListParagraph"/>
        <w:spacing w:lineRule="auto" w:line="240"/>
        <w:ind w:left="0" w:hanging="0"/>
        <w:jc w:val="bot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Platební podmínky</w:t>
      </w:r>
      <w:r>
        <w:rPr>
          <w:rFonts w:cs="Calibri" w:cstheme="minorHAnsi"/>
          <w:sz w:val="22"/>
        </w:rPr>
        <w:t xml:space="preserve">. Kupní cena bude Kupujícím uhrazena Prodávajícímu na základě jednoho daňového dokladu (faktury) se splatností 30 dní od vystavení faktury Prodávajícím. </w:t>
      </w:r>
    </w:p>
    <w:p>
      <w:pPr>
        <w:pStyle w:val="ListParagrap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Dodací podmínky</w:t>
      </w:r>
      <w:r>
        <w:rPr>
          <w:rFonts w:cs="Calibri" w:cstheme="minorHAnsi"/>
          <w:sz w:val="22"/>
        </w:rPr>
        <w:t xml:space="preserve">. Popelnice jsou dodávány Kupujícímu za podmínek, dle Nabídky N2001793, MEVA-TEC s r.o., Roudnice n/L, Chelčického 1228, 413 01, Česká republika. Nebezpečí škody přechází na Kupujícího okamžikem převzetí Popelnic dopravcem, pověřeným k tomu Kupujícím. O převzetí zboží bude stranami sepsán a podepsán </w:t>
      </w:r>
      <w:r>
        <w:rPr>
          <w:rFonts w:cs="Calibri" w:cstheme="minorHAnsi"/>
          <w:b/>
          <w:sz w:val="22"/>
        </w:rPr>
        <w:t>předávací protokol nebo dodací list</w:t>
      </w:r>
      <w:r>
        <w:rPr>
          <w:rFonts w:cs="Calibri" w:cstheme="minorHAnsi"/>
          <w:sz w:val="22"/>
        </w:rPr>
        <w:t>. Vlastnické právo k dodávce Popelnic přechází na Kupujícího až po uhrazení celkové Kupní ceny.</w:t>
      </w:r>
    </w:p>
    <w:p>
      <w:pPr>
        <w:pStyle w:val="ListParagraph"/>
        <w:spacing w:lineRule="auto" w:line="240"/>
        <w:ind w:left="0" w:hanging="0"/>
        <w:jc w:val="bot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Prodlení</w:t>
      </w:r>
      <w:r>
        <w:rPr>
          <w:rFonts w:cs="Calibri" w:cstheme="minorHAnsi"/>
          <w:sz w:val="22"/>
        </w:rPr>
        <w:t>. V případě prodlení Prodávajícího s dodáním Popelnic je Kupující oprávněn požadovat uhrazení smluvní pokuty až do výše 0,5% z Kupní ceny z části Popelnic, s jejichž dodáním je Prodávající v prodlení, a to za každý den prodlení. Uplatněním nároku na úhradu smluvní pokuty není dotčeno právo Kupujícího na odstoupení od smlouvy. V případě prodlení Kupujícího s úhradou Kupní ceny Popelnic je Kupující povinen uhradit Prodávajícímu smluvní úroky z prodlení ve výši 0,02% z Kupní ceny odpovídající části Popelnic, s jejímž uhrazením je Kupující v prodlení a Prodávající je v takovém případě rovněž oprávněn od této smlouvy písemně odstoupit. Platně odstoupit od této smlouvy mohou smluvní strany z důvodu v tomto ustanovení smlouvy uvedených jen v případě, kdy odstupující smluvní strana druhou smluvní stranu písemně upozornila na porušení její smluvní povinnosti a poskytla jí dodatečnou přiměřenou lhůtu k splnění závazku (dodatečná lhůta k plnění nesmí být kratší než 30 dní).  Při ukončení této smlouvy odstoupením od smlouvy si smluvní strany nevracejí plnění, která si do doby ukončení této smlouvy na jejím základě vzájemně řádně poskytly.</w:t>
      </w:r>
    </w:p>
    <w:p>
      <w:pPr>
        <w:pStyle w:val="ListParagraph"/>
        <w:spacing w:lineRule="auto" w:line="240"/>
        <w:ind w:left="0" w:hanging="0"/>
        <w:jc w:val="both"/>
        <w:rPr>
          <w:rFonts w:cs="Calibri" w:cstheme="minorHAnsi"/>
          <w:sz w:val="22"/>
        </w:rPr>
      </w:pPr>
      <w:r>
        <w:rPr>
          <w:rFonts w:cs="Calibri" w:cstheme="minorHAnsi"/>
          <w:sz w:val="22"/>
        </w:rPr>
        <w:t xml:space="preserve">  </w:t>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Záruka</w:t>
      </w:r>
      <w:r>
        <w:rPr>
          <w:rFonts w:cs="Calibri" w:cstheme="minorHAnsi"/>
          <w:sz w:val="22"/>
        </w:rPr>
        <w:t xml:space="preserve">. Prodávající poskytuje Kupujícímu záruku za jakost Popelnic a jeho smluvní provedení, přičemž záruční doba činí 6 měsíců a počíná běžet dnem převzetí Popelnic Kupujícím nebo pověřeným dopravcem, podle toho, co nastane dřív. Prodávající se zavazuje, že Popelnice budou po dobu záruky způsobilé k použití pro obvyklý účel, tj. k odkládání směsného komunálního odpadu. Záruka se nevztahuje na vady způsobené vnější událostí, mj. vandalismus, nebo na vady způsobené užíváním Popelnic v rozporu s návodem na jeho užívání, </w:t>
      </w:r>
      <w:r>
        <w:rPr>
          <w:rFonts w:eastAsia="Times New Roman" w:cs="Calibri"/>
          <w:sz w:val="22"/>
          <w:lang w:eastAsia="cs-CZ"/>
        </w:rPr>
        <w:t>nevhodnou manipulací, nevhodnou sběrnou technikou nebo přetěžováním.</w:t>
      </w:r>
      <w:r>
        <w:rPr>
          <w:rFonts w:cs="Calibri" w:cstheme="minorHAnsi"/>
          <w:sz w:val="22"/>
        </w:rPr>
        <w:t xml:space="preserve"> V případě výskytu vady v průběhu záruční doby Kupující nejpozději do 10 dnů od jejího zjištění písemně (e-mail, pošta, fax) oznámí Prodávajícímu vadu včetně zvoleného nároku z vad dle odstavce 9 této smlouvy, přičemž v opačném případě nároky Kupujícího z příslušného zjištěného vadného plnění zanikají. </w:t>
      </w:r>
      <w:r>
        <w:rPr>
          <w:rFonts w:eastAsia="Times New Roman" w:cs="Calibri"/>
          <w:sz w:val="22"/>
          <w:lang w:eastAsia="cs-CZ"/>
        </w:rPr>
        <w:t xml:space="preserve">Jedná-li se o skrytou vadu, platí odchylně od § 2112 odst. 1 NOZ, že </w:t>
      </w:r>
      <w:r>
        <w:rPr>
          <w:rFonts w:cs="Calibri" w:cstheme="minorHAnsi"/>
          <w:sz w:val="22"/>
        </w:rPr>
        <w:t>nároky z vad Kupujícího zanikají,</w:t>
      </w:r>
      <w:r>
        <w:rPr>
          <w:rFonts w:eastAsia="Times New Roman" w:cs="Calibri"/>
          <w:sz w:val="22"/>
          <w:lang w:eastAsia="cs-CZ"/>
        </w:rPr>
        <w:t xml:space="preserve"> nebyla-li vada písemně oznámena do </w:t>
      </w:r>
      <w:r>
        <w:rPr>
          <w:rFonts w:cs="Calibri" w:cstheme="minorHAnsi"/>
          <w:sz w:val="22"/>
        </w:rPr>
        <w:t>10 dnů</w:t>
      </w:r>
      <w:r>
        <w:rPr>
          <w:rFonts w:eastAsia="Times New Roman" w:cs="Calibri"/>
          <w:sz w:val="22"/>
          <w:lang w:eastAsia="cs-CZ"/>
        </w:rPr>
        <w:t xml:space="preserve"> poté, co ji Kupující mohl při dostatečné péči zjistit, nejpozději však do konce záruční doby</w:t>
      </w:r>
      <w:r>
        <w:rPr>
          <w:rFonts w:cs="Calibri" w:cstheme="minorHAnsi"/>
          <w:sz w:val="22"/>
        </w:rPr>
        <w:t xml:space="preserve">. Účinky marného uplynutí lhůty sjednané v tomto odstavci smlouvy pro oznámení vady a pro uplatnění práva z vadného plnění nenastávají, je-li vada důsledkem skutečnosti, o které prodávající věděl nebo musel vědět. Důkazní břemeno pozdního uplatnění reklamace nese Prodávající.  </w:t>
      </w:r>
    </w:p>
    <w:p>
      <w:pPr>
        <w:pStyle w:val="ListParagraph"/>
        <w:spacing w:lineRule="auto" w:line="240"/>
        <w:ind w:left="0" w:hanging="0"/>
        <w:jc w:val="bot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Vady.</w:t>
      </w:r>
      <w:r>
        <w:rPr>
          <w:rFonts w:cs="Calibri" w:cstheme="minorHAnsi"/>
          <w:sz w:val="22"/>
        </w:rPr>
        <w:t xml:space="preserve"> Kupující prohlédne Popelnice nejpozději do 10 dnů od jejich převzetí a v té samé lhůtě písemně (e-mail, pošta, fax) oznámí Prodávajícímu případné vady včetně zvoleného nároku z vad dle tohoto odstavce smlouvy, přičemž v opačném případě se má za to, že příslušná dodávka Popelnic je bez vad, co do množství a zjevných vad. </w:t>
      </w:r>
      <w:r>
        <w:rPr>
          <w:rFonts w:eastAsia="Times New Roman" w:cs="Calibri"/>
          <w:sz w:val="22"/>
          <w:lang w:eastAsia="cs-CZ"/>
        </w:rPr>
        <w:t xml:space="preserve">Kupující je v případě vady Popelnic odchylně s ust. § 2106 – 2107 NOZ oprávněn požadovat odstranění vady opravou nebo výměnou poškozené Popelnice, v případně množstevní vady plnění dodáním chybějící Popelnice nebo může požadovat přiměřenou slevu z Kupní ceny, přičemž Kupujícím zvolené právo z vadného plnění může být na základě písemné dohody mezi Prodávajícím a Kupujícím změněno. Reklamace vad se nedotýká povinnosti Kupujícího zaplatit Kupní cenu či jakékoli platby dle této smlouvy v rozsahu řádného plnění. Neodstraní-li Prodávající reklamovanou vadu opravou nebo výměnou za novou Popelnici bez vady, ve lhůtě 30 dní od uplatnění reklamace, může Kupující požadovat na Prodávajícím přiměřenou slevu z kupní ceny reklamovaných Popelnic nebo odstoupit od smlouvy, co do části vadných Popelnic a požadovat vrácení celé kupní ceny reklamovaných Popelnic vč. DPH, a to v případě, že reklamovaná Popelnice je z důvodu vady nefunkční, tedy nemůže sloužit svému účelu, přičemž v takovém případě je Kupující povinen reklamovanou Popelnici Prodávajícímu bez zbytečného odkladu vrátit.   </w:t>
      </w:r>
    </w:p>
    <w:p>
      <w:pPr>
        <w:pStyle w:val="ListParagraph"/>
        <w:spacing w:lineRule="auto" w:line="240"/>
        <w:ind w:left="0" w:hanging="0"/>
        <w:jc w:val="both"/>
        <w:rPr>
          <w:rFonts w:cs="Calibri" w:cstheme="minorHAnsi"/>
          <w:sz w:val="22"/>
        </w:rPr>
      </w:pPr>
      <w:r>
        <w:rPr>
          <w:rFonts w:cs="Calibri" w:cstheme="minorHAnsi"/>
          <w:sz w:val="22"/>
        </w:rPr>
      </w:r>
    </w:p>
    <w:p>
      <w:pPr>
        <w:pStyle w:val="ListParagraph"/>
        <w:numPr>
          <w:ilvl w:val="0"/>
          <w:numId w:val="1"/>
        </w:numPr>
        <w:spacing w:lineRule="auto" w:line="240"/>
        <w:ind w:left="0" w:hanging="567"/>
        <w:jc w:val="both"/>
        <w:rPr>
          <w:rFonts w:cs="Calibri" w:cstheme="minorHAnsi"/>
          <w:sz w:val="22"/>
        </w:rPr>
      </w:pPr>
      <w:r>
        <w:rPr>
          <w:rFonts w:cs="Calibri" w:cstheme="minorHAnsi"/>
          <w:sz w:val="22"/>
          <w:u w:val="single"/>
        </w:rPr>
        <w:t>Závěrečná ustanovení</w:t>
      </w:r>
      <w:r>
        <w:rPr>
          <w:rFonts w:cs="Calibri" w:cstheme="minorHAnsi"/>
          <w:sz w:val="22"/>
        </w:rPr>
        <w:t>. Smlouva nabývá účinnosti a platnosti dnem jejího podpisu smluvními stranami a zavazuje také právní nástupce stran, je sepsána ve dvou vyhotoveních, z nichž Kupující a Prodávající a obdrží po jednom. Započtení jakýchkoliv pohledávek stran anebo postoupení jakýchkoliv práv či povinností z této smlouvy nebo této smlouvy jako celku je možné pouze na základě předchozí písemné dohody stran. Změny nebo doplnění této smlouvy vyžadují písemnou formu. Tato smlouva a právní vztahy z ní vyplývající se řídí právním řádem České republiky, zejména NOZ. Smluvní strany si ujednávají promlčecí lhůtu v trvání 5 let. Smluvní strany prohlašují, že tato smlouva tak, jak byla sepsána, odpovídá jejich pravé vůli, a na důkaz toho připojují své podpisy.</w:t>
      </w:r>
    </w:p>
    <w:p>
      <w:pPr>
        <w:pStyle w:val="ListParagraph"/>
        <w:numPr>
          <w:ilvl w:val="0"/>
          <w:numId w:val="1"/>
        </w:numPr>
        <w:spacing w:lineRule="auto" w:line="240"/>
        <w:ind w:left="0" w:hanging="567"/>
        <w:jc w:val="both"/>
        <w:rPr>
          <w:rFonts w:cs="Calibri" w:cstheme="minorHAnsi"/>
          <w:sz w:val="22"/>
        </w:rPr>
      </w:pPr>
      <w:r>
        <w:rPr>
          <w:rFonts w:cs="Calibri" w:cstheme="minorHAnsi"/>
          <w:sz w:val="22"/>
        </w:rPr>
        <w:t>Nedílnou součástí této smlouvy je Příloha č. 1 - Zobrazení vyráběné popelnice</w:t>
      </w:r>
    </w:p>
    <w:p>
      <w:pPr>
        <w:pStyle w:val="Normal"/>
        <w:spacing w:lineRule="auto" w:line="240"/>
        <w:jc w:val="both"/>
        <w:rPr>
          <w:rFonts w:cs="Calibri" w:cstheme="minorHAnsi"/>
          <w:sz w:val="22"/>
        </w:rPr>
      </w:pPr>
      <w:r>
        <w:rPr>
          <w:rFonts w:cs="Calibri" w:cstheme="minorHAnsi"/>
          <w:sz w:val="22"/>
        </w:rPr>
      </w:r>
    </w:p>
    <w:p>
      <w:pPr>
        <w:pStyle w:val="Normal"/>
        <w:spacing w:lineRule="auto" w:line="240"/>
        <w:jc w:val="both"/>
        <w:rPr>
          <w:rFonts w:cs="Calibri" w:cstheme="minorHAnsi"/>
          <w:sz w:val="22"/>
        </w:rPr>
      </w:pPr>
      <w:r>
        <w:rPr>
          <w:rFonts w:cs="Calibri" w:cstheme="minorHAnsi"/>
          <w:sz w:val="22"/>
        </w:rPr>
      </w:r>
    </w:p>
    <w:tbl>
      <w:tblPr>
        <w:tblStyle w:val="Mkatabulky"/>
        <w:tblW w:w="97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top w:val="nil"/>
              <w:left w:val="nil"/>
              <w:bottom w:val="nil"/>
              <w:right w:val="nil"/>
            </w:tcBorders>
          </w:tcPr>
          <w:p>
            <w:pPr>
              <w:pStyle w:val="Normal"/>
              <w:widowControl/>
              <w:spacing w:lineRule="auto" w:line="240" w:before="0" w:after="0"/>
              <w:jc w:val="left"/>
              <w:rPr>
                <w:rFonts w:ascii="Calibri" w:hAnsi="Calibri" w:eastAsia="Calibri" w:cs=""/>
                <w:kern w:val="0"/>
                <w:szCs w:val="22"/>
                <w:lang w:val="cs-CZ" w:eastAsia="en-US" w:bidi="ar-SA"/>
              </w:rPr>
            </w:pPr>
            <w:r>
              <w:rPr>
                <w:rFonts w:eastAsia="Calibri" w:cs=""/>
                <w:kern w:val="0"/>
                <w:szCs w:val="22"/>
                <w:lang w:val="cs-CZ" w:eastAsia="en-US" w:bidi="ar-SA"/>
              </w:rPr>
              <w:t>Ve Vrchlabí dne 2.října 2020</w:t>
            </w:r>
          </w:p>
          <w:p>
            <w:pPr>
              <w:pStyle w:val="Normal"/>
              <w:widowControl/>
              <w:spacing w:lineRule="auto" w:line="240" w:before="0" w:after="0"/>
              <w:jc w:val="center"/>
              <w:rPr>
                <w:rFonts w:ascii="Calibri" w:hAnsi="Calibri" w:eastAsia="Calibri" w:cs=""/>
                <w:kern w:val="0"/>
                <w:szCs w:val="22"/>
                <w:lang w:val="cs-CZ" w:eastAsia="en-US" w:bidi="ar-SA"/>
              </w:rPr>
            </w:pPr>
            <w:r>
              <w:rPr>
                <w:rFonts w:eastAsia="Calibri" w:cs=""/>
                <w:kern w:val="0"/>
                <w:szCs w:val="22"/>
                <w:lang w:val="cs-CZ" w:eastAsia="en-US" w:bidi="ar-SA"/>
              </w:rPr>
            </w:r>
          </w:p>
          <w:p>
            <w:pPr>
              <w:pStyle w:val="Normal"/>
              <w:widowControl/>
              <w:spacing w:lineRule="auto" w:line="240" w:before="0" w:after="0"/>
              <w:jc w:val="center"/>
              <w:rPr>
                <w:rFonts w:ascii="Calibri" w:hAnsi="Calibri" w:eastAsia="Calibri" w:cs=""/>
                <w:kern w:val="0"/>
                <w:szCs w:val="22"/>
                <w:lang w:val="cs-CZ" w:eastAsia="en-US" w:bidi="ar-SA"/>
              </w:rPr>
            </w:pPr>
            <w:r>
              <w:rPr>
                <w:rFonts w:eastAsia="Calibri" w:cs=""/>
                <w:kern w:val="0"/>
                <w:szCs w:val="22"/>
                <w:lang w:val="cs-CZ" w:eastAsia="en-US" w:bidi="ar-SA"/>
              </w:rPr>
            </w:r>
          </w:p>
          <w:p>
            <w:pPr>
              <w:pStyle w:val="Normal"/>
              <w:widowControl/>
              <w:spacing w:lineRule="auto" w:line="240" w:before="0" w:after="0"/>
              <w:jc w:val="left"/>
              <w:rPr>
                <w:rFonts w:ascii="Calibri" w:hAnsi="Calibri" w:eastAsia="Calibri" w:cs=""/>
                <w:kern w:val="0"/>
                <w:szCs w:val="22"/>
                <w:lang w:val="cs-CZ" w:eastAsia="en-US" w:bidi="ar-SA"/>
              </w:rPr>
            </w:pPr>
            <w:r>
              <w:rPr>
                <w:rFonts w:eastAsia="Calibri" w:cs=""/>
                <w:kern w:val="0"/>
                <w:szCs w:val="22"/>
                <w:lang w:val="cs-CZ" w:eastAsia="en-US" w:bidi="ar-SA"/>
              </w:rPr>
              <w:t>____________________________</w:t>
            </w:r>
          </w:p>
          <w:p>
            <w:pPr>
              <w:pStyle w:val="Normal"/>
              <w:widowControl/>
              <w:spacing w:lineRule="auto" w:line="240" w:before="0" w:after="0"/>
              <w:jc w:val="left"/>
              <w:rPr>
                <w:b/>
                <w:b/>
              </w:rPr>
            </w:pPr>
            <w:r>
              <w:rPr>
                <w:rFonts w:eastAsia="Calibri" w:cs=""/>
                <w:b/>
                <w:kern w:val="0"/>
                <w:szCs w:val="22"/>
                <w:lang w:val="cs-CZ" w:eastAsia="en-US" w:bidi="ar-SA"/>
              </w:rPr>
              <w:t>Služby města Vrchlabí, p.o.</w:t>
            </w:r>
          </w:p>
          <w:p>
            <w:pPr>
              <w:pStyle w:val="Normal"/>
              <w:widowControl/>
              <w:spacing w:lineRule="auto" w:line="240" w:before="0" w:after="0"/>
              <w:jc w:val="left"/>
              <w:rPr>
                <w:rFonts w:ascii="Calibri" w:hAnsi="Calibri" w:eastAsia="Calibri" w:cs=""/>
                <w:kern w:val="0"/>
                <w:szCs w:val="22"/>
                <w:lang w:val="cs-CZ" w:eastAsia="en-US" w:bidi="ar-SA"/>
              </w:rPr>
            </w:pPr>
            <w:r>
              <w:rPr>
                <w:rFonts w:eastAsia="Calibri" w:cs=""/>
                <w:kern w:val="0"/>
                <w:szCs w:val="22"/>
                <w:lang w:val="cs-CZ" w:eastAsia="en-US" w:bidi="ar-SA"/>
              </w:rPr>
              <w:t>Bc. Jiří Prokopec</w:t>
            </w:r>
          </w:p>
          <w:p>
            <w:pPr>
              <w:pStyle w:val="Normal"/>
              <w:widowControl/>
              <w:spacing w:lineRule="auto" w:line="240" w:before="0" w:after="0"/>
              <w:jc w:val="left"/>
              <w:rPr>
                <w:rFonts w:ascii="Calibri" w:hAnsi="Calibri" w:eastAsia="Calibri" w:cs=""/>
                <w:kern w:val="0"/>
                <w:szCs w:val="22"/>
                <w:lang w:val="cs-CZ" w:eastAsia="en-US" w:bidi="ar-SA"/>
              </w:rPr>
            </w:pPr>
            <w:r>
              <w:rPr>
                <w:rFonts w:eastAsia="Calibri" w:cs=""/>
                <w:kern w:val="0"/>
                <w:szCs w:val="22"/>
                <w:lang w:val="cs-CZ" w:eastAsia="en-US" w:bidi="ar-SA"/>
              </w:rPr>
              <w:t>ředitel</w:t>
            </w:r>
          </w:p>
        </w:tc>
        <w:tc>
          <w:tcPr>
            <w:tcW w:w="4888" w:type="dxa"/>
            <w:tcBorders>
              <w:top w:val="nil"/>
              <w:left w:val="nil"/>
              <w:bottom w:val="nil"/>
              <w:right w:val="nil"/>
            </w:tcBorders>
          </w:tcPr>
          <w:p>
            <w:pPr>
              <w:pStyle w:val="Normal"/>
              <w:widowControl/>
              <w:spacing w:lineRule="auto" w:line="240" w:before="0" w:after="0"/>
              <w:jc w:val="left"/>
              <w:rPr>
                <w:rFonts w:ascii="Calibri" w:hAnsi="Calibri" w:eastAsia="Calibri" w:cs=""/>
                <w:kern w:val="0"/>
                <w:szCs w:val="22"/>
                <w:lang w:val="cs-CZ" w:eastAsia="en-US" w:bidi="ar-SA"/>
              </w:rPr>
            </w:pPr>
            <w:r>
              <w:rPr>
                <w:rFonts w:eastAsia="Calibri" w:cs=""/>
                <w:kern w:val="0"/>
                <w:szCs w:val="22"/>
                <w:lang w:val="cs-CZ" w:eastAsia="en-US" w:bidi="ar-SA"/>
              </w:rPr>
              <w:t>V Roudnici n/L dne 2.října 2020</w:t>
            </w:r>
          </w:p>
          <w:p>
            <w:pPr>
              <w:pStyle w:val="Normal"/>
              <w:widowControl/>
              <w:spacing w:lineRule="auto" w:line="240" w:before="0" w:after="0"/>
              <w:jc w:val="center"/>
              <w:rPr>
                <w:rFonts w:ascii="Calibri" w:hAnsi="Calibri" w:eastAsia="Calibri" w:cs=""/>
                <w:kern w:val="0"/>
                <w:szCs w:val="22"/>
                <w:lang w:val="cs-CZ" w:eastAsia="en-US" w:bidi="ar-SA"/>
              </w:rPr>
            </w:pPr>
            <w:r>
              <w:rPr>
                <w:rFonts w:eastAsia="Calibri" w:cs=""/>
                <w:kern w:val="0"/>
                <w:szCs w:val="22"/>
                <w:lang w:val="cs-CZ" w:eastAsia="en-US" w:bidi="ar-SA"/>
              </w:rPr>
            </w:r>
          </w:p>
          <w:p>
            <w:pPr>
              <w:pStyle w:val="Normal"/>
              <w:widowControl/>
              <w:spacing w:lineRule="auto" w:line="240" w:before="0" w:after="0"/>
              <w:jc w:val="center"/>
              <w:rPr>
                <w:rFonts w:ascii="Calibri" w:hAnsi="Calibri" w:eastAsia="Calibri" w:cs=""/>
                <w:kern w:val="0"/>
                <w:szCs w:val="22"/>
                <w:lang w:val="cs-CZ" w:eastAsia="en-US" w:bidi="ar-SA"/>
              </w:rPr>
            </w:pPr>
            <w:r>
              <w:rPr>
                <w:rFonts w:eastAsia="Calibri" w:cs=""/>
                <w:kern w:val="0"/>
                <w:szCs w:val="22"/>
                <w:lang w:val="cs-CZ" w:eastAsia="en-US" w:bidi="ar-SA"/>
              </w:rPr>
            </w:r>
            <w:bookmarkStart w:id="0" w:name="_GoBack"/>
            <w:bookmarkStart w:id="1" w:name="_GoBack"/>
            <w:bookmarkEnd w:id="1"/>
          </w:p>
          <w:p>
            <w:pPr>
              <w:pStyle w:val="Normal"/>
              <w:widowControl/>
              <w:spacing w:lineRule="auto" w:line="240" w:before="0" w:after="0"/>
              <w:jc w:val="left"/>
              <w:rPr>
                <w:rFonts w:ascii="Calibri" w:hAnsi="Calibri" w:eastAsia="Calibri" w:cs=""/>
                <w:kern w:val="0"/>
                <w:szCs w:val="22"/>
                <w:lang w:val="cs-CZ" w:eastAsia="en-US" w:bidi="ar-SA"/>
              </w:rPr>
            </w:pPr>
            <w:r>
              <w:rPr>
                <w:rFonts w:eastAsia="Calibri" w:cs=""/>
                <w:kern w:val="0"/>
                <w:szCs w:val="22"/>
                <w:lang w:val="cs-CZ" w:eastAsia="en-US" w:bidi="ar-SA"/>
              </w:rPr>
              <w:t>____________________________</w:t>
            </w:r>
          </w:p>
          <w:p>
            <w:pPr>
              <w:pStyle w:val="Normal"/>
              <w:widowControl/>
              <w:spacing w:lineRule="auto" w:line="240" w:before="0" w:after="0"/>
              <w:jc w:val="left"/>
              <w:rPr>
                <w:b/>
                <w:b/>
              </w:rPr>
            </w:pPr>
            <w:r>
              <w:rPr>
                <w:rFonts w:eastAsia="Calibri" w:cs=""/>
                <w:b/>
                <w:kern w:val="0"/>
                <w:szCs w:val="22"/>
                <w:lang w:val="cs-CZ" w:eastAsia="en-US" w:bidi="ar-SA"/>
              </w:rPr>
              <w:t>MEVA-TEC, s.r.o.</w:t>
            </w:r>
          </w:p>
          <w:p>
            <w:pPr>
              <w:pStyle w:val="Normal"/>
              <w:widowControl/>
              <w:spacing w:lineRule="auto" w:line="240" w:before="0" w:after="0"/>
              <w:jc w:val="left"/>
              <w:rPr>
                <w:rFonts w:ascii="Calibri" w:hAnsi="Calibri" w:eastAsia="Calibri" w:cs=""/>
                <w:kern w:val="0"/>
                <w:szCs w:val="22"/>
                <w:lang w:val="cs-CZ" w:eastAsia="en-US" w:bidi="ar-SA"/>
              </w:rPr>
            </w:pPr>
            <w:r>
              <w:rPr>
                <w:rFonts w:eastAsia="Calibri" w:cs=""/>
                <w:kern w:val="0"/>
                <w:szCs w:val="22"/>
                <w:lang w:val="cs-CZ" w:eastAsia="en-US" w:bidi="ar-SA"/>
              </w:rPr>
              <w:t>Josef Zimák, člen představenstva</w:t>
            </w:r>
          </w:p>
        </w:tc>
      </w:tr>
    </w:tbl>
    <w:p>
      <w:pPr>
        <w:pStyle w:val="Normal"/>
        <w:spacing w:lineRule="auto" w:line="276"/>
        <w:rPr>
          <w:rFonts w:cs="Helvetica"/>
          <w:sz w:val="22"/>
        </w:rPr>
      </w:pPr>
      <w:r>
        <w:rPr/>
      </w:r>
    </w:p>
    <w:sectPr>
      <w:footerReference w:type="default" r:id="rId2"/>
      <w:type w:val="nextPage"/>
      <w:pgSz w:w="11906" w:h="16838"/>
      <w:pgMar w:left="1134" w:right="1134" w:header="0" w:top="682" w:footer="278"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6578968"/>
    </w:sdtPr>
    <w:sdtContent>
      <w:p>
        <w:pPr>
          <w:pStyle w:val="Zpat"/>
          <w:tabs>
            <w:tab w:val="center" w:pos="4536" w:leader="none"/>
            <w:tab w:val="center" w:pos="4819" w:leader="none"/>
            <w:tab w:val="left" w:pos="8191" w:leader="none"/>
            <w:tab w:val="right" w:pos="9072" w:leader="none"/>
          </w:tabs>
          <w:rPr>
            <w:sz w:val="22"/>
          </w:rPr>
        </w:pPr>
        <w:r>
          <w:rPr>
            <w:sz w:val="22"/>
          </w:rPr>
          <w:tab/>
          <w:tab/>
        </w:r>
        <w:r>
          <w:rPr>
            <w:sz w:val="22"/>
          </w:rPr>
          <w:tab/>
        </w:r>
      </w:p>
      <w:p>
        <w:pPr>
          <w:pStyle w:val="Zpat"/>
          <w:rPr>
            <w:sz w:val="22"/>
          </w:rPr>
        </w:pPr>
        <w:r>
          <w:rPr>
            <w:sz w:val="22"/>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3de0"/>
    <w:pPr>
      <w:widowControl/>
      <w:bidi w:val="0"/>
      <w:spacing w:lineRule="auto" w:line="360" w:before="0" w:after="0"/>
      <w:jc w:val="left"/>
    </w:pPr>
    <w:rPr>
      <w:rFonts w:ascii="Calibri" w:hAnsi="Calibri" w:eastAsia="Calibri" w:cs="" w:asciiTheme="minorHAnsi" w:cstheme="minorBidi" w:eastAsiaTheme="minorHAnsi" w:hAnsiTheme="minorHAnsi"/>
      <w:color w:val="auto"/>
      <w:kern w:val="0"/>
      <w:sz w:val="24"/>
      <w:szCs w:val="22"/>
      <w:lang w:val="cs-CZ"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6114e"/>
    <w:rPr>
      <w:sz w:val="16"/>
      <w:szCs w:val="16"/>
    </w:rPr>
  </w:style>
  <w:style w:type="character" w:styleId="TextkomenteChar" w:customStyle="1">
    <w:name w:val="Text komentáře Char"/>
    <w:basedOn w:val="DefaultParagraphFont"/>
    <w:link w:val="Textkomente"/>
    <w:uiPriority w:val="99"/>
    <w:semiHidden/>
    <w:qFormat/>
    <w:rsid w:val="0006114e"/>
    <w:rPr>
      <w:sz w:val="20"/>
      <w:szCs w:val="20"/>
    </w:rPr>
  </w:style>
  <w:style w:type="character" w:styleId="PedmtkomenteChar" w:customStyle="1">
    <w:name w:val="Předmět komentáře Char"/>
    <w:basedOn w:val="TextkomenteChar"/>
    <w:link w:val="Pedmtkomente"/>
    <w:uiPriority w:val="99"/>
    <w:semiHidden/>
    <w:qFormat/>
    <w:rsid w:val="0006114e"/>
    <w:rPr>
      <w:b/>
      <w:bCs/>
      <w:sz w:val="20"/>
      <w:szCs w:val="20"/>
    </w:rPr>
  </w:style>
  <w:style w:type="character" w:styleId="TextbublinyChar" w:customStyle="1">
    <w:name w:val="Text bubliny Char"/>
    <w:basedOn w:val="DefaultParagraphFont"/>
    <w:link w:val="Textbubliny"/>
    <w:uiPriority w:val="99"/>
    <w:semiHidden/>
    <w:qFormat/>
    <w:rsid w:val="0006114e"/>
    <w:rPr>
      <w:rFonts w:ascii="Tahoma" w:hAnsi="Tahoma" w:cs="Tahoma"/>
      <w:sz w:val="16"/>
      <w:szCs w:val="16"/>
    </w:rPr>
  </w:style>
  <w:style w:type="character" w:styleId="ZhlavChar" w:customStyle="1">
    <w:name w:val="Záhlaví Char"/>
    <w:basedOn w:val="DefaultParagraphFont"/>
    <w:link w:val="Zhlav"/>
    <w:uiPriority w:val="99"/>
    <w:qFormat/>
    <w:rsid w:val="00fe5724"/>
    <w:rPr>
      <w:sz w:val="24"/>
    </w:rPr>
  </w:style>
  <w:style w:type="character" w:styleId="ZpatChar" w:customStyle="1">
    <w:name w:val="Zápatí Char"/>
    <w:basedOn w:val="DefaultParagraphFont"/>
    <w:link w:val="Zpat"/>
    <w:uiPriority w:val="99"/>
    <w:qFormat/>
    <w:rsid w:val="00fe5724"/>
    <w:rPr>
      <w:sz w:val="24"/>
    </w:rPr>
  </w:style>
  <w:style w:type="character" w:styleId="Internetovodkaz">
    <w:name w:val="Internetový odkaz"/>
    <w:basedOn w:val="DefaultParagraphFont"/>
    <w:uiPriority w:val="99"/>
    <w:unhideWhenUsed/>
    <w:rsid w:val="00876489"/>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NoSpacing">
    <w:name w:val="No Spacing"/>
    <w:autoRedefine/>
    <w:uiPriority w:val="1"/>
    <w:qFormat/>
    <w:rsid w:val="008a3de0"/>
    <w:pPr>
      <w:widowControl/>
      <w:bidi w:val="0"/>
      <w:spacing w:lineRule="auto" w:line="360" w:before="0" w:after="0"/>
      <w:jc w:val="both"/>
    </w:pPr>
    <w:rPr>
      <w:rFonts w:ascii="Arial" w:hAnsi="Arial" w:eastAsia="Calibri" w:cs="" w:cstheme="minorBidi" w:eastAsiaTheme="minorHAnsi"/>
      <w:color w:val="auto"/>
      <w:kern w:val="0"/>
      <w:sz w:val="24"/>
      <w:szCs w:val="22"/>
      <w:lang w:val="cs-CZ" w:eastAsia="en-US" w:bidi="ar-SA"/>
    </w:rPr>
  </w:style>
  <w:style w:type="paragraph" w:styleId="ListParagraph">
    <w:name w:val="List Paragraph"/>
    <w:basedOn w:val="Normal"/>
    <w:uiPriority w:val="34"/>
    <w:qFormat/>
    <w:rsid w:val="0006114e"/>
    <w:pPr>
      <w:spacing w:before="0" w:after="0"/>
      <w:ind w:left="720" w:hanging="0"/>
      <w:contextualSpacing/>
    </w:pPr>
    <w:rPr/>
  </w:style>
  <w:style w:type="paragraph" w:styleId="Annotationtext">
    <w:name w:val="annotation text"/>
    <w:basedOn w:val="Normal"/>
    <w:link w:val="TextkomenteChar"/>
    <w:uiPriority w:val="99"/>
    <w:semiHidden/>
    <w:unhideWhenUsed/>
    <w:qFormat/>
    <w:rsid w:val="0006114e"/>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06114e"/>
    <w:pPr/>
    <w:rPr>
      <w:b/>
      <w:bCs/>
    </w:rPr>
  </w:style>
  <w:style w:type="paragraph" w:styleId="BalloonText">
    <w:name w:val="Balloon Text"/>
    <w:basedOn w:val="Normal"/>
    <w:link w:val="TextbublinyChar"/>
    <w:uiPriority w:val="99"/>
    <w:semiHidden/>
    <w:unhideWhenUsed/>
    <w:qFormat/>
    <w:rsid w:val="0006114e"/>
    <w:pPr>
      <w:spacing w:lineRule="auto" w:line="240"/>
    </w:pPr>
    <w:rPr>
      <w:rFonts w:ascii="Tahoma" w:hAnsi="Tahoma" w:cs="Tahoma"/>
      <w:sz w:val="16"/>
      <w:szCs w:val="16"/>
    </w:rPr>
  </w:style>
  <w:style w:type="paragraph" w:styleId="Zhlavazpat">
    <w:name w:val="Záhlaví a zápatí"/>
    <w:basedOn w:val="Normal"/>
    <w:qFormat/>
    <w:pPr/>
    <w:rPr/>
  </w:style>
  <w:style w:type="paragraph" w:styleId="Zhlav">
    <w:name w:val="Header"/>
    <w:basedOn w:val="Normal"/>
    <w:link w:val="ZhlavChar"/>
    <w:uiPriority w:val="99"/>
    <w:unhideWhenUsed/>
    <w:rsid w:val="00fe5724"/>
    <w:pPr>
      <w:tabs>
        <w:tab w:val="clear" w:pos="708"/>
        <w:tab w:val="center" w:pos="4536" w:leader="none"/>
        <w:tab w:val="right" w:pos="9072" w:leader="none"/>
      </w:tabs>
      <w:spacing w:lineRule="auto" w:line="240"/>
    </w:pPr>
    <w:rPr/>
  </w:style>
  <w:style w:type="paragraph" w:styleId="Zpat">
    <w:name w:val="Footer"/>
    <w:basedOn w:val="Normal"/>
    <w:link w:val="ZpatChar"/>
    <w:uiPriority w:val="99"/>
    <w:unhideWhenUsed/>
    <w:rsid w:val="00fe5724"/>
    <w:pPr>
      <w:tabs>
        <w:tab w:val="clear" w:pos="708"/>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bb73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247B-6BB6-4139-8565-B10001B1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LibreOffice/7.0.1.2$Windows_X86_64 LibreOffice_project/7cbcfc562f6eb6708b5ff7d7397325de9e764452</Application>
  <Pages>3</Pages>
  <Words>1172</Words>
  <Characters>6682</Characters>
  <CharactersWithSpaces>7834</CharactersWithSpaces>
  <Paragraphs>43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2020-10-13T06:20:00Z</dcterms:created>
  <dc:creator>Josef Zimák</dc:creator>
  <dc:description/>
  <dc:language>cs-CZ</dc:language>
  <cp:lastModifiedBy/>
  <cp:lastPrinted>2020-10-12T11:39:00Z</cp:lastPrinted>
  <dcterms:modified xsi:type="dcterms:W3CDTF">2020-10-14T14:16:20Z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