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35" w:line="480" w:lineRule="exact"/>
        <w:ind w:left="4100" w:right="0" w:firstLine="0"/>
      </w:pPr>
      <w:bookmarkStart w:id="0" w:name="bookmark0"/>
      <w:r>
        <w:rPr>
          <w:rStyle w:val="CharStyle13"/>
          <w:b w:val="0"/>
          <w:bCs w:val="0"/>
        </w:rPr>
        <w:t>Q sfdi</w:t>
      </w:r>
      <w:bookmarkEnd w:id="0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73" w:line="280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46" w:line="230" w:lineRule="exact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ke smlouvě o dílo 111/3469 Chotěboř - Nejepín - Vepříkov - křiž. 111/34610, ze dne 21. 8. 2020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502"/>
        <w:ind w:left="0" w:right="3440" w:firstLine="0"/>
      </w:pPr>
      <w:r>
        <w:rPr>
          <w:rStyle w:val="CharStyle22"/>
          <w:i/>
          <w:iCs/>
        </w:rPr>
        <w:t>Číslo smlouvy objednatele:</w:t>
      </w:r>
      <w:r>
        <w:rPr>
          <w:rStyle w:val="CharStyle23"/>
          <w:i w:val="0"/>
          <w:iCs w:val="0"/>
        </w:rPr>
        <w:t xml:space="preserve"> N-ST-1-2020-1-9 </w:t>
      </w:r>
      <w:r>
        <w:rPr>
          <w:rStyle w:val="CharStyle22"/>
          <w:i/>
          <w:iCs/>
        </w:rPr>
        <w:t>Číslo smlouvy zhotovitele:</w:t>
      </w:r>
      <w:r>
        <w:rPr>
          <w:rStyle w:val="CharStyle23"/>
          <w:i w:val="0"/>
          <w:iCs w:val="0"/>
        </w:rPr>
        <w:t xml:space="preserve"> 201122248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0"/>
        <w:ind w:left="0" w:right="4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55" w:line="22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-3.55pt;width:120.95pt;height:104.8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3" w:lineRule="exact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Bankovní spojení: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DIČ: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0"/>
                      <w:b w:val="0"/>
                      <w:bCs w:val="0"/>
                      <w:i w:val="0"/>
                      <w:iCs w:val="0"/>
                    </w:rPr>
                    <w:t xml:space="preserve">(dále jen </w:t>
                  </w:r>
                  <w:r>
                    <w:rPr>
                      <w:rStyle w:val="CharStyle9"/>
                      <w:b/>
                      <w:bCs/>
                      <w:i/>
                      <w:iCs/>
                    </w:rPr>
                    <w:t>„Objednatel")</w:t>
                  </w:r>
                </w:p>
              </w:txbxContent>
            </v:textbox>
            <w10:wrap type="square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Kosovská 1122/16, 58601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Radovanem Necidem, ředitelem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590"/>
        <w:ind w:left="0" w:right="34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00090450 CZ00090450 Kraj Vysočina</w:t>
      </w:r>
    </w:p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0" w:after="308" w:line="23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  <w:bookmarkEnd w:id="2"/>
    </w:p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3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COLAS CZ, a.s.</w:t>
      </w:r>
    </w:p>
    <w:p>
      <w:pPr>
        <w:pStyle w:val="Style6"/>
        <w:tabs>
          <w:tab w:leader="none" w:pos="2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Rubeška 215/1,190 00 Praha 9</w:t>
      </w:r>
    </w:p>
    <w:p>
      <w:pPr>
        <w:pStyle w:val="Style3"/>
        <w:tabs>
          <w:tab w:leader="none" w:pos="45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ředitelem oblasti Jih, na základě plné moci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8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vedeném Městským soudem v Praze, oddíl B, vložka 6556 Bankovní spojení:</w:t>
      </w:r>
    </w:p>
    <w:p>
      <w:pPr>
        <w:pStyle w:val="Style6"/>
        <w:tabs>
          <w:tab w:leader="none" w:pos="2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26177005</w:t>
      </w:r>
    </w:p>
    <w:p>
      <w:pPr>
        <w:pStyle w:val="Style6"/>
        <w:tabs>
          <w:tab w:leader="none" w:pos="2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CZ26177005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8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„Zhotovitel")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také jako </w:t>
      </w:r>
      <w:r>
        <w:rPr>
          <w:rStyle w:val="CharStyle29"/>
        </w:rPr>
        <w:t>„Smluvnístrany"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nebo jednotlivě </w:t>
      </w:r>
      <w:r>
        <w:rPr>
          <w:rStyle w:val="CharStyle29"/>
        </w:rPr>
        <w:t>„Smluvnístrana")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0"/>
        <w:ind w:left="0" w:right="4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4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9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 ohledem na komplikace při řešení dopravní obslužnosti, pozdní vydání rozhodnutí o uzavírce až dne 1. 10. 2020 a </w:t>
      </w:r>
      <w:r>
        <w:rPr>
          <w:rStyle w:val="CharStyle30"/>
        </w:rPr>
        <w:t>stím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spojený nástup nevhodných klimatických podmínek pro provádění technologie mikrokoberec, uzavírají smluvní strany v souladu s ustanovením § 222 odst. 6 zákona č. 134/2016 Sb., o zadávání veřejných zakázek (dále jen „zákon") tento dodatek č. 1 ke smlouvě o dílo číslo objednatele N-ST- 1-2020-1-9, číslo zhotovitele: 201122248 ze dne 21. 8. 2020.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58" w:line="230" w:lineRule="exact"/>
        <w:ind w:left="0" w:right="4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5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Doba plnění dle </w:t>
      </w:r>
      <w:r>
        <w:rPr>
          <w:rStyle w:val="CharStyle31"/>
        </w:rPr>
        <w:t xml:space="preserve">článku IV.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stávající smlouvy se mění tak, že původní ujednání </w:t>
      </w:r>
      <w:r>
        <w:rPr>
          <w:rStyle w:val="CharStyle31"/>
        </w:rPr>
        <w:t xml:space="preserve">v bodě 4.1.,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které zní:</w:t>
      </w:r>
      <w:r>
        <w:br w:type="page"/>
      </w:r>
    </w:p>
    <w:p>
      <w:pPr>
        <w:framePr w:h="898" w:hSpace="4008" w:wrap="notBeside" w:vAnchor="text" w:hAnchor="text" w:x="4009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8pt;height:4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647" w:after="120" w:line="220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řádně a včas provést dílo v těchto termínech plnění:</w:t>
      </w:r>
    </w:p>
    <w:p>
      <w:pPr>
        <w:pStyle w:val="Style3"/>
        <w:numPr>
          <w:ilvl w:val="0"/>
          <w:numId w:val="1"/>
        </w:numPr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30" w:lineRule="exact"/>
        <w:ind w:left="520" w:right="0" w:firstLine="0"/>
      </w:pPr>
      <w:r>
        <w:rPr>
          <w:rStyle w:val="CharStyle32"/>
          <w:b w:val="0"/>
          <w:bCs w:val="0"/>
        </w:rPr>
        <w:t xml:space="preserve">zahájení realizace stavby: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dnem předání a převzetí staveniště</w:t>
      </w:r>
    </w:p>
    <w:p>
      <w:pPr>
        <w:pStyle w:val="Style6"/>
        <w:numPr>
          <w:ilvl w:val="0"/>
          <w:numId w:val="1"/>
        </w:numPr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4" w:line="298" w:lineRule="exact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uvedení celé stavby do užívání ve smyslu čl. XII. obchodních podmínek (dále i „OP"): </w:t>
      </w:r>
      <w:r>
        <w:rPr>
          <w:rStyle w:val="CharStyle31"/>
        </w:rPr>
        <w:t xml:space="preserve">do 90 kalendářních dnů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 předání a převzetí staveniště</w:t>
      </w:r>
    </w:p>
    <w:p>
      <w:pPr>
        <w:pStyle w:val="Style6"/>
        <w:numPr>
          <w:ilvl w:val="0"/>
          <w:numId w:val="1"/>
        </w:numPr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8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dokončení díla vč. předání kompletní dokladové části Objednateli: </w:t>
      </w:r>
      <w:r>
        <w:rPr>
          <w:rStyle w:val="CharStyle31"/>
        </w:rPr>
        <w:t xml:space="preserve">do 1 měsíce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 uvedení celé stavby do užívání dle bodu b).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303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ruší a nahrazuje ujednáním: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120" w:line="220" w:lineRule="exact"/>
        <w:ind w:left="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řádně a včas provést dílo v těchto termínech plnění:</w:t>
      </w:r>
    </w:p>
    <w:p>
      <w:pPr>
        <w:pStyle w:val="Style3"/>
        <w:numPr>
          <w:ilvl w:val="0"/>
          <w:numId w:val="3"/>
        </w:numPr>
        <w:tabs>
          <w:tab w:leader="none" w:pos="8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" w:line="230" w:lineRule="exact"/>
        <w:ind w:left="520" w:right="0" w:firstLine="0"/>
      </w:pPr>
      <w:r>
        <w:rPr>
          <w:rStyle w:val="CharStyle32"/>
          <w:b w:val="0"/>
          <w:bCs w:val="0"/>
        </w:rPr>
        <w:t xml:space="preserve">zahájení realizace stavby: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dnem předání a převzetí staveniště</w:t>
      </w:r>
    </w:p>
    <w:p>
      <w:pPr>
        <w:pStyle w:val="Style6"/>
        <w:numPr>
          <w:ilvl w:val="0"/>
          <w:numId w:val="3"/>
        </w:numPr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uvedení celé stavby do užívání ve smyslu čl. XII. obchodních podmínek (dále i „OP"): </w:t>
      </w:r>
      <w:r>
        <w:rPr>
          <w:rStyle w:val="CharStyle31"/>
        </w:rPr>
        <w:t>do 17. května 2021</w:t>
      </w:r>
    </w:p>
    <w:p>
      <w:pPr>
        <w:pStyle w:val="Style6"/>
        <w:numPr>
          <w:ilvl w:val="0"/>
          <w:numId w:val="3"/>
        </w:numPr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86"/>
        <w:ind w:left="8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dokončení díla vč. předání kompletní dokladové části Objednateli: </w:t>
      </w:r>
      <w:r>
        <w:rPr>
          <w:rStyle w:val="CharStyle31"/>
        </w:rPr>
        <w:t xml:space="preserve">do 1 měsíce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 uvedení celé stavby do užívání dle bodu b).</w:t>
      </w:r>
    </w:p>
    <w:p>
      <w:pPr>
        <w:pStyle w:val="Style33"/>
        <w:widowControl w:val="0"/>
        <w:keepNext/>
        <w:keepLines/>
        <w:shd w:val="clear" w:color="auto" w:fill="auto"/>
        <w:bidi w:val="0"/>
        <w:spacing w:before="0" w:after="0" w:line="336" w:lineRule="exact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6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Předmětem tohoto dodatku je změna závazku z původní smlouvy na veřejnou zakázku, která se nepovažuje za podstatnou změnu závazku, neboť ve smyslu </w:t>
      </w:r>
      <w:r>
        <w:rPr>
          <w:rStyle w:val="CharStyle31"/>
        </w:rPr>
        <w:t xml:space="preserve">§ 222 odst. 6 zákona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za podstatnou změnu závazku ze smlouvy na veřejnou zakázku nepovažuje změna</w:t>
      </w:r>
    </w:p>
    <w:p>
      <w:pPr>
        <w:pStyle w:val="Style6"/>
        <w:numPr>
          <w:ilvl w:val="0"/>
          <w:numId w:val="5"/>
        </w:numPr>
        <w:tabs>
          <w:tab w:leader="none" w:pos="4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jejíž potřeba vznikla v důsledku okolností, které zadavatel jednající s náležitou péčí nemohl předvídat,</w:t>
      </w:r>
    </w:p>
    <w:p>
      <w:pPr>
        <w:pStyle w:val="Style6"/>
        <w:numPr>
          <w:ilvl w:val="0"/>
          <w:numId w:val="5"/>
        </w:numPr>
        <w:tabs>
          <w:tab w:leader="none" w:pos="4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nemění celkovou povahu veřejné zakázky a</w:t>
      </w:r>
    </w:p>
    <w:p>
      <w:pPr>
        <w:pStyle w:val="Style6"/>
        <w:numPr>
          <w:ilvl w:val="0"/>
          <w:numId w:val="5"/>
        </w:numPr>
        <w:tabs>
          <w:tab w:leader="none" w:pos="4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změny nepřekročí 50 % původní hodnoty závazku.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60" w:line="33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Dílčí změnou závazku smlouvy je posunutí termínu uvedení celé stavby do užívání ve smyslu čl. XII. obchodních podmínek do jarních měsíců následujícího roku.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505" w:line="33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Nezbytnost změny závazku je odůvodněna tím, že po předání staveniště došlo ke komplikacím při hledání vhodného řešení úplné uzavírky, jak bylo stanoveno v zadávacích podmínkách. To vedlo k pozdnímu vydání rozhodnutí o uzavírce a nemožnosti plněné stavebních prací technologií mikrokoberec, a to vzhledem k nástupu podzimních nevhodných klimatických podmínek. Hodnota navrhovaných změn nemá vliv na původní hodnotu závazku.</w:t>
      </w:r>
    </w:p>
    <w:p>
      <w:pPr>
        <w:pStyle w:val="Style33"/>
        <w:widowControl w:val="0"/>
        <w:keepNext/>
        <w:keepLines/>
        <w:shd w:val="clear" w:color="auto" w:fill="auto"/>
        <w:bidi w:val="0"/>
        <w:spacing w:before="0" w:after="126" w:line="23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Článek 5</w:t>
      </w:r>
      <w:bookmarkEnd w:id="7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Kontaktní osoby a ostatní ustanovení shora citované smlouvy se nemění a zůstávají v platnosti.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57" w:line="480" w:lineRule="exact"/>
        <w:ind w:left="4060" w:right="0" w:firstLine="0"/>
      </w:pPr>
      <w:bookmarkStart w:id="8" w:name="bookmark8"/>
      <w:r>
        <w:rPr>
          <w:rStyle w:val="CharStyle13"/>
          <w:b w:val="0"/>
          <w:bCs w:val="0"/>
        </w:rPr>
        <w:t>Q sfdi</w:t>
      </w:r>
      <w:bookmarkEnd w:id="8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1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65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lje nedílnou součástí stávající smlouvy.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vyhotoven v elektronické podobě, přičemž obě smluvní strany obdrží její elektronický originál.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11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75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lje účinný dnem jejího uveřejnění v registru smluv.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4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2240" w:h="15840"/>
      <w:pgMar w:top="676" w:left="1135" w:right="717" w:bottom="138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466.3pt;margin-top:753.35pt;width:46.3pt;height:6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6"/>
                  </w:rPr>
                  <w:t xml:space="preserve">Stránka </w:t>
                </w:r>
                <w:fldSimple w:instr=" PAGE \* MERGEFORMAT ">
                  <w:r>
                    <w:rPr>
                      <w:rStyle w:val="CharStyle16"/>
                    </w:rPr>
                    <w:t>#</w:t>
                  </w:r>
                </w:fldSimple>
                <w:r>
                  <w:rPr>
                    <w:rStyle w:val="CharStyle16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3"/>
        <w:szCs w:val="23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3"/>
        <w:szCs w:val="23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4) Exact"/>
    <w:basedOn w:val="DefaultParagraphFont"/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character" w:customStyle="1" w:styleId="CharStyle5">
    <w:name w:val="Základní text (4) + 11 pt,Ne tučné Exact"/>
    <w:basedOn w:val="CharStyle19"/>
    <w:rPr>
      <w:b/>
      <w:bCs/>
      <w:sz w:val="22"/>
      <w:szCs w:val="22"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9">
    <w:name w:val="Základní text (6) Exact"/>
    <w:basedOn w:val="DefaultParagraphFont"/>
    <w:rPr>
      <w:b/>
      <w:bCs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0">
    <w:name w:val="Základní text (6) + Ne tučné,Ne kurzíva Exact"/>
    <w:basedOn w:val="CharStyle27"/>
    <w:rPr>
      <w:b/>
      <w:bCs/>
      <w:i/>
      <w:iCs/>
    </w:rPr>
  </w:style>
  <w:style w:type="character" w:customStyle="1" w:styleId="CharStyle12">
    <w:name w:val="Nadpis #1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48"/>
      <w:szCs w:val="48"/>
      <w:rFonts w:ascii="Calibri" w:eastAsia="Calibri" w:hAnsi="Calibri" w:cs="Calibri"/>
      <w:spacing w:val="-20"/>
    </w:rPr>
  </w:style>
  <w:style w:type="character" w:customStyle="1" w:styleId="CharStyle13">
    <w:name w:val="Nadpis #1 (2)"/>
    <w:basedOn w:val="CharStyle12"/>
    <w:rPr>
      <w:lang w:val="cs-CZ" w:eastAsia="cs-CZ" w:bidi="cs-CZ"/>
      <w:w w:val="100"/>
      <w:color w:val="000000"/>
      <w:position w:val="0"/>
    </w:rPr>
  </w:style>
  <w:style w:type="character" w:customStyle="1" w:styleId="CharStyle15">
    <w:name w:val="Záhlaví nebo Zápatí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6">
    <w:name w:val="Záhlaví nebo Zápatí"/>
    <w:basedOn w:val="CharStyle15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8">
    <w:name w:val="Základní text (3)_"/>
    <w:basedOn w:val="DefaultParagraphFont"/>
    <w:link w:val="Style17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19">
    <w:name w:val="Základní text (4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character" w:customStyle="1" w:styleId="CharStyle21">
    <w:name w:val="Základní text (5)_"/>
    <w:basedOn w:val="DefaultParagraphFont"/>
    <w:link w:val="Style20"/>
    <w:rPr>
      <w:b w:val="0"/>
      <w:bCs w:val="0"/>
      <w:i/>
      <w:iCs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2">
    <w:name w:val="Základní text (5)"/>
    <w:basedOn w:val="CharStyle21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Základní text (5) + 9,5 pt,Tučné,Ne kurzíva"/>
    <w:basedOn w:val="CharStyle21"/>
    <w:rPr>
      <w:lang w:val="cs-CZ" w:eastAsia="cs-CZ" w:bidi="cs-CZ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5">
    <w:name w:val="Nadpis #2 (2)_"/>
    <w:basedOn w:val="DefaultParagraphFont"/>
    <w:link w:val="Style24"/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character" w:customStyle="1" w:styleId="CharStyle26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7">
    <w:name w:val="Základní text (6)_"/>
    <w:basedOn w:val="DefaultParagraphFont"/>
    <w:link w:val="Style8"/>
    <w:rPr>
      <w:b/>
      <w:bCs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8">
    <w:name w:val="Základní text (6) + Ne tučné,Ne kurzíva"/>
    <w:basedOn w:val="CharStyle27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9">
    <w:name w:val="Základní text (2) + Tučné,Kurzíva"/>
    <w:basedOn w:val="CharStyle26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30">
    <w:name w:val="Základní text (2) + Řádkování 1 pt"/>
    <w:basedOn w:val="CharStyle26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31">
    <w:name w:val="Základní text (2) + 11,5 pt,Tučné"/>
    <w:basedOn w:val="CharStyle26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32">
    <w:name w:val="Základní text (4) + 11 pt,Ne tučné"/>
    <w:basedOn w:val="CharStyle19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4">
    <w:name w:val="Nadpis #3_"/>
    <w:basedOn w:val="DefaultParagraphFont"/>
    <w:link w:val="Style33"/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paragraph" w:customStyle="1" w:styleId="Style3">
    <w:name w:val="Základní text (4)"/>
    <w:basedOn w:val="Normal"/>
    <w:link w:val="CharStyle19"/>
    <w:pPr>
      <w:widowControl w:val="0"/>
      <w:shd w:val="clear" w:color="auto" w:fill="FFFFFF"/>
      <w:jc w:val="center"/>
      <w:spacing w:before="240" w:after="42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paragraph" w:customStyle="1" w:styleId="Style6">
    <w:name w:val="Základní text (2)"/>
    <w:basedOn w:val="Normal"/>
    <w:link w:val="CharStyle26"/>
    <w:pPr>
      <w:widowControl w:val="0"/>
      <w:shd w:val="clear" w:color="auto" w:fill="FFFFFF"/>
      <w:spacing w:line="293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8">
    <w:name w:val="Základní text (6)"/>
    <w:basedOn w:val="Normal"/>
    <w:link w:val="CharStyle27"/>
    <w:pPr>
      <w:widowControl w:val="0"/>
      <w:shd w:val="clear" w:color="auto" w:fill="FFFFFF"/>
      <w:jc w:val="both"/>
      <w:spacing w:line="293" w:lineRule="exact"/>
    </w:pPr>
    <w:rPr>
      <w:b/>
      <w:bCs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1">
    <w:name w:val="Nadpis #1 (2)"/>
    <w:basedOn w:val="Normal"/>
    <w:link w:val="CharStyle12"/>
    <w:pPr>
      <w:widowControl w:val="0"/>
      <w:shd w:val="clear" w:color="auto" w:fill="FFFFFF"/>
      <w:outlineLvl w:val="0"/>
      <w:spacing w:after="1320" w:line="0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  <w:rFonts w:ascii="Calibri" w:eastAsia="Calibri" w:hAnsi="Calibri" w:cs="Calibri"/>
      <w:spacing w:val="-20"/>
    </w:rPr>
  </w:style>
  <w:style w:type="paragraph" w:customStyle="1" w:styleId="Style14">
    <w:name w:val="Záhlaví nebo Zápatí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20">
    <w:name w:val="Základní text (5)"/>
    <w:basedOn w:val="Normal"/>
    <w:link w:val="CharStyle21"/>
    <w:pPr>
      <w:widowControl w:val="0"/>
      <w:shd w:val="clear" w:color="auto" w:fill="FFFFFF"/>
      <w:spacing w:before="420" w:after="600" w:line="245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24">
    <w:name w:val="Nadpis #2 (2)"/>
    <w:basedOn w:val="Normal"/>
    <w:link w:val="CharStyle25"/>
    <w:pPr>
      <w:widowControl w:val="0"/>
      <w:shd w:val="clear" w:color="auto" w:fill="FFFFFF"/>
      <w:jc w:val="center"/>
      <w:outlineLvl w:val="1"/>
      <w:spacing w:before="540" w:line="293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  <w:style w:type="paragraph" w:customStyle="1" w:styleId="Style33">
    <w:name w:val="Nadpis #3"/>
    <w:basedOn w:val="Normal"/>
    <w:link w:val="CharStyle34"/>
    <w:pPr>
      <w:widowControl w:val="0"/>
      <w:shd w:val="clear" w:color="auto" w:fill="FFFFFF"/>
      <w:jc w:val="center"/>
      <w:outlineLvl w:val="2"/>
      <w:spacing w:before="600" w:line="293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