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06FE86B6" w:rsidR="00070634" w:rsidRPr="005528DA" w:rsidRDefault="00121930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121930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791A5677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477012">
        <w:rPr>
          <w:rFonts w:asciiTheme="minorHAnsi" w:hAnsiTheme="minorHAnsi" w:cstheme="minorHAnsi"/>
          <w:b/>
          <w:caps/>
          <w:sz w:val="32"/>
          <w:szCs w:val="32"/>
        </w:rPr>
        <w:t>5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3B4284C1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</w:t>
      </w:r>
      <w:r w:rsidR="00477012">
        <w:rPr>
          <w:rFonts w:asciiTheme="minorHAnsi" w:hAnsiTheme="minorHAnsi" w:cstheme="minorHAnsi"/>
          <w:sz w:val="24"/>
          <w:szCs w:val="24"/>
        </w:rPr>
        <w:t>5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default" r:id="rId9"/>
          <w:footerReference w:type="default" r:id="rId10"/>
          <w:footerReference w:type="first" r:id="rId11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b/>
          <w:sz w:val="22"/>
          <w:szCs w:val="22"/>
          <w:lang w:val="cs-CZ"/>
        </w:rPr>
        <w:lastRenderedPageBreak/>
        <w:t>Arcona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5528DA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5528DA">
        <w:rPr>
          <w:rFonts w:cstheme="minorHAnsi"/>
          <w:sz w:val="22"/>
          <w:szCs w:val="22"/>
          <w:lang w:val="cs-CZ"/>
        </w:rPr>
        <w:t>sp</w:t>
      </w:r>
      <w:proofErr w:type="spellEnd"/>
      <w:r w:rsidRPr="005528DA">
        <w:rPr>
          <w:rFonts w:cstheme="minorHAnsi"/>
          <w:sz w:val="22"/>
          <w:szCs w:val="22"/>
          <w:lang w:val="cs-CZ"/>
        </w:rPr>
        <w:t xml:space="preserve">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74A24EE0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sz w:val="22"/>
          <w:szCs w:val="22"/>
        </w:rPr>
        <w:t>bankovní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proofErr w:type="spellStart"/>
      <w:r w:rsidRPr="005528DA">
        <w:rPr>
          <w:rFonts w:cstheme="minorHAnsi"/>
          <w:sz w:val="22"/>
          <w:szCs w:val="22"/>
        </w:rPr>
        <w:t>spojení</w:t>
      </w:r>
      <w:proofErr w:type="spellEnd"/>
      <w:r w:rsidRPr="005528DA">
        <w:rPr>
          <w:rFonts w:cstheme="minorHAnsi"/>
          <w:sz w:val="22"/>
          <w:szCs w:val="22"/>
        </w:rPr>
        <w:t xml:space="preserve">: </w:t>
      </w:r>
      <w:proofErr w:type="spellStart"/>
      <w:r w:rsidRPr="005528DA">
        <w:rPr>
          <w:rFonts w:cstheme="minorHAnsi"/>
          <w:sz w:val="22"/>
          <w:szCs w:val="22"/>
        </w:rPr>
        <w:t>účet</w:t>
      </w:r>
      <w:proofErr w:type="spellEnd"/>
      <w:r w:rsidRPr="005528DA">
        <w:rPr>
          <w:rFonts w:cstheme="minorHAnsi"/>
          <w:sz w:val="22"/>
          <w:szCs w:val="22"/>
        </w:rPr>
        <w:t xml:space="preserve"> č. </w:t>
      </w:r>
      <w:r w:rsidR="0075104B">
        <w:rPr>
          <w:rFonts w:cstheme="minorHAnsi"/>
          <w:sz w:val="22"/>
          <w:szCs w:val="22"/>
        </w:rPr>
        <w:t>xxx</w:t>
      </w:r>
      <w:r w:rsidRPr="005528DA">
        <w:rPr>
          <w:rFonts w:cstheme="minorHAnsi"/>
          <w:sz w:val="22"/>
          <w:szCs w:val="22"/>
        </w:rPr>
        <w:t xml:space="preserve">, </w:t>
      </w:r>
      <w:proofErr w:type="spellStart"/>
      <w:r w:rsidRPr="005528DA">
        <w:rPr>
          <w:rFonts w:cstheme="minorHAnsi"/>
          <w:sz w:val="22"/>
          <w:szCs w:val="22"/>
        </w:rPr>
        <w:t>vedený</w:t>
      </w:r>
      <w:proofErr w:type="spellEnd"/>
      <w:r w:rsidRPr="005528DA">
        <w:rPr>
          <w:rFonts w:cstheme="minorHAnsi"/>
          <w:sz w:val="22"/>
          <w:szCs w:val="22"/>
        </w:rPr>
        <w:t xml:space="preserve"> u </w:t>
      </w:r>
      <w:r w:rsidR="0075104B">
        <w:rPr>
          <w:rFonts w:cstheme="minorHAnsi"/>
          <w:sz w:val="22"/>
          <w:szCs w:val="22"/>
        </w:rPr>
        <w:t>xxx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4B604590" w14:textId="77777777" w:rsidR="00121930" w:rsidRDefault="0012193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121930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74BE80CE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32A94ABA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 xml:space="preserve">Ing. Josefem </w:t>
      </w:r>
      <w:proofErr w:type="spellStart"/>
      <w:r w:rsidRPr="00C57770">
        <w:rPr>
          <w:rFonts w:cstheme="minorHAnsi"/>
          <w:sz w:val="22"/>
          <w:szCs w:val="22"/>
          <w:lang w:val="cs-CZ"/>
        </w:rPr>
        <w:t>Bürgerem</w:t>
      </w:r>
      <w:proofErr w:type="spellEnd"/>
      <w:r w:rsidRPr="00C57770">
        <w:rPr>
          <w:rFonts w:cstheme="minorHAnsi"/>
          <w:sz w:val="22"/>
          <w:szCs w:val="22"/>
          <w:lang w:val="cs-CZ"/>
        </w:rPr>
        <w:t xml:space="preserve"> – ředitelem Úřadu práce                         </w:t>
      </w:r>
    </w:p>
    <w:p w14:paraId="4FCE1703" w14:textId="7B87A9C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>ČR Krajské pobočky v Brně</w:t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08437315" w14:textId="77777777" w:rsidR="00477012" w:rsidRPr="00477012" w:rsidRDefault="00477012" w:rsidP="00477012">
      <w:pPr>
        <w:rPr>
          <w:rFonts w:ascii="Calibri" w:eastAsia="Calibri" w:hAnsi="Calibri" w:cs="Arial"/>
          <w:sz w:val="22"/>
          <w:szCs w:val="22"/>
          <w:lang w:val="cs-CZ"/>
        </w:rPr>
      </w:pPr>
      <w:r w:rsidRPr="00477012">
        <w:rPr>
          <w:rFonts w:ascii="Calibri" w:eastAsia="Calibri" w:hAnsi="Calibri" w:cs="Arial"/>
          <w:sz w:val="22"/>
          <w:szCs w:val="22"/>
          <w:lang w:val="cs-CZ"/>
        </w:rPr>
        <w:t xml:space="preserve">Název projektu I.:      </w:t>
      </w:r>
      <w:proofErr w:type="gramStart"/>
      <w:r w:rsidRPr="00477012">
        <w:rPr>
          <w:rFonts w:ascii="Calibri" w:eastAsia="Calibri" w:hAnsi="Calibri" w:cs="Arial"/>
          <w:sz w:val="22"/>
          <w:szCs w:val="22"/>
          <w:lang w:val="cs-CZ"/>
        </w:rPr>
        <w:t xml:space="preserve">   „</w:t>
      </w:r>
      <w:proofErr w:type="gramEnd"/>
      <w:r w:rsidRPr="00477012">
        <w:rPr>
          <w:rFonts w:ascii="Calibri" w:eastAsia="Calibri" w:hAnsi="Calibri" w:cs="Arial"/>
          <w:sz w:val="22"/>
          <w:szCs w:val="22"/>
          <w:lang w:val="cs-CZ"/>
        </w:rPr>
        <w:t>Záruky pro mladé v Jihomoravském kraji“</w:t>
      </w:r>
    </w:p>
    <w:p w14:paraId="1EA29338" w14:textId="77777777" w:rsidR="00477012" w:rsidRPr="00477012" w:rsidRDefault="00477012" w:rsidP="00477012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477012">
        <w:rPr>
          <w:rFonts w:ascii="Calibri" w:eastAsia="Calibri" w:hAnsi="Calibri" w:cs="Arial"/>
          <w:sz w:val="22"/>
          <w:szCs w:val="22"/>
          <w:lang w:val="cs-CZ"/>
        </w:rPr>
        <w:t>Název projektu II</w:t>
      </w:r>
      <w:proofErr w:type="gramStart"/>
      <w:r w:rsidRPr="00477012">
        <w:rPr>
          <w:rFonts w:ascii="Calibri" w:eastAsia="Calibri" w:hAnsi="Calibri" w:cs="Arial"/>
          <w:sz w:val="22"/>
          <w:szCs w:val="22"/>
          <w:lang w:val="cs-CZ"/>
        </w:rPr>
        <w:t xml:space="preserve">.:   </w:t>
      </w:r>
      <w:proofErr w:type="gramEnd"/>
      <w:r w:rsidRPr="00477012">
        <w:rPr>
          <w:rFonts w:ascii="Calibri" w:eastAsia="Calibri" w:hAnsi="Calibri" w:cs="Arial"/>
          <w:sz w:val="22"/>
          <w:szCs w:val="22"/>
          <w:lang w:val="cs-CZ"/>
        </w:rPr>
        <w:t xml:space="preserve">     „</w:t>
      </w:r>
      <w:r w:rsidRPr="00477012">
        <w:rPr>
          <w:rFonts w:ascii="Calibri" w:eastAsia="Calibri" w:hAnsi="Calibri" w:cs="Arial"/>
          <w:bCs/>
          <w:sz w:val="22"/>
          <w:szCs w:val="22"/>
          <w:lang w:val="cs-CZ"/>
        </w:rPr>
        <w:t>50 PLUS v 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7460A616" w14:textId="77777777" w:rsidR="00121930" w:rsidRDefault="00121930" w:rsidP="00C57770">
      <w:pPr>
        <w:jc w:val="both"/>
        <w:rPr>
          <w:rFonts w:cstheme="minorHAnsi"/>
          <w:sz w:val="22"/>
          <w:szCs w:val="22"/>
          <w:lang w:val="cs-CZ"/>
        </w:rPr>
      </w:pPr>
      <w:r w:rsidRPr="00121930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0C4CAB9F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36532E46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477012">
        <w:rPr>
          <w:rFonts w:cstheme="minorHAnsi"/>
          <w:b/>
          <w:caps/>
          <w:sz w:val="22"/>
          <w:szCs w:val="22"/>
          <w:lang w:val="cs-CZ"/>
        </w:rPr>
        <w:t>5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62C2D0D6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E670B0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>. 2016 do 3</w:t>
      </w:r>
      <w:r w:rsidR="00E670B0">
        <w:rPr>
          <w:rFonts w:cs="Arial"/>
          <w:i/>
          <w:sz w:val="22"/>
          <w:szCs w:val="22"/>
          <w:lang w:val="es-ES"/>
        </w:rPr>
        <w:t>0</w:t>
      </w:r>
      <w:r w:rsidRPr="007B03B4">
        <w:rPr>
          <w:rFonts w:cs="Arial"/>
          <w:i/>
          <w:sz w:val="22"/>
          <w:szCs w:val="22"/>
          <w:lang w:val="es-ES"/>
        </w:rPr>
        <w:t xml:space="preserve">. </w:t>
      </w:r>
      <w:r w:rsidR="00477012">
        <w:rPr>
          <w:rFonts w:cs="Arial"/>
          <w:i/>
          <w:sz w:val="22"/>
          <w:szCs w:val="22"/>
          <w:lang w:val="es-ES"/>
        </w:rPr>
        <w:t>11</w:t>
      </w:r>
      <w:r w:rsidRPr="007B03B4">
        <w:rPr>
          <w:rFonts w:cs="Arial"/>
          <w:i/>
          <w:sz w:val="22"/>
          <w:szCs w:val="22"/>
          <w:lang w:val="es-ES"/>
        </w:rPr>
        <w:t>. 2021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604010B8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7B03B4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7B03B4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11B8D140" w:rsidR="00EA3C0D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A40510C" w14:textId="10724089" w:rsidR="0075104B" w:rsidRDefault="0075104B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0A226EF6" w14:textId="77777777" w:rsidR="0075104B" w:rsidRPr="005528DA" w:rsidRDefault="0075104B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lastRenderedPageBreak/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</w:t>
      </w:r>
      <w:proofErr w:type="gramStart"/>
      <w:r w:rsidR="00846060" w:rsidRPr="005528DA">
        <w:rPr>
          <w:rFonts w:cstheme="minorHAnsi"/>
          <w:sz w:val="22"/>
          <w:szCs w:val="22"/>
          <w:lang w:val="cs-CZ"/>
        </w:rPr>
        <w:t>vážně</w:t>
      </w:r>
      <w:proofErr w:type="gramEnd"/>
      <w:r w:rsidR="00846060" w:rsidRPr="005528DA">
        <w:rPr>
          <w:rFonts w:cstheme="minorHAnsi"/>
          <w:sz w:val="22"/>
          <w:szCs w:val="22"/>
          <w:lang w:val="cs-CZ"/>
        </w:rPr>
        <w:t xml:space="preserve">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190FB1B6" w14:textId="77777777" w:rsidR="0075104B" w:rsidRDefault="0075104B">
      <w:pPr>
        <w:rPr>
          <w:rFonts w:cstheme="minorHAnsi"/>
          <w:sz w:val="22"/>
          <w:szCs w:val="22"/>
          <w:lang w:val="cs-CZ"/>
        </w:rPr>
      </w:pPr>
    </w:p>
    <w:p w14:paraId="3CD701C6" w14:textId="77777777" w:rsidR="0075104B" w:rsidRDefault="0075104B">
      <w:pPr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5104B" w:rsidRPr="005528DA" w14:paraId="16378BB2" w14:textId="77777777" w:rsidTr="000649C9">
        <w:tc>
          <w:tcPr>
            <w:tcW w:w="4605" w:type="dxa"/>
          </w:tcPr>
          <w:p w14:paraId="1F6BE8D7" w14:textId="3137FD7D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9.10.2020</w:t>
            </w:r>
          </w:p>
        </w:tc>
        <w:tc>
          <w:tcPr>
            <w:tcW w:w="4606" w:type="dxa"/>
          </w:tcPr>
          <w:p w14:paraId="09D046C4" w14:textId="08FD7530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, 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12.10.2020</w:t>
            </w:r>
          </w:p>
        </w:tc>
      </w:tr>
      <w:tr w:rsidR="0075104B" w:rsidRPr="005528DA" w14:paraId="683D2935" w14:textId="77777777" w:rsidTr="000649C9">
        <w:tc>
          <w:tcPr>
            <w:tcW w:w="4605" w:type="dxa"/>
          </w:tcPr>
          <w:p w14:paraId="6BF6F1DF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9D96A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6BCCE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3860A12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04B" w:rsidRPr="005528DA" w14:paraId="0DFC4D82" w14:textId="77777777" w:rsidTr="000649C9">
        <w:tc>
          <w:tcPr>
            <w:tcW w:w="4605" w:type="dxa"/>
          </w:tcPr>
          <w:p w14:paraId="0D62B9D6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1F800995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75104B" w:rsidRPr="005528DA" w14:paraId="47489510" w14:textId="77777777" w:rsidTr="000649C9">
        <w:tc>
          <w:tcPr>
            <w:tcW w:w="4605" w:type="dxa"/>
          </w:tcPr>
          <w:p w14:paraId="2336266E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F6D1842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04B" w:rsidRPr="005528DA" w14:paraId="25977F7B" w14:textId="77777777" w:rsidTr="000649C9">
        <w:tc>
          <w:tcPr>
            <w:tcW w:w="4605" w:type="dxa"/>
          </w:tcPr>
          <w:p w14:paraId="468B4EAB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5D760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4753D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0826634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04B" w:rsidRPr="005528DA" w14:paraId="5BB9C2BF" w14:textId="77777777" w:rsidTr="000649C9">
        <w:tc>
          <w:tcPr>
            <w:tcW w:w="4605" w:type="dxa"/>
          </w:tcPr>
          <w:p w14:paraId="40025A11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35460EFD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75104B" w:rsidRPr="00A977DF" w14:paraId="59B98CAF" w14:textId="77777777" w:rsidTr="00A977DF">
        <w:trPr>
          <w:trHeight w:val="738"/>
        </w:trPr>
        <w:tc>
          <w:tcPr>
            <w:tcW w:w="4605" w:type="dxa"/>
          </w:tcPr>
          <w:p w14:paraId="0070F421" w14:textId="77777777" w:rsidR="0075104B" w:rsidRDefault="0075104B" w:rsidP="00064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 Bohemia s.r.o.</w:t>
            </w:r>
          </w:p>
          <w:p w14:paraId="08524832" w14:textId="6CBD6FEA" w:rsidR="0075104B" w:rsidRDefault="00A977DF" w:rsidP="00064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57A84E1A" w14:textId="15A35E68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EC919AA" w14:textId="77777777" w:rsidR="0075104B" w:rsidRDefault="0075104B" w:rsidP="000649C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21930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33EA8B97" w14:textId="77777777" w:rsidR="0075104B" w:rsidRDefault="0075104B" w:rsidP="000649C9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Ing. Josef Bürger</w:t>
            </w:r>
          </w:p>
          <w:p w14:paraId="47F9EB02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2659">
              <w:rPr>
                <w:rFonts w:asciiTheme="minorHAnsi" w:hAnsiTheme="minorHAnsi" w:cs="Arial"/>
                <w:sz w:val="22"/>
                <w:szCs w:val="22"/>
              </w:rPr>
              <w:t>KrP</w:t>
            </w:r>
            <w:proofErr w:type="spellEnd"/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v Brně ÚP ČR</w:t>
            </w:r>
          </w:p>
        </w:tc>
      </w:tr>
      <w:tr w:rsidR="0075104B" w:rsidRPr="00A977DF" w14:paraId="0DD79D22" w14:textId="77777777" w:rsidTr="000649C9">
        <w:tc>
          <w:tcPr>
            <w:tcW w:w="4605" w:type="dxa"/>
          </w:tcPr>
          <w:p w14:paraId="286AC456" w14:textId="37697BC5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14:paraId="22FAE2B2" w14:textId="77777777" w:rsidR="0075104B" w:rsidRPr="005528DA" w:rsidRDefault="0075104B" w:rsidP="000649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4EE87D" w14:textId="77777777" w:rsidR="00070634" w:rsidRPr="005528DA" w:rsidRDefault="00070634">
      <w:pPr>
        <w:rPr>
          <w:rFonts w:cstheme="minorHAnsi"/>
          <w:sz w:val="22"/>
          <w:szCs w:val="22"/>
          <w:highlight w:val="yellow"/>
          <w:lang w:val="cs-CZ"/>
        </w:rPr>
      </w:pPr>
      <w:r w:rsidRPr="005528DA">
        <w:rPr>
          <w:rFonts w:cstheme="minorHAnsi"/>
          <w:sz w:val="22"/>
          <w:szCs w:val="22"/>
          <w:highlight w:val="yellow"/>
          <w:lang w:val="cs-CZ"/>
        </w:rPr>
        <w:br w:type="page"/>
      </w:r>
    </w:p>
    <w:p w14:paraId="64757725" w14:textId="7777777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A977DF" w14:paraId="773D779B" w14:textId="77777777" w:rsidTr="005F4704">
        <w:tc>
          <w:tcPr>
            <w:tcW w:w="4605" w:type="dxa"/>
          </w:tcPr>
          <w:p w14:paraId="1BDBA238" w14:textId="138FF4E9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3EAF172" w14:textId="6168FBC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977DF" w14:paraId="54F184FB" w14:textId="77777777" w:rsidTr="005F4704">
        <w:tc>
          <w:tcPr>
            <w:tcW w:w="4605" w:type="dxa"/>
          </w:tcPr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977DF" w14:paraId="77A619D6" w14:textId="77777777" w:rsidTr="005F4704">
        <w:tc>
          <w:tcPr>
            <w:tcW w:w="4605" w:type="dxa"/>
          </w:tcPr>
          <w:p w14:paraId="50877104" w14:textId="3D8BFEF5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77078C81" w14:textId="14B34C8A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2939" w:rsidRPr="00A977DF" w14:paraId="2FA4A3D6" w14:textId="77777777" w:rsidTr="005F4704">
        <w:tc>
          <w:tcPr>
            <w:tcW w:w="4605" w:type="dxa"/>
          </w:tcPr>
          <w:p w14:paraId="3A3A130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8460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977DF" w14:paraId="4A851FDE" w14:textId="77777777" w:rsidTr="005F4704">
        <w:tc>
          <w:tcPr>
            <w:tcW w:w="4605" w:type="dxa"/>
          </w:tcPr>
          <w:p w14:paraId="30A70D4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B60F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977DF" w14:paraId="77A64B02" w14:textId="77777777" w:rsidTr="005F4704">
        <w:tc>
          <w:tcPr>
            <w:tcW w:w="4605" w:type="dxa"/>
          </w:tcPr>
          <w:p w14:paraId="70245951" w14:textId="07524A65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D83782E" w14:textId="3EC0D904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770" w:rsidRPr="00A977DF" w14:paraId="1659D522" w14:textId="77777777" w:rsidTr="005F4704">
        <w:tc>
          <w:tcPr>
            <w:tcW w:w="4605" w:type="dxa"/>
          </w:tcPr>
          <w:p w14:paraId="419884D0" w14:textId="4B7743B3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2BE76C" w14:textId="7AFCB34B" w:rsidR="00D22B4D" w:rsidRPr="005528DA" w:rsidRDefault="00D22B4D" w:rsidP="00D22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770" w:rsidRPr="00A977DF" w14:paraId="4A29743A" w14:textId="77777777" w:rsidTr="005F4704">
        <w:tc>
          <w:tcPr>
            <w:tcW w:w="4605" w:type="dxa"/>
          </w:tcPr>
          <w:p w14:paraId="0F5223FD" w14:textId="396D02D1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D3B61F2" w14:textId="0B1CEABC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977DF" w14:paraId="52504E4F" w14:textId="77777777" w:rsidTr="005F4704">
        <w:tc>
          <w:tcPr>
            <w:tcW w:w="4605" w:type="dxa"/>
          </w:tcPr>
          <w:p w14:paraId="335CC3D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977DF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977DF" w14:paraId="21615A56" w14:textId="77777777" w:rsidTr="005F4704">
        <w:tc>
          <w:tcPr>
            <w:tcW w:w="4605" w:type="dxa"/>
          </w:tcPr>
          <w:p w14:paraId="2CAD97D6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700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6A6B"/>
    <w:rsid w:val="001207C2"/>
    <w:rsid w:val="00121930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970EF"/>
    <w:rsid w:val="002D0D0C"/>
    <w:rsid w:val="002D3BB1"/>
    <w:rsid w:val="002F131E"/>
    <w:rsid w:val="00311DEC"/>
    <w:rsid w:val="00322419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564AD"/>
    <w:rsid w:val="00477012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50EB6"/>
    <w:rsid w:val="00655F52"/>
    <w:rsid w:val="00660963"/>
    <w:rsid w:val="00694BF1"/>
    <w:rsid w:val="006B323F"/>
    <w:rsid w:val="006C0544"/>
    <w:rsid w:val="006E14B5"/>
    <w:rsid w:val="00724A34"/>
    <w:rsid w:val="00732939"/>
    <w:rsid w:val="00747991"/>
    <w:rsid w:val="0075104B"/>
    <w:rsid w:val="00764266"/>
    <w:rsid w:val="0076449D"/>
    <w:rsid w:val="00766757"/>
    <w:rsid w:val="00766C97"/>
    <w:rsid w:val="007A79E0"/>
    <w:rsid w:val="007B03B4"/>
    <w:rsid w:val="007C3F61"/>
    <w:rsid w:val="007D0707"/>
    <w:rsid w:val="007E5879"/>
    <w:rsid w:val="007F72DC"/>
    <w:rsid w:val="008445C3"/>
    <w:rsid w:val="00846060"/>
    <w:rsid w:val="0085708E"/>
    <w:rsid w:val="0086547E"/>
    <w:rsid w:val="00876938"/>
    <w:rsid w:val="008A4248"/>
    <w:rsid w:val="008D3651"/>
    <w:rsid w:val="009737CC"/>
    <w:rsid w:val="0099598A"/>
    <w:rsid w:val="009A0E17"/>
    <w:rsid w:val="009D686C"/>
    <w:rsid w:val="00A048A0"/>
    <w:rsid w:val="00A40AE9"/>
    <w:rsid w:val="00A530BF"/>
    <w:rsid w:val="00A87ACF"/>
    <w:rsid w:val="00A9112F"/>
    <w:rsid w:val="00A93C76"/>
    <w:rsid w:val="00A9539A"/>
    <w:rsid w:val="00A977DF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C503C7"/>
    <w:rsid w:val="00C57770"/>
    <w:rsid w:val="00C61945"/>
    <w:rsid w:val="00C630CE"/>
    <w:rsid w:val="00C66440"/>
    <w:rsid w:val="00C83634"/>
    <w:rsid w:val="00C90FC3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D9A"/>
    <w:rsid w:val="00E23F53"/>
    <w:rsid w:val="00E477AA"/>
    <w:rsid w:val="00E53B00"/>
    <w:rsid w:val="00E670B0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A7FC-313E-4BE8-9493-2A8967EE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2805</Characters>
  <Application>Microsoft Office Word</Application>
  <DocSecurity>4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2017-03-10T09:14:00Z</cp:lastPrinted>
  <dcterms:created xsi:type="dcterms:W3CDTF">2020-10-13T10:19:00Z</dcterms:created>
  <dcterms:modified xsi:type="dcterms:W3CDTF">2020-10-13T10:19:00Z</dcterms:modified>
</cp:coreProperties>
</file>