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DE" w:rsidRPr="009235DE" w:rsidRDefault="009235DE" w:rsidP="009235D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Kupní smlouva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uzavřená dle ust. § 2079 a násl. zák. č. 89/ 2012 Sb., občanský zákoník, 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v platném a účinném znění (dále jako „občanský zákoník“)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níže uvedeného dne, měsíce a roku mezi smluvními stranami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Firma:</w:t>
      </w:r>
      <w:r w:rsidR="00CA20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61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PROFIBA s.r.o.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IČ: 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>29362083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DIČ: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CZ29362083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sídlem: 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>Kaly 54, 594 55 Kaly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zastoupená: 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>Ing. Zdeněk Baksa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č. účtu: </w:t>
      </w:r>
      <w:r w:rsidR="00AA2F68" w:rsidRPr="00AA2F68"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  <w:t>xxxxxxxxxxxxxxxxxxx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>info@profiba.cz</w:t>
      </w:r>
    </w:p>
    <w:p w:rsidR="009235DE" w:rsidRPr="009235DE" w:rsidRDefault="009235DE" w:rsidP="009235D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(dále jako „</w:t>
      </w:r>
      <w:r w:rsidRPr="009235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prodávající</w:t>
      </w:r>
      <w:r w:rsidRPr="00923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“)</w:t>
      </w:r>
    </w:p>
    <w:p w:rsidR="009235DE" w:rsidRPr="009235DE" w:rsidRDefault="009235DE" w:rsidP="009235DE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Psychiatrická nemocnice Horní Beřkovice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se sídlem: Podřipská 1, 411 85 Horní Beřkovice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IČ: 00673552, 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DIČ: CZ00673552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státní příspěvková organizace zřízená rozhodnutím MZ ČR – zřizovací listina ve znění změn provedených Opatřením MZ ČR vydaným pod č. j. MZDR 29705/2018-1/OPŘ ze dne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18. 9. 2018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zastoupená: MUDr. Jiřím Tomečkem, MBA, ředitelem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 Česká národní banka, č. účtu: 7930171/0710</w:t>
      </w:r>
    </w:p>
    <w:p w:rsidR="009235DE" w:rsidRPr="009235DE" w:rsidRDefault="009235DE" w:rsidP="009235DE">
      <w:pPr>
        <w:spacing w:after="0"/>
        <w:ind w:left="708" w:hanging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(dále jako „</w:t>
      </w:r>
      <w:r w:rsidRPr="009235D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kupující</w:t>
      </w:r>
      <w:r w:rsidRPr="009235D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”) </w:t>
      </w:r>
    </w:p>
    <w:p w:rsidR="009235DE" w:rsidRPr="009235DE" w:rsidRDefault="009235DE" w:rsidP="009235DE">
      <w:p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uzavírají tuto smlouvu na základě výsledků výběrového řízení pro zakázku malého rozsahu s názvem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„Mobiliář parku</w:t>
      </w:r>
      <w:r w:rsidR="00CA20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CA20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betonové lavičky a betonové odpadkové koše“</w:t>
      </w: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číslo N</w:t>
      </w:r>
      <w:r w:rsidRPr="009235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006/20/V000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21755,</w:t>
      </w:r>
      <w:r w:rsidRPr="009235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realizovanou přes Národní elektronický nástroj (NEN), a to v souladu se zadávací dokumentací zadavatele (kupujícího) a nabídkou dodavatele (prodávajícího) ze dne 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9.9.2020 ( 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dále jako „nabídka“)</w:t>
      </w:r>
    </w:p>
    <w:p w:rsid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5438" w:rsidRPr="009235DE" w:rsidRDefault="00785438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I.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Předmět smlouvy</w:t>
      </w:r>
    </w:p>
    <w:p w:rsidR="009235DE" w:rsidRPr="004B5DC7" w:rsidRDefault="009235DE" w:rsidP="009235D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Předmětem této kupní smlouvy (dále jako „smlouva“</w:t>
      </w:r>
      <w:r w:rsidRP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 je závazek prodávajícího dod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at kupujícímu </w:t>
      </w:r>
      <w:r w:rsidRP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55 kusů parkových betonových laviček a 12 kusů betonových košů 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se stříškou s</w:t>
      </w:r>
      <w:r w:rsidR="00785438"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 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popelníkem</w:t>
      </w:r>
      <w:r w:rsidR="00785438" w:rsidRP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(dále jako „předmět koupě“), a to </w:t>
      </w:r>
      <w:r w:rsidRPr="009235D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dle</w:t>
      </w:r>
      <w:r w:rsidR="00785438" w:rsidRP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specifikace zadavatele, uvedené </w:t>
      </w:r>
      <w:r w:rsidR="00785438"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 příloze č 1 a příloze č. 2 zadávací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785438"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dokumentace. </w:t>
      </w:r>
    </w:p>
    <w:p w:rsidR="009235DE" w:rsidRPr="009235DE" w:rsidRDefault="009235DE" w:rsidP="009235D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Kupující se touto smlouvou zavazuje řádně dodaný před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mět koupě od prodávajícího odeb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rat a 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uhradit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prodávajícímu 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dohodnutou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kupní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cenu.</w:t>
      </w:r>
    </w:p>
    <w:p w:rsid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5438" w:rsidRDefault="00785438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5438" w:rsidRPr="009235DE" w:rsidRDefault="00785438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II.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Místo plnění</w:t>
      </w:r>
    </w:p>
    <w:p w:rsidR="009235DE" w:rsidRPr="009235DE" w:rsidRDefault="00785438" w:rsidP="007854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9235DE"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Místem plnění je sídlo kupujícího (zadavatele), a to sklad MTZ (budova „P“),</w:t>
      </w:r>
      <w:r w:rsidR="009235DE"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III.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Termín plnění </w:t>
      </w:r>
    </w:p>
    <w:p w:rsidR="009235DE" w:rsidRPr="009235DE" w:rsidRDefault="00785438" w:rsidP="009235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Prodávající se zavazuje předmět koupě dodat kupujícímu </w:t>
      </w:r>
      <w:r w:rsidRPr="0078543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nejpozději do 1</w:t>
      </w:r>
      <w:r w:rsidR="00E9091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3</w:t>
      </w:r>
      <w:r w:rsidRPr="0078543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 11. 2020.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IV.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Dodací podmínky</w:t>
      </w:r>
    </w:p>
    <w:p w:rsidR="009235DE" w:rsidRPr="009235DE" w:rsidRDefault="009235DE" w:rsidP="009235D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se zavazuje dodat kupujícímu předmět koupě přesně ve s</w:t>
      </w:r>
      <w:r w:rsidR="00D86A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pecifikaci a rozsahu dle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článku I. této smlouvy.</w:t>
      </w:r>
    </w:p>
    <w:p w:rsidR="009235DE" w:rsidRPr="00D86A2D" w:rsidRDefault="00D86A2D" w:rsidP="00D86A2D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Předmět koupě bude dodán do místa plnění </w:t>
      </w:r>
      <w:r w:rsidR="009235DE" w:rsidRPr="00D86A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 pracovní dny, a to v době od 07:00 do 11:30 hod. a od 12:00 do 14:00 hod.</w:t>
      </w:r>
    </w:p>
    <w:p w:rsidR="009235DE" w:rsidRPr="009235DE" w:rsidRDefault="009235DE" w:rsidP="009235D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Kupující se zavazuje umožnit přístup zaměstnancům prodávajícího do areálu místa plnění za účelem plnění závazků vyplývajících z této smlouvy.</w:t>
      </w:r>
    </w:p>
    <w:p w:rsidR="009235DE" w:rsidRPr="009235DE" w:rsidRDefault="009235DE" w:rsidP="009235D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</w:p>
    <w:p w:rsidR="009235DE" w:rsidRPr="009235DE" w:rsidRDefault="009235DE" w:rsidP="009235D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Předmět koupě musí být označen řádně a v souladu s příslušnými právními předpisy.</w:t>
      </w:r>
    </w:p>
    <w:p w:rsidR="009235DE" w:rsidRPr="009235DE" w:rsidRDefault="009235DE" w:rsidP="009235D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odpovídá za to, že dodané zbož</w:t>
      </w:r>
      <w:r w:rsidR="00D86A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í je způsobilé k užívání v souladu s jeho určením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a že zboží odpovídá všem požadavkům obecně závazných právních předpisů. 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Kupní cena a platební podmínky</w:t>
      </w:r>
    </w:p>
    <w:p w:rsidR="000445C8" w:rsidRDefault="000445C8" w:rsidP="009235D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Kupní cena za celý předmět veřejné zakázky činí</w:t>
      </w:r>
    </w:p>
    <w:p w:rsidR="000445C8" w:rsidRDefault="000445C8" w:rsidP="000445C8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445C8" w:rsidRDefault="00A616F3" w:rsidP="000445C8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218.856,24 </w:t>
      </w:r>
      <w:r w:rsidR="000445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Kč bez DPH</w:t>
      </w:r>
    </w:p>
    <w:p w:rsidR="000445C8" w:rsidRDefault="00A616F3" w:rsidP="000445C8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45.959,</w:t>
      </w:r>
      <w:r w:rsidR="006C485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81</w:t>
      </w:r>
      <w:r w:rsidR="006F7F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Kč</w:t>
      </w:r>
      <w:r w:rsidR="000445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výše DPH</w:t>
      </w:r>
    </w:p>
    <w:p w:rsidR="000445C8" w:rsidRDefault="00A616F3" w:rsidP="000445C8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264.816</w:t>
      </w:r>
      <w:r w:rsidR="006C485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,05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0445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Kč celkem s DPH</w:t>
      </w:r>
    </w:p>
    <w:p w:rsidR="000445C8" w:rsidRDefault="000445C8" w:rsidP="000445C8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445C8" w:rsidRPr="000445C8" w:rsidRDefault="000445C8" w:rsidP="000445C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Prodávající je plátcem DPH</w:t>
      </w:r>
    </w:p>
    <w:p w:rsidR="009235DE" w:rsidRPr="009235DE" w:rsidRDefault="009235DE" w:rsidP="009235D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Kupní cena předmětu koupě je cena konečná a zahrnuje veškeré náklady prodávajícího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(tj. např. dopravné do místa plnění, pojištění zásilky, celní, bankovní a ostatní poplatky, finanční vlivy – inflace, předpokládaný vývoj kurzu české koruny k zahraničním měnám apod.).</w:t>
      </w:r>
    </w:p>
    <w:p w:rsidR="009235DE" w:rsidRPr="009235DE" w:rsidRDefault="009235DE" w:rsidP="009235D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:rsidR="009235DE" w:rsidRPr="009235DE" w:rsidRDefault="009235DE" w:rsidP="009235D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řádného doručení bezvadného daňového dokladu.</w:t>
      </w:r>
    </w:p>
    <w:p w:rsidR="009235DE" w:rsidRPr="009235DE" w:rsidRDefault="009235DE" w:rsidP="009235D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Spla</w:t>
      </w:r>
      <w:r w:rsidR="001904A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tnost daňového dokladu je</w:t>
      </w:r>
      <w:r w:rsidR="00A616F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30 kalendářních dní ode dne doručení tohoto dokladu </w:t>
      </w:r>
      <w:r w:rsidR="00A616F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upujícímu a zároveň na dokladu bude vždy uvedeno číslo zakázky, tzn. </w:t>
      </w:r>
      <w:r w:rsidR="001904A0"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</w:t>
      </w:r>
      <w:r w:rsidR="001904A0" w:rsidRPr="009235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006/20/V000</w:t>
      </w:r>
      <w:r w:rsidR="001904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21755.</w:t>
      </w:r>
    </w:p>
    <w:p w:rsidR="009235DE" w:rsidRPr="009235DE" w:rsidRDefault="009235DE" w:rsidP="009235D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Cenu předmětu koupě je možné změnit pouze v případě, že dojde v průběhu realizace předmětu koupě ke změnám daňových předpisů upravujících výši sazby DPH. 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VI.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Smluvní pokuta a úrok z prodlení</w:t>
      </w:r>
    </w:p>
    <w:p w:rsidR="009235DE" w:rsidRPr="009235DE" w:rsidRDefault="003E0722" w:rsidP="009235D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 případě prodlení</w:t>
      </w:r>
      <w:r w:rsidR="009235DE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prodáva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jícího s nedodržením termínu dodávky uvedeného v čl. III</w:t>
      </w:r>
      <w:r w:rsidR="009235DE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této smlouvy, má kupující právo na smluvní pokutu, jejíž výše bude odpovídat zákonné výši úroku z prodlení.</w:t>
      </w:r>
    </w:p>
    <w:p w:rsidR="009235DE" w:rsidRPr="009235DE" w:rsidRDefault="003E0722" w:rsidP="006B20C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 případě prodlení kupujícího s úhradou kupní ceny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má prodávající právo na </w:t>
      </w:r>
      <w:r w:rsidR="009235DE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úrok z prodlení</w:t>
      </w:r>
      <w:r w:rsidR="006F7F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jehož</w:t>
      </w:r>
      <w:r w:rsidR="006B20C1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výše bude odpovídat zákonné výši úroku z prodlení.</w:t>
      </w:r>
    </w:p>
    <w:p w:rsidR="009235DE" w:rsidRPr="009235DE" w:rsidRDefault="009235DE" w:rsidP="009235D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Zaplacením smluvní pokuty či úroků z prodlení není dotčeno právo na náhradu škody, která vznikla smluvní straně v příčinné souvislosti s porušením smlouvy.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VII.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Nabytí vlastnického práva</w:t>
      </w:r>
    </w:p>
    <w:p w:rsidR="009235DE" w:rsidRPr="009235DE" w:rsidRDefault="009235DE" w:rsidP="006B20C1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Kupující nabývá vlastnické právo k předmětu koupě okamžikem jeho převzetí </w:t>
      </w:r>
    </w:p>
    <w:p w:rsidR="009235DE" w:rsidRPr="009235DE" w:rsidRDefault="009235DE" w:rsidP="0092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VIII.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Záruka za jakost</w:t>
      </w:r>
    </w:p>
    <w:p w:rsidR="009235DE" w:rsidRPr="009235DE" w:rsidRDefault="009235DE" w:rsidP="006B20C1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Prodávající poskytuje záruku na každý jednotlivý předmět koupě v délce trvání 24 kalendářních měsíců. </w:t>
      </w:r>
    </w:p>
    <w:p w:rsidR="009235DE" w:rsidRPr="009235DE" w:rsidRDefault="009235DE" w:rsidP="009235D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Článek IX.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Ukončení smlouvy</w:t>
      </w:r>
    </w:p>
    <w:p w:rsidR="009235DE" w:rsidRPr="009235DE" w:rsidRDefault="009235DE" w:rsidP="009235D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Smlouvu lze ukončit dohodou obou smluvních stran.</w:t>
      </w:r>
    </w:p>
    <w:p w:rsidR="009235DE" w:rsidRPr="009235DE" w:rsidRDefault="009235DE" w:rsidP="009235D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Od této smlouvy lze odstoupit v případech definovaných zákonem č. 89/2012 Sb., občanský zákoník. Odstoupení od smlouvy je třeba učinit v písemné formě a musí být doručeno druhé smluvní straně. Dojde-li k platnému odstoupení od smlouvy, mají smluvní strany povinnost vrátit si všechna vzájemně učiněná plnění.</w:t>
      </w:r>
    </w:p>
    <w:p w:rsidR="009235DE" w:rsidRPr="009235DE" w:rsidRDefault="009235DE" w:rsidP="009235D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Tuto smlouvu lze vypovědět v následujících případech:</w:t>
      </w:r>
    </w:p>
    <w:p w:rsidR="009235DE" w:rsidRPr="004B5DC7" w:rsidRDefault="009235DE" w:rsidP="009235D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ze strany kupujícího v případě, že na straně prodávajícího dojde k neplnění předmětu koupě v termínech a kvalitě dle příslušných ustanovení této smlouvy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pokud prodávající nesjedná nápravu, přestože bude kupujícím na tuto skutečnost prokazatelně upozorněn, do 7 kalendářních dnů od doručení upozornění;</w:t>
      </w:r>
    </w:p>
    <w:p w:rsidR="009235DE" w:rsidRPr="009235DE" w:rsidRDefault="009235DE" w:rsidP="009235D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ze strany prodávajícího v případě, že na straně kupujícího dojde k prodlení s platbou delší než 90 dnů po splatnosti a pokud kupující nesjedná nápravu, přestože bude prodávajícím na tuto skutečnost prokazatelně upozorněn, do 7 kalendářních dnů od doručení upozornění.</w:t>
      </w:r>
    </w:p>
    <w:p w:rsidR="009235DE" w:rsidRPr="009235DE" w:rsidRDefault="009235DE" w:rsidP="009235DE">
      <w:pPr>
        <w:widowControl w:val="0"/>
        <w:spacing w:after="0"/>
        <w:ind w:left="360"/>
        <w:jc w:val="both"/>
        <w:rPr>
          <w:rFonts w:ascii="Albertus Medium" w:eastAsia="SimSun" w:hAnsi="Albertus Medium" w:cs="Mangal"/>
          <w:kern w:val="2"/>
          <w:sz w:val="24"/>
          <w:szCs w:val="24"/>
          <w:lang w:eastAsia="hi-IN" w:bidi="hi-IN"/>
        </w:rPr>
      </w:pPr>
      <w:r w:rsidRPr="009235DE">
        <w:rPr>
          <w:rFonts w:ascii="Albertus Medium" w:eastAsia="SimSun" w:hAnsi="Albertus Medium" w:cs="Mangal"/>
          <w:kern w:val="2"/>
          <w:sz w:val="24"/>
          <w:szCs w:val="24"/>
          <w:lang w:eastAsia="hi-IN" w:bidi="hi-IN"/>
        </w:rPr>
        <w:t>Výpověď musí být učiněna v písemné formě a musí být doručena druhé smluvní straně. Výpovědní lhůta činí 30 dní a počíná běžet prvním dnem kalendářního měsíce následujícího po kalendářním měsíci, v němž byla výpověď doručena.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X.</w:t>
      </w:r>
    </w:p>
    <w:p w:rsidR="009235DE" w:rsidRPr="009235DE" w:rsidRDefault="009235DE" w:rsidP="00923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Závěrečná ustanovení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Tato smlouva nabývá pla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nosti okamžikem jejího podpisu druhou smluvní stranou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účinnosti jejím zveřejněním v informačním systému veřejné správy s názvem „Registr smluv“, ve smyslu příslušných ustanovení zákona č. 340/2015 Sb., zákon o registru smluv. Zveřejnění smlouvy v Registru smluv zajistí kupující. Prodávající prohlašuje, že souhlasí se zveřejněním této smlouvy.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se zavazuje zachovávat mlčenlivost o jakýchkoliv důvěrných informacích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osobních údajích, jež se v souvislosti se zajišťováním předmětu smlouvy dozví.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Prodávající prohlašuje, že se seznámil s dokumentem „Specifická rizika typická pro areál a objekty Psychiatrické nemocnice Horní Beřkovice”, zveřejněným na webových stránkách objednatele </w:t>
      </w:r>
      <w:hyperlink r:id="rId7" w:history="1">
        <w:r w:rsidRPr="009235DE">
          <w:rPr>
            <w:rFonts w:ascii="Times New Roman" w:eastAsia="SimSun" w:hAnsi="Times New Roman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https://www.pnhberkovice.cz</w:t>
        </w:r>
      </w:hyperlink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 </w:t>
      </w:r>
    </w:p>
    <w:p w:rsidR="009235DE" w:rsidRPr="004B5DC7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na sebe přebírá nebezpečí změny okolností dle § 1765 odst. 2 zákona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č. 89/2012 Sb., občanského zákoníku, v platném znění.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Kontaktní osoby prodávajícího a kupujícího ve věcech této smlouvy:</w:t>
      </w:r>
    </w:p>
    <w:p w:rsidR="009235DE" w:rsidRPr="009235DE" w:rsidRDefault="009235DE" w:rsidP="009235DE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prodávající:</w:t>
      </w:r>
    </w:p>
    <w:p w:rsidR="009235DE" w:rsidRPr="00AA2F68" w:rsidRDefault="00AA2F68" w:rsidP="009235D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</w:pPr>
      <w:r w:rsidRPr="00AA2F68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</w:t>
      </w:r>
    </w:p>
    <w:p w:rsidR="009235DE" w:rsidRPr="000577D6" w:rsidRDefault="000577D6" w:rsidP="009235D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</w:pPr>
      <w:r w:rsidRPr="000577D6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</w:t>
      </w:r>
    </w:p>
    <w:p w:rsidR="00A616F3" w:rsidRPr="000577D6" w:rsidRDefault="000577D6" w:rsidP="009235D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</w:pPr>
      <w:r w:rsidRPr="000577D6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</w:t>
      </w:r>
    </w:p>
    <w:p w:rsidR="009235DE" w:rsidRPr="009235DE" w:rsidRDefault="006B20C1" w:rsidP="00A616F3">
      <w:pPr>
        <w:widowControl w:val="0"/>
        <w:spacing w:after="0" w:line="240" w:lineRule="auto"/>
        <w:ind w:left="2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9235DE" w:rsidRPr="009235DE" w:rsidRDefault="009235DE" w:rsidP="009235DE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kupující:</w:t>
      </w:r>
    </w:p>
    <w:p w:rsidR="009235DE" w:rsidRPr="00AA2F68" w:rsidRDefault="00AA2F68" w:rsidP="009235DE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</w:pPr>
      <w:r w:rsidRPr="00AA2F68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</w:t>
      </w:r>
    </w:p>
    <w:p w:rsidR="009235DE" w:rsidRPr="009235DE" w:rsidRDefault="009235DE" w:rsidP="009235DE">
      <w:pPr>
        <w:widowControl w:val="0"/>
        <w:spacing w:after="0"/>
        <w:ind w:left="2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e-mail: </w:t>
      </w:r>
      <w:r w:rsidR="00AA2F68" w:rsidRPr="00AA2F68">
        <w:rPr>
          <w:highlight w:val="black"/>
        </w:rPr>
        <w:t>xxxxxxxxxxxxxxxxxxxxxxxxxxx</w:t>
      </w:r>
    </w:p>
    <w:p w:rsidR="009235DE" w:rsidRPr="009235DE" w:rsidRDefault="009235DE" w:rsidP="009235DE">
      <w:pPr>
        <w:widowControl w:val="0"/>
        <w:spacing w:after="0"/>
        <w:ind w:left="2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telefon </w:t>
      </w:r>
      <w:r w:rsidR="00AA2F68" w:rsidRPr="00AA2F68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xxxxxxxxxxxxxxxxxxxxxx</w:t>
      </w:r>
    </w:p>
    <w:p w:rsidR="009235DE" w:rsidRPr="00AA2F68" w:rsidRDefault="00AA2F68" w:rsidP="009235DE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</w:pPr>
      <w:r w:rsidRPr="00AA2F68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</w:t>
      </w:r>
    </w:p>
    <w:p w:rsidR="009235DE" w:rsidRPr="009235DE" w:rsidRDefault="009235DE" w:rsidP="009235DE">
      <w:pPr>
        <w:widowControl w:val="0"/>
        <w:spacing w:after="0"/>
        <w:ind w:left="2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e-mail: </w:t>
      </w:r>
      <w:r w:rsidR="00AA2F68" w:rsidRPr="00AA2F68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xxxxxxxxxxxxxxxxxxxxxx</w:t>
      </w:r>
      <w:hyperlink r:id="rId8" w:history="1"/>
    </w:p>
    <w:p w:rsidR="009235DE" w:rsidRPr="009235DE" w:rsidRDefault="009E3B08" w:rsidP="009235DE">
      <w:pPr>
        <w:widowControl w:val="0"/>
        <w:spacing w:after="0"/>
        <w:ind w:left="2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telefon </w:t>
      </w:r>
      <w:r w:rsidR="00AA2F68" w:rsidRPr="00AA2F68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xxxxxxxxxxxxxxxxxxxxxx</w:t>
      </w:r>
    </w:p>
    <w:p w:rsidR="009235DE" w:rsidRPr="009235DE" w:rsidRDefault="009235DE" w:rsidP="009235DE">
      <w:pPr>
        <w:widowControl w:val="0"/>
        <w:spacing w:after="0"/>
        <w:ind w:left="2340"/>
        <w:jc w:val="both"/>
        <w:rPr>
          <w:rFonts w:ascii="Albertus Medium" w:eastAsia="SimSun" w:hAnsi="Albertus Medium" w:cs="Mangal"/>
          <w:kern w:val="2"/>
          <w:sz w:val="20"/>
          <w:szCs w:val="24"/>
          <w:lang w:eastAsia="hi-IN" w:bidi="hi-IN"/>
        </w:rPr>
      </w:pP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Jakékoliv změny nebo doplňky této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smlouvy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musí být provedeny formou písemných, chronologicky číslovaných dodatků, podepsaných oběma smluvními stranami.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Smluvní strany prohlašují, že si tuto smlouvu přečetly, že se dohodly na celém jejím obsahu, že se smluvními podmínkami souhlasí.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Pokud nebylo v této smlouvě ujednáno jinak, řídí se právní poměry z ní vyplývající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vznikající zákonem č. 89/2012 Sb., občanský zákoník, v platném znění. Práva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povinnosti vyplývající ze závazků obsažených v této smlouvě přecházejí na případné právní nástupce obou smluvních stran.</w:t>
      </w:r>
    </w:p>
    <w:p w:rsidR="009235DE" w:rsidRPr="009235DE" w:rsidRDefault="009235DE" w:rsidP="009235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Tato smlouva je vyhotovena ve dvou stejnopisech, z nichž jeden náleží kupujícímu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jeden prodávajícímu. Každý stejnopis má platnost originálu.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EC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Horních Beřkovicích </w:t>
      </w:r>
      <w:r w:rsidR="006B20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dne </w:t>
      </w:r>
      <w:r w:rsidR="00AA2F68">
        <w:rPr>
          <w:rFonts w:ascii="Times New Roman" w:eastAsia="Times New Roman" w:hAnsi="Times New Roman" w:cs="Times New Roman"/>
          <w:sz w:val="24"/>
          <w:szCs w:val="24"/>
          <w:lang w:eastAsia="ar-SA"/>
        </w:rPr>
        <w:t>12. 10. 2020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Kalech 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dne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9.</w:t>
      </w:r>
      <w:r w:rsidR="00EC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="00EC3B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16F3"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D57A98" w:rsidP="00D57A9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7A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Kupující</w:t>
      </w:r>
      <w:r w:rsidR="009235DE"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35DE"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235DE"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235DE"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235DE"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235DE"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A4B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D57A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Prodávající</w:t>
      </w: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5DE" w:rsidRPr="009235D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20C1" w:rsidRDefault="00AA2F68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(orazítkováno a podepsáno)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235DE"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235DE"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235DE"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(orazítkováno a podepsáno)</w:t>
      </w:r>
      <w:r w:rsidR="009235DE"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A4B3E" w:rsidRDefault="009235DE" w:rsidP="009235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MUDr. Jiří Tomeček MBA</w:t>
      </w:r>
      <w:r w:rsidR="006B20C1" w:rsidRPr="00D57A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0A4B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AA2F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A4B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Ing. Zdeněk Baksa</w:t>
      </w:r>
    </w:p>
    <w:p w:rsidR="008F705E" w:rsidRDefault="006B20C1" w:rsidP="009E3B08">
      <w:pPr>
        <w:spacing w:after="0"/>
      </w:pPr>
      <w:r w:rsidRPr="00D57A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ř</w:t>
      </w:r>
      <w:r w:rsidR="009235DE"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editel</w:t>
      </w:r>
      <w:r w:rsidRPr="00D57A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 w:rsidR="000A4B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jednatel</w:t>
      </w:r>
    </w:p>
    <w:sectPr w:rsidR="008F705E" w:rsidSect="00F035BF">
      <w:footerReference w:type="default" r:id="rId9"/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28" w:rsidRDefault="00380F28" w:rsidP="006F7F17">
      <w:pPr>
        <w:spacing w:after="0" w:line="240" w:lineRule="auto"/>
      </w:pPr>
      <w:r>
        <w:separator/>
      </w:r>
    </w:p>
  </w:endnote>
  <w:endnote w:type="continuationSeparator" w:id="0">
    <w:p w:rsidR="00380F28" w:rsidRDefault="00380F28" w:rsidP="006F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518169"/>
      <w:docPartObj>
        <w:docPartGallery w:val="Page Numbers (Bottom of Page)"/>
        <w:docPartUnique/>
      </w:docPartObj>
    </w:sdtPr>
    <w:sdtEndPr/>
    <w:sdtContent>
      <w:p w:rsidR="006F7F17" w:rsidRDefault="006F7F1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25E">
          <w:rPr>
            <w:noProof/>
          </w:rPr>
          <w:t>1</w:t>
        </w:r>
        <w:r>
          <w:fldChar w:fldCharType="end"/>
        </w:r>
      </w:p>
    </w:sdtContent>
  </w:sdt>
  <w:p w:rsidR="006F7F17" w:rsidRDefault="006F7F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28" w:rsidRDefault="00380F28" w:rsidP="006F7F17">
      <w:pPr>
        <w:spacing w:after="0" w:line="240" w:lineRule="auto"/>
      </w:pPr>
      <w:r>
        <w:separator/>
      </w:r>
    </w:p>
  </w:footnote>
  <w:footnote w:type="continuationSeparator" w:id="0">
    <w:p w:rsidR="00380F28" w:rsidRDefault="00380F28" w:rsidP="006F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171D69C8"/>
    <w:multiLevelType w:val="hybridMultilevel"/>
    <w:tmpl w:val="189A2F9E"/>
    <w:lvl w:ilvl="0" w:tplc="6C428C2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67D03"/>
    <w:multiLevelType w:val="hybridMultilevel"/>
    <w:tmpl w:val="660A0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50896425"/>
    <w:multiLevelType w:val="hybridMultilevel"/>
    <w:tmpl w:val="AEC2D2B2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4A7C58"/>
    <w:multiLevelType w:val="hybridMultilevel"/>
    <w:tmpl w:val="0A26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C4"/>
    <w:rsid w:val="000445C8"/>
    <w:rsid w:val="000577D6"/>
    <w:rsid w:val="000A4B3E"/>
    <w:rsid w:val="001904A0"/>
    <w:rsid w:val="002E5254"/>
    <w:rsid w:val="002E7594"/>
    <w:rsid w:val="00380F28"/>
    <w:rsid w:val="003E0722"/>
    <w:rsid w:val="003E125E"/>
    <w:rsid w:val="004176C4"/>
    <w:rsid w:val="004B5DC7"/>
    <w:rsid w:val="006B20C1"/>
    <w:rsid w:val="006C485D"/>
    <w:rsid w:val="006F7F17"/>
    <w:rsid w:val="00785438"/>
    <w:rsid w:val="008D6919"/>
    <w:rsid w:val="008F705E"/>
    <w:rsid w:val="009235DE"/>
    <w:rsid w:val="009E3B08"/>
    <w:rsid w:val="00A616F3"/>
    <w:rsid w:val="00AA2F68"/>
    <w:rsid w:val="00CA2096"/>
    <w:rsid w:val="00D57A98"/>
    <w:rsid w:val="00D86A2D"/>
    <w:rsid w:val="00E90913"/>
    <w:rsid w:val="00E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B715"/>
  <w15:docId w15:val="{A6D51F24-2412-44C4-BEA5-F91D5F94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9235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2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923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5D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5D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5D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86A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F17"/>
  </w:style>
  <w:style w:type="paragraph" w:styleId="Zpat">
    <w:name w:val="footer"/>
    <w:basedOn w:val="Normln"/>
    <w:link w:val="Zpat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bikova@pnhberk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nhber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1284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struplova</cp:lastModifiedBy>
  <cp:revision>6</cp:revision>
  <dcterms:created xsi:type="dcterms:W3CDTF">2020-09-24T11:33:00Z</dcterms:created>
  <dcterms:modified xsi:type="dcterms:W3CDTF">2020-10-12T12:34:00Z</dcterms:modified>
</cp:coreProperties>
</file>