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0230DD" w:rsidP="00AB2654">
            <w:pPr>
              <w:spacing w:after="0" w:line="240" w:lineRule="auto"/>
              <w:jc w:val="both"/>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270</w:t>
            </w:r>
            <w:r>
              <w:rPr>
                <w:sz w:val="20"/>
                <w:szCs w:val="20"/>
                <w:lang w:eastAsia="cs-CZ"/>
              </w:rPr>
              <w:t xml:space="preserve"> </w:t>
            </w:r>
            <w:r w:rsidRPr="00D00C78">
              <w:rPr>
                <w:sz w:val="20"/>
                <w:szCs w:val="20"/>
                <w:lang w:eastAsia="cs-CZ"/>
              </w:rPr>
              <w:t>68</w:t>
            </w:r>
            <w:r>
              <w:rPr>
                <w:sz w:val="20"/>
                <w:szCs w:val="20"/>
                <w:lang w:eastAsia="cs-CZ"/>
              </w:rPr>
              <w:t xml:space="preserve"> </w:t>
            </w:r>
            <w:r w:rsidRPr="00D00C78">
              <w:rPr>
                <w:sz w:val="20"/>
                <w:szCs w:val="20"/>
                <w:lang w:eastAsia="cs-CZ"/>
              </w:rPr>
              <w:t>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CZ27068641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Evropská 176/16, 160 41 Praha 6</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Zastoupená:</w:t>
            </w:r>
          </w:p>
        </w:tc>
        <w:tc>
          <w:tcPr>
            <w:tcW w:w="6626" w:type="dxa"/>
          </w:tcPr>
          <w:p w:rsidR="009F2DB3" w:rsidRDefault="009F2DB3" w:rsidP="00AB2654">
            <w:pPr>
              <w:spacing w:after="0" w:line="240" w:lineRule="auto"/>
              <w:jc w:val="both"/>
              <w:rPr>
                <w:sz w:val="20"/>
                <w:szCs w:val="20"/>
                <w:lang w:eastAsia="cs-CZ"/>
              </w:rPr>
            </w:pPr>
            <w:r>
              <w:rPr>
                <w:sz w:val="20"/>
                <w:szCs w:val="20"/>
                <w:lang w:eastAsia="cs-CZ"/>
              </w:rPr>
              <w:t xml:space="preserve">Radkem </w:t>
            </w:r>
            <w:proofErr w:type="spellStart"/>
            <w:r w:rsidR="005373BF">
              <w:rPr>
                <w:sz w:val="20"/>
                <w:szCs w:val="20"/>
                <w:lang w:eastAsia="cs-CZ"/>
              </w:rPr>
              <w:t>Šubotníkem</w:t>
            </w:r>
            <w:proofErr w:type="spellEnd"/>
            <w:r w:rsidR="005373BF">
              <w:rPr>
                <w:sz w:val="20"/>
                <w:szCs w:val="20"/>
                <w:lang w:eastAsia="cs-CZ"/>
              </w:rPr>
              <w:t>, prokuristou</w:t>
            </w:r>
          </w:p>
          <w:p w:rsidR="005373BF" w:rsidRPr="00D00C78" w:rsidRDefault="005373BF" w:rsidP="00AB2654">
            <w:pPr>
              <w:spacing w:after="0" w:line="240" w:lineRule="auto"/>
              <w:jc w:val="both"/>
              <w:rPr>
                <w:sz w:val="20"/>
                <w:szCs w:val="20"/>
                <w:lang w:eastAsia="cs-CZ"/>
              </w:rPr>
            </w:pPr>
            <w:r>
              <w:rPr>
                <w:sz w:val="20"/>
                <w:szCs w:val="20"/>
                <w:lang w:eastAsia="cs-CZ"/>
              </w:rPr>
              <w:t>Ing. Ivem Lukešem, prokuristou</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0230DD" w:rsidP="00AB2654">
            <w:pPr>
              <w:spacing w:after="0" w:line="240" w:lineRule="auto"/>
              <w:jc w:val="both"/>
              <w:rPr>
                <w:sz w:val="20"/>
                <w:szCs w:val="20"/>
                <w:lang w:eastAsia="cs-CZ"/>
              </w:rPr>
            </w:pPr>
            <w:proofErr w:type="spellStart"/>
            <w:r w:rsidRPr="00D00C78">
              <w:rPr>
                <w:sz w:val="20"/>
                <w:szCs w:val="20"/>
                <w:lang w:eastAsia="cs-CZ"/>
              </w:rPr>
              <w:t>UniCredit</w:t>
            </w:r>
            <w:proofErr w:type="spellEnd"/>
            <w:r w:rsidRPr="00D00C78">
              <w:rPr>
                <w:sz w:val="20"/>
                <w:szCs w:val="20"/>
                <w:lang w:eastAsia="cs-CZ"/>
              </w:rPr>
              <w:t xml:space="preserve"> Bank, a.s. – Praha 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5373BF" w:rsidP="00AB2654">
            <w:pPr>
              <w:spacing w:after="0" w:line="240" w:lineRule="auto"/>
              <w:jc w:val="both"/>
              <w:rPr>
                <w:sz w:val="20"/>
                <w:szCs w:val="20"/>
                <w:lang w:eastAsia="cs-CZ"/>
              </w:rPr>
            </w:pPr>
            <w:r>
              <w:rPr>
                <w:sz w:val="20"/>
                <w:szCs w:val="20"/>
                <w:lang w:eastAsia="cs-CZ"/>
              </w:rPr>
              <w:t>21056303</w:t>
            </w:r>
            <w:r w:rsidR="000230DD" w:rsidRPr="00D00C78">
              <w:rPr>
                <w:sz w:val="20"/>
                <w:szCs w:val="20"/>
                <w:lang w:eastAsia="cs-CZ"/>
              </w:rPr>
              <w:t>82/2700</w:t>
            </w:r>
          </w:p>
        </w:tc>
      </w:tr>
      <w:tr w:rsidR="000230DD" w:rsidRPr="00D00C78" w:rsidTr="00AB2654">
        <w:tc>
          <w:tcPr>
            <w:tcW w:w="9178" w:type="dxa"/>
            <w:gridSpan w:val="2"/>
          </w:tcPr>
          <w:p w:rsidR="000230DD" w:rsidRPr="00D00C78" w:rsidRDefault="000230DD" w:rsidP="00AB2654">
            <w:pPr>
              <w:spacing w:after="0" w:line="240" w:lineRule="auto"/>
              <w:jc w:val="both"/>
              <w:rPr>
                <w:sz w:val="20"/>
                <w:szCs w:val="20"/>
                <w:lang w:eastAsia="cs-CZ"/>
              </w:rPr>
            </w:pPr>
            <w:r w:rsidRPr="00D00C78">
              <w:rPr>
                <w:sz w:val="20"/>
                <w:szCs w:val="20"/>
                <w:lang w:eastAsia="cs-CZ"/>
              </w:rPr>
              <w:t>Zapsaná v obchodním rejstříku Městského soudu v Praze, oddíl C, vložka 93921</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B93854" w:rsidP="00B93854">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1 ks nového</w:t>
      </w:r>
      <w:r w:rsidR="000230DD" w:rsidRPr="000230DD">
        <w:rPr>
          <w:rFonts w:ascii="Verdana" w:hAnsi="Verdana"/>
          <w:sz w:val="20"/>
          <w:lang w:eastAsia="cs-CZ"/>
        </w:rPr>
        <w:t xml:space="preserve"> a nepoužit</w:t>
      </w:r>
      <w:r w:rsidR="00AB2654">
        <w:rPr>
          <w:rFonts w:ascii="Verdana" w:hAnsi="Verdana"/>
          <w:sz w:val="20"/>
          <w:lang w:eastAsia="cs-CZ"/>
        </w:rPr>
        <w:t>ého</w:t>
      </w:r>
      <w:r w:rsidR="000230DD" w:rsidRPr="000230DD">
        <w:rPr>
          <w:rFonts w:ascii="Verdana" w:hAnsi="Verdana"/>
          <w:sz w:val="20"/>
          <w:lang w:eastAsia="cs-CZ"/>
        </w:rPr>
        <w:t xml:space="preserve"> 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w:t>
      </w:r>
      <w:r w:rsidR="00E67E08">
        <w:rPr>
          <w:rFonts w:ascii="Verdana" w:hAnsi="Verdana"/>
          <w:sz w:val="20"/>
          <w:lang w:eastAsia="cs-CZ"/>
        </w:rPr>
        <w:t xml:space="preserve"> </w:t>
      </w:r>
      <w:proofErr w:type="spellStart"/>
      <w:r w:rsidR="00E67E08">
        <w:rPr>
          <w:rFonts w:ascii="Verdana" w:hAnsi="Verdana"/>
          <w:sz w:val="20"/>
          <w:lang w:eastAsia="cs-CZ"/>
        </w:rPr>
        <w:t>nCare</w:t>
      </w:r>
      <w:proofErr w:type="spellEnd"/>
      <w:r w:rsidR="00E67E08">
        <w:rPr>
          <w:rFonts w:ascii="Verdana" w:hAnsi="Verdana"/>
          <w:sz w:val="20"/>
          <w:lang w:eastAsia="cs-CZ"/>
        </w:rPr>
        <w:t xml:space="preserve"> záznamové zařízení</w:t>
      </w:r>
      <w:r w:rsidR="00842691" w:rsidRPr="00842691">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 xml:space="preserve">blíže specifikováno v nabídce prodávajícího č. </w:t>
      </w:r>
      <w:r w:rsidR="00E67E08">
        <w:rPr>
          <w:rFonts w:ascii="Verdana" w:hAnsi="Verdana"/>
          <w:sz w:val="20"/>
          <w:lang w:eastAsia="cs-CZ"/>
        </w:rPr>
        <w:t>A-JD-XCZ-1349</w:t>
      </w:r>
      <w:r w:rsidR="000230DD" w:rsidRPr="000230DD">
        <w:rPr>
          <w:rFonts w:ascii="Verdana" w:hAnsi="Verdana"/>
          <w:sz w:val="20"/>
          <w:lang w:eastAsia="cs-CZ"/>
        </w:rPr>
        <w:t xml:space="preserve"> ze dne </w:t>
      </w:r>
      <w:r w:rsidR="0074511C">
        <w:rPr>
          <w:rFonts w:ascii="Verdana" w:hAnsi="Verdana"/>
          <w:sz w:val="20"/>
          <w:lang w:eastAsia="cs-CZ"/>
        </w:rPr>
        <w:t>3.9.2020</w:t>
      </w:r>
      <w:r w:rsidR="000230DD" w:rsidRPr="000230DD">
        <w:rPr>
          <w:rFonts w:ascii="Verdana" w:hAnsi="Verdana"/>
          <w:sz w:val="20"/>
          <w:lang w:eastAsia="cs-CZ"/>
        </w:rPr>
        <w:t>, která je samostatnou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0230DD" w:rsidRPr="000230DD">
        <w:rPr>
          <w:rFonts w:ascii="Verdana" w:hAnsi="Verdana"/>
          <w:b/>
          <w:sz w:val="20"/>
          <w:lang w:eastAsia="cs-CZ"/>
        </w:rPr>
        <w:t>6</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74511C" w:rsidRPr="0074511C">
        <w:rPr>
          <w:rFonts w:ascii="Verdana" w:hAnsi="Verdana"/>
          <w:sz w:val="20"/>
          <w:lang w:eastAsia="cs-CZ"/>
        </w:rPr>
        <w:t>ORL</w:t>
      </w:r>
      <w:r w:rsidR="00842691" w:rsidRPr="0074511C">
        <w:rPr>
          <w:rFonts w:ascii="Verdana" w:hAnsi="Verdana"/>
          <w:sz w:val="20"/>
          <w:lang w:eastAsia="cs-CZ"/>
        </w:rPr>
        <w:t xml:space="preserve"> oddělení</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E67E08">
        <w:rPr>
          <w:rFonts w:ascii="Verdana" w:hAnsi="Verdana"/>
          <w:sz w:val="20"/>
          <w:lang w:eastAsia="cs-CZ"/>
        </w:rPr>
        <w:t>505.105,46</w:t>
      </w:r>
      <w:r w:rsidRPr="00842691">
        <w:rPr>
          <w:rFonts w:ascii="Verdana" w:hAnsi="Verdana"/>
          <w:sz w:val="20"/>
          <w:lang w:eastAsia="cs-CZ"/>
        </w:rPr>
        <w:t xml:space="preserve"> Kč bez DPH, DPH </w:t>
      </w:r>
      <w:proofErr w:type="gramStart"/>
      <w:r w:rsidRPr="00842691">
        <w:rPr>
          <w:rFonts w:ascii="Verdana" w:hAnsi="Verdana"/>
          <w:sz w:val="20"/>
          <w:lang w:eastAsia="cs-CZ"/>
        </w:rPr>
        <w:t>21%</w:t>
      </w:r>
      <w:proofErr w:type="gramEnd"/>
      <w:r w:rsidRPr="00842691">
        <w:rPr>
          <w:rFonts w:ascii="Verdana" w:hAnsi="Verdana"/>
          <w:sz w:val="20"/>
          <w:lang w:eastAsia="cs-CZ"/>
        </w:rPr>
        <w:t xml:space="preserve"> je </w:t>
      </w:r>
      <w:r w:rsidR="00E67E08">
        <w:rPr>
          <w:rFonts w:ascii="Verdana" w:hAnsi="Verdana"/>
          <w:sz w:val="20"/>
          <w:lang w:eastAsia="cs-CZ"/>
        </w:rPr>
        <w:t>106.072,15</w:t>
      </w:r>
      <w:r w:rsidRPr="00842691">
        <w:rPr>
          <w:rFonts w:ascii="Verdana" w:hAnsi="Verdana"/>
          <w:sz w:val="20"/>
          <w:lang w:eastAsia="cs-CZ"/>
        </w:rPr>
        <w:t xml:space="preserve"> Kč, kupní cena vč. DPH činí </w:t>
      </w:r>
      <w:r w:rsidR="00E67E08" w:rsidRPr="00E67E08">
        <w:rPr>
          <w:rFonts w:ascii="Verdana" w:hAnsi="Verdana"/>
          <w:b/>
          <w:sz w:val="20"/>
          <w:lang w:eastAsia="cs-CZ"/>
        </w:rPr>
        <w:t>611.177,61</w:t>
      </w:r>
      <w:r w:rsidRPr="0074511C">
        <w:rPr>
          <w:rFonts w:ascii="Verdana" w:hAnsi="Verdana"/>
          <w:b/>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rsidR="00FD184B" w:rsidRPr="0016146E" w:rsidRDefault="00941ABD" w:rsidP="002B5AA8">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w:t>
      </w:r>
      <w:proofErr w:type="gramStart"/>
      <w:r>
        <w:rPr>
          <w:rFonts w:ascii="Verdana" w:hAnsi="Verdana"/>
          <w:sz w:val="20"/>
          <w:lang w:eastAsia="cs-CZ"/>
        </w:rPr>
        <w:t>materiál,</w:t>
      </w:r>
      <w:proofErr w:type="gramEnd"/>
      <w:r>
        <w:rPr>
          <w:rFonts w:ascii="Verdana" w:hAnsi="Verdana"/>
          <w:sz w:val="20"/>
          <w:lang w:eastAsia="cs-CZ"/>
        </w:rPr>
        <w:t xml:space="preserve"> apod.)</w:t>
      </w:r>
      <w:r w:rsidRPr="00CE555C">
        <w:rPr>
          <w:rFonts w:ascii="Verdana" w:hAnsi="Verdana"/>
          <w:sz w:val="20"/>
          <w:lang w:eastAsia="cs-CZ"/>
        </w:rPr>
        <w:t>.</w:t>
      </w:r>
    </w:p>
    <w:p w:rsidR="005C31E8" w:rsidRPr="008E603E"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Pr>
          <w:rFonts w:ascii="Verdana" w:hAnsi="Verdana"/>
          <w:sz w:val="20"/>
          <w:lang w:eastAsia="cs-CZ"/>
        </w:rPr>
        <w:t>jindrich.uher@onmb.cz</w:t>
      </w:r>
    </w:p>
    <w:p w:rsidR="002A48C2" w:rsidRPr="0072161D" w:rsidRDefault="002A48C2" w:rsidP="002A48C2">
      <w:pPr>
        <w:pStyle w:val="Nadpis2"/>
        <w:keepNext w:val="0"/>
        <w:tabs>
          <w:tab w:val="clear" w:pos="576"/>
          <w:tab w:val="num" w:pos="567"/>
        </w:tabs>
        <w:spacing w:after="60"/>
        <w:jc w:val="both"/>
        <w:rPr>
          <w:rFonts w:ascii="Verdana" w:hAnsi="Verdana"/>
          <w:sz w:val="20"/>
          <w:lang w:eastAsia="cs-CZ"/>
        </w:rPr>
      </w:pPr>
      <w:r w:rsidRPr="0072161D">
        <w:rPr>
          <w:rFonts w:ascii="Verdana" w:hAnsi="Verdana"/>
          <w:sz w:val="20"/>
          <w:lang w:eastAsia="cs-CZ"/>
        </w:rPr>
        <w:t>Kontaktní osobou k provádění servisu na straně prodávajícího je:</w:t>
      </w:r>
    </w:p>
    <w:p w:rsidR="002A48C2" w:rsidRPr="0072161D" w:rsidRDefault="002A48C2" w:rsidP="002A48C2">
      <w:pPr>
        <w:pStyle w:val="Nadpis2"/>
        <w:keepNext w:val="0"/>
        <w:numPr>
          <w:ilvl w:val="0"/>
          <w:numId w:val="0"/>
        </w:numPr>
        <w:spacing w:after="60"/>
        <w:ind w:left="567"/>
        <w:jc w:val="both"/>
        <w:rPr>
          <w:rFonts w:ascii="Verdana" w:hAnsi="Verdana"/>
          <w:sz w:val="20"/>
          <w:lang w:eastAsia="cs-CZ"/>
        </w:rPr>
      </w:pPr>
      <w:r w:rsidRPr="0072161D">
        <w:rPr>
          <w:rFonts w:ascii="Verdana" w:hAnsi="Verdana"/>
          <w:sz w:val="20"/>
          <w:lang w:eastAsia="cs-CZ"/>
        </w:rPr>
        <w:t>Jméno a příjmení:</w:t>
      </w:r>
      <w:r w:rsidRPr="0072161D">
        <w:rPr>
          <w:rFonts w:ascii="Verdana" w:hAnsi="Verdana"/>
          <w:sz w:val="20"/>
          <w:lang w:eastAsia="cs-CZ"/>
        </w:rPr>
        <w:tab/>
      </w:r>
      <w:r w:rsidR="005373BF" w:rsidRPr="0072161D">
        <w:rPr>
          <w:rFonts w:ascii="Verdana" w:hAnsi="Verdana"/>
          <w:sz w:val="20"/>
          <w:lang w:eastAsia="cs-CZ"/>
        </w:rPr>
        <w:t>Petr Novák</w:t>
      </w:r>
    </w:p>
    <w:p w:rsidR="002A48C2" w:rsidRPr="0072161D" w:rsidRDefault="002A48C2" w:rsidP="002A48C2">
      <w:pPr>
        <w:pStyle w:val="Nadpis2"/>
        <w:keepNext w:val="0"/>
        <w:numPr>
          <w:ilvl w:val="0"/>
          <w:numId w:val="0"/>
        </w:numPr>
        <w:spacing w:after="60"/>
        <w:ind w:left="567"/>
        <w:jc w:val="both"/>
        <w:rPr>
          <w:rFonts w:ascii="Verdana" w:hAnsi="Verdana"/>
          <w:sz w:val="20"/>
          <w:lang w:eastAsia="cs-CZ"/>
        </w:rPr>
      </w:pPr>
      <w:r w:rsidRPr="0072161D">
        <w:rPr>
          <w:rFonts w:ascii="Verdana" w:hAnsi="Verdana"/>
          <w:sz w:val="20"/>
          <w:lang w:eastAsia="cs-CZ"/>
        </w:rPr>
        <w:t>tel:</w:t>
      </w:r>
      <w:r w:rsidRPr="0072161D">
        <w:rPr>
          <w:rFonts w:ascii="Verdana" w:hAnsi="Verdana"/>
          <w:sz w:val="20"/>
          <w:lang w:eastAsia="cs-CZ"/>
        </w:rPr>
        <w:tab/>
      </w:r>
      <w:r w:rsidRPr="0072161D">
        <w:rPr>
          <w:rFonts w:ascii="Verdana" w:hAnsi="Verdana"/>
          <w:sz w:val="20"/>
          <w:lang w:eastAsia="cs-CZ"/>
        </w:rPr>
        <w:tab/>
      </w:r>
      <w:r w:rsidRPr="0072161D">
        <w:rPr>
          <w:rFonts w:ascii="Verdana" w:hAnsi="Verdana"/>
          <w:sz w:val="20"/>
          <w:lang w:eastAsia="cs-CZ"/>
        </w:rPr>
        <w:tab/>
      </w:r>
      <w:r w:rsidR="005373BF" w:rsidRPr="0072161D">
        <w:rPr>
          <w:rFonts w:ascii="Verdana" w:hAnsi="Verdana"/>
          <w:sz w:val="20"/>
          <w:lang w:eastAsia="cs-CZ"/>
        </w:rPr>
        <w:t>221 985 400; 602 494 811</w:t>
      </w:r>
    </w:p>
    <w:p w:rsidR="002A48C2" w:rsidRPr="0072161D" w:rsidRDefault="002A48C2" w:rsidP="002A48C2">
      <w:pPr>
        <w:pStyle w:val="Nadpis2"/>
        <w:keepNext w:val="0"/>
        <w:numPr>
          <w:ilvl w:val="0"/>
          <w:numId w:val="0"/>
        </w:numPr>
        <w:spacing w:after="60"/>
        <w:ind w:left="567"/>
        <w:jc w:val="both"/>
        <w:rPr>
          <w:rFonts w:ascii="Verdana" w:hAnsi="Verdana"/>
          <w:sz w:val="20"/>
          <w:lang w:eastAsia="cs-CZ"/>
        </w:rPr>
      </w:pPr>
      <w:r w:rsidRPr="0072161D">
        <w:rPr>
          <w:rFonts w:ascii="Verdana" w:hAnsi="Verdana"/>
          <w:sz w:val="20"/>
          <w:lang w:eastAsia="cs-CZ"/>
        </w:rPr>
        <w:t>fax:</w:t>
      </w:r>
      <w:r w:rsidRPr="0072161D">
        <w:rPr>
          <w:rFonts w:ascii="Verdana" w:hAnsi="Verdana"/>
          <w:sz w:val="20"/>
          <w:lang w:eastAsia="cs-CZ"/>
        </w:rPr>
        <w:tab/>
      </w:r>
      <w:r w:rsidRPr="0072161D">
        <w:rPr>
          <w:rFonts w:ascii="Verdana" w:hAnsi="Verdana"/>
          <w:sz w:val="20"/>
          <w:lang w:eastAsia="cs-CZ"/>
        </w:rPr>
        <w:tab/>
      </w:r>
      <w:r w:rsidRPr="0072161D">
        <w:rPr>
          <w:rFonts w:ascii="Verdana" w:hAnsi="Verdana"/>
          <w:sz w:val="20"/>
          <w:lang w:eastAsia="cs-CZ"/>
        </w:rPr>
        <w:tab/>
      </w:r>
      <w:r w:rsidR="009F2DB3" w:rsidRPr="0072161D">
        <w:rPr>
          <w:rFonts w:ascii="Verdana" w:hAnsi="Verdana"/>
          <w:sz w:val="20"/>
          <w:lang w:eastAsia="cs-CZ"/>
        </w:rPr>
        <w:t>221 985 5</w:t>
      </w:r>
      <w:r w:rsidR="005373BF" w:rsidRPr="0072161D">
        <w:rPr>
          <w:rFonts w:ascii="Verdana" w:hAnsi="Verdana"/>
          <w:sz w:val="20"/>
          <w:lang w:eastAsia="cs-CZ"/>
        </w:rPr>
        <w:t>74</w:t>
      </w:r>
    </w:p>
    <w:p w:rsidR="002A48C2" w:rsidRDefault="002A48C2" w:rsidP="002A48C2">
      <w:pPr>
        <w:pStyle w:val="Nadpis2"/>
        <w:keepNext w:val="0"/>
        <w:numPr>
          <w:ilvl w:val="0"/>
          <w:numId w:val="0"/>
        </w:numPr>
        <w:spacing w:after="60"/>
        <w:ind w:left="567"/>
        <w:jc w:val="both"/>
        <w:rPr>
          <w:rFonts w:ascii="Verdana" w:hAnsi="Verdana"/>
          <w:sz w:val="20"/>
          <w:lang w:eastAsia="cs-CZ"/>
        </w:rPr>
      </w:pPr>
      <w:r w:rsidRPr="0072161D">
        <w:rPr>
          <w:rFonts w:ascii="Verdana" w:hAnsi="Verdana"/>
          <w:sz w:val="20"/>
          <w:lang w:eastAsia="cs-CZ"/>
        </w:rPr>
        <w:t>email:</w:t>
      </w:r>
      <w:r w:rsidRPr="0072161D">
        <w:rPr>
          <w:rFonts w:ascii="Verdana" w:hAnsi="Verdana"/>
          <w:sz w:val="20"/>
          <w:lang w:eastAsia="cs-CZ"/>
        </w:rPr>
        <w:tab/>
      </w:r>
      <w:r w:rsidRPr="0072161D">
        <w:rPr>
          <w:rFonts w:ascii="Verdana" w:hAnsi="Verdana"/>
          <w:sz w:val="20"/>
          <w:lang w:eastAsia="cs-CZ"/>
        </w:rPr>
        <w:tab/>
      </w:r>
      <w:r w:rsidRPr="0072161D">
        <w:rPr>
          <w:rFonts w:ascii="Verdana" w:hAnsi="Verdana"/>
          <w:sz w:val="20"/>
          <w:lang w:eastAsia="cs-CZ"/>
        </w:rPr>
        <w:tab/>
      </w:r>
      <w:hyperlink r:id="rId8" w:history="1">
        <w:r w:rsidR="009F2DB3" w:rsidRPr="0072161D">
          <w:rPr>
            <w:rStyle w:val="Hypertextovodkaz"/>
            <w:rFonts w:ascii="Verdana" w:hAnsi="Verdana"/>
            <w:sz w:val="20"/>
            <w:lang w:eastAsia="cs-CZ"/>
          </w:rPr>
          <w:t>serviszt@olympus.cz</w:t>
        </w:r>
      </w:hyperlink>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w:t>
      </w:r>
      <w:bookmarkStart w:id="0" w:name="_GoBack"/>
      <w:bookmarkEnd w:id="0"/>
      <w:r w:rsidRPr="0016146E">
        <w:rPr>
          <w:rFonts w:ascii="Verdana" w:hAnsi="Verdana"/>
          <w:sz w:val="20"/>
        </w:rPr>
        <w:t>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30B2C">
        <w:rPr>
          <w:rFonts w:ascii="Verdana" w:hAnsi="Verdana"/>
          <w:sz w:val="20"/>
          <w:lang w:eastAsia="cs-CZ"/>
        </w:rPr>
        <w:t>0,05%</w:t>
      </w:r>
      <w:proofErr w:type="gramEnd"/>
      <w:r w:rsidRPr="00330B2C">
        <w:rPr>
          <w:rFonts w:ascii="Verdana" w:hAnsi="Verdana"/>
          <w:sz w:val="20"/>
          <w:lang w:eastAsia="cs-CZ"/>
        </w:rPr>
        <w:t xml:space="preserve">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w:t>
      </w:r>
      <w:proofErr w:type="gramStart"/>
      <w:r>
        <w:rPr>
          <w:rFonts w:ascii="Verdana" w:hAnsi="Verdana"/>
          <w:sz w:val="20"/>
          <w:lang w:eastAsia="cs-CZ"/>
        </w:rPr>
        <w:t>89a</w:t>
      </w:r>
      <w:proofErr w:type="gramEnd"/>
      <w:r>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230DD" w:rsidRPr="0074511C" w:rsidRDefault="000D77B4" w:rsidP="000230DD">
      <w:pPr>
        <w:pStyle w:val="Odstavecseseznamem"/>
        <w:numPr>
          <w:ilvl w:val="0"/>
          <w:numId w:val="28"/>
        </w:numPr>
        <w:tabs>
          <w:tab w:val="clear" w:pos="284"/>
        </w:tabs>
        <w:spacing w:after="0" w:line="240" w:lineRule="auto"/>
        <w:ind w:left="426" w:hanging="426"/>
        <w:jc w:val="both"/>
        <w:rPr>
          <w:rFonts w:eastAsia="Times New Roman"/>
          <w:snapToGrid w:val="0"/>
          <w:sz w:val="20"/>
          <w:szCs w:val="20"/>
          <w:lang w:eastAsia="cs-CZ"/>
        </w:rPr>
      </w:pPr>
      <w:r w:rsidRPr="0074511C">
        <w:rPr>
          <w:rFonts w:eastAsia="Times New Roman"/>
          <w:snapToGrid w:val="0"/>
          <w:sz w:val="20"/>
          <w:szCs w:val="20"/>
          <w:lang w:eastAsia="cs-CZ"/>
        </w:rPr>
        <w:t xml:space="preserve">nabídka zboží č. </w:t>
      </w:r>
      <w:r w:rsidR="00E67E08">
        <w:rPr>
          <w:sz w:val="20"/>
          <w:lang w:eastAsia="cs-CZ"/>
        </w:rPr>
        <w:t>A-JD-XCZ-1349</w:t>
      </w:r>
      <w:r w:rsidR="0074511C" w:rsidRPr="0074511C">
        <w:rPr>
          <w:sz w:val="20"/>
          <w:lang w:eastAsia="cs-CZ"/>
        </w:rPr>
        <w:t xml:space="preserve"> ze dne 3.9.2020</w:t>
      </w:r>
    </w:p>
    <w:p w:rsidR="0074511C" w:rsidRPr="0074511C" w:rsidRDefault="0074511C" w:rsidP="0074511C">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230DD" w:rsidRDefault="009F2DB3" w:rsidP="00AB2654">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9F2DB3" w:rsidRPr="009F2DB3" w:rsidRDefault="005373BF" w:rsidP="00AB2654">
            <w:pPr>
              <w:spacing w:after="0" w:line="240" w:lineRule="auto"/>
              <w:jc w:val="center"/>
              <w:rPr>
                <w:sz w:val="20"/>
                <w:szCs w:val="20"/>
                <w:lang w:eastAsia="cs-CZ"/>
              </w:rPr>
            </w:pPr>
            <w:r>
              <w:rPr>
                <w:sz w:val="20"/>
                <w:szCs w:val="20"/>
                <w:lang w:eastAsia="cs-CZ"/>
              </w:rPr>
              <w:t xml:space="preserve">Radek </w:t>
            </w:r>
            <w:proofErr w:type="spellStart"/>
            <w:r>
              <w:rPr>
                <w:sz w:val="20"/>
                <w:szCs w:val="20"/>
                <w:lang w:eastAsia="cs-CZ"/>
              </w:rPr>
              <w:t>Šubotník</w:t>
            </w:r>
            <w:proofErr w:type="spellEnd"/>
          </w:p>
          <w:p w:rsidR="009F2DB3" w:rsidRPr="00882036" w:rsidRDefault="009F2DB3" w:rsidP="00AB2654">
            <w:pPr>
              <w:spacing w:after="0" w:line="240" w:lineRule="auto"/>
              <w:jc w:val="center"/>
              <w:rPr>
                <w:b/>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0230DD" w:rsidRDefault="000230DD"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AB2654">
            <w:pPr>
              <w:spacing w:after="0" w:line="240" w:lineRule="auto"/>
              <w:jc w:val="center"/>
              <w:rPr>
                <w:sz w:val="20"/>
                <w:szCs w:val="20"/>
                <w:lang w:eastAsia="cs-CZ"/>
              </w:rPr>
            </w:pPr>
          </w:p>
          <w:p w:rsidR="009F2DB3" w:rsidRDefault="009F2DB3" w:rsidP="009F2DB3">
            <w:pPr>
              <w:spacing w:after="0" w:line="240" w:lineRule="auto"/>
              <w:jc w:val="center"/>
              <w:rPr>
                <w:sz w:val="20"/>
                <w:szCs w:val="20"/>
                <w:lang w:eastAsia="cs-CZ"/>
              </w:rPr>
            </w:pPr>
            <w:r w:rsidRPr="00882036">
              <w:rPr>
                <w:sz w:val="20"/>
                <w:szCs w:val="20"/>
                <w:lang w:eastAsia="cs-CZ"/>
              </w:rPr>
              <w:t>……………………………………………….</w:t>
            </w:r>
          </w:p>
          <w:p w:rsidR="009F2DB3" w:rsidRDefault="009F2DB3" w:rsidP="009F2DB3">
            <w:pPr>
              <w:spacing w:after="0" w:line="240" w:lineRule="auto"/>
              <w:jc w:val="center"/>
              <w:rPr>
                <w:b/>
                <w:sz w:val="20"/>
                <w:szCs w:val="20"/>
                <w:lang w:eastAsia="cs-CZ"/>
              </w:rPr>
            </w:pPr>
            <w:proofErr w:type="spellStart"/>
            <w:r w:rsidRPr="00D00C78">
              <w:rPr>
                <w:b/>
                <w:sz w:val="20"/>
                <w:szCs w:val="20"/>
                <w:lang w:eastAsia="cs-CZ"/>
              </w:rPr>
              <w:t>Olympus</w:t>
            </w:r>
            <w:proofErr w:type="spellEnd"/>
            <w:r w:rsidRPr="00D00C78">
              <w:rPr>
                <w:b/>
                <w:sz w:val="20"/>
                <w:szCs w:val="20"/>
                <w:lang w:eastAsia="cs-CZ"/>
              </w:rPr>
              <w:t xml:space="preserve"> Czech Group, s.r.o., člen koncernu</w:t>
            </w:r>
            <w:r w:rsidRPr="00882036">
              <w:rPr>
                <w:b/>
                <w:sz w:val="20"/>
                <w:szCs w:val="20"/>
                <w:lang w:eastAsia="cs-CZ"/>
              </w:rPr>
              <w:t xml:space="preserve"> </w:t>
            </w:r>
          </w:p>
          <w:p w:rsidR="009F2DB3" w:rsidRPr="009F2DB3" w:rsidRDefault="005373BF" w:rsidP="009F2DB3">
            <w:pPr>
              <w:spacing w:after="0" w:line="240" w:lineRule="auto"/>
              <w:jc w:val="center"/>
              <w:rPr>
                <w:sz w:val="20"/>
                <w:szCs w:val="20"/>
                <w:lang w:eastAsia="cs-CZ"/>
              </w:rPr>
            </w:pPr>
            <w:r>
              <w:rPr>
                <w:sz w:val="20"/>
                <w:szCs w:val="20"/>
                <w:lang w:eastAsia="cs-CZ"/>
              </w:rPr>
              <w:t>Ing. Ivo Lukeš</w:t>
            </w:r>
          </w:p>
          <w:p w:rsidR="009F2DB3" w:rsidRPr="00882036" w:rsidRDefault="009F2DB3" w:rsidP="009F2DB3">
            <w:pPr>
              <w:spacing w:after="0" w:line="240" w:lineRule="auto"/>
              <w:jc w:val="center"/>
              <w:rPr>
                <w:sz w:val="20"/>
                <w:szCs w:val="20"/>
                <w:lang w:eastAsia="cs-CZ"/>
              </w:rPr>
            </w:pPr>
            <w:r w:rsidRPr="009F2DB3">
              <w:rPr>
                <w:sz w:val="20"/>
                <w:szCs w:val="20"/>
                <w:lang w:eastAsia="cs-CZ"/>
              </w:rPr>
              <w:t>prokurista</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Ing. Jiří Bouška</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9"/>
      <w:footerReference w:type="even" r:id="rId10"/>
      <w:footerReference w:type="default" r:id="rId11"/>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58C" w:rsidRDefault="00D6058C">
      <w:r>
        <w:separator/>
      </w:r>
    </w:p>
  </w:endnote>
  <w:endnote w:type="continuationSeparator" w:id="0">
    <w:p w:rsidR="00D6058C" w:rsidRDefault="00D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Default="007E7024" w:rsidP="00A57CF7">
    <w:pPr>
      <w:pStyle w:val="Zpat"/>
      <w:framePr w:wrap="around" w:vAnchor="text" w:hAnchor="margin" w:xAlign="right" w:y="1"/>
      <w:rPr>
        <w:rStyle w:val="slostrnky"/>
      </w:rPr>
    </w:pPr>
    <w:r>
      <w:rPr>
        <w:rStyle w:val="slostrnky"/>
      </w:rPr>
      <w:fldChar w:fldCharType="begin"/>
    </w:r>
    <w:r w:rsidR="0074511C">
      <w:rPr>
        <w:rStyle w:val="slostrnky"/>
      </w:rPr>
      <w:instrText xml:space="preserve">PAGE  </w:instrText>
    </w:r>
    <w:r>
      <w:rPr>
        <w:rStyle w:val="slostrnky"/>
      </w:rPr>
      <w:fldChar w:fldCharType="end"/>
    </w:r>
  </w:p>
  <w:p w:rsidR="0074511C" w:rsidRDefault="0074511C" w:rsidP="00A57CF7">
    <w:pPr>
      <w:pStyle w:val="Zpat"/>
      <w:ind w:right="360"/>
    </w:pPr>
  </w:p>
  <w:p w:rsidR="0074511C" w:rsidRDefault="0074511C"/>
  <w:p w:rsidR="0074511C" w:rsidRDefault="0074511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E45928" w:rsidRDefault="0074511C"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7E7024" w:rsidRPr="00E45928">
      <w:rPr>
        <w:rStyle w:val="slostrnky"/>
        <w:sz w:val="18"/>
        <w:szCs w:val="18"/>
      </w:rPr>
      <w:fldChar w:fldCharType="begin"/>
    </w:r>
    <w:r w:rsidRPr="00E45928">
      <w:rPr>
        <w:rStyle w:val="slostrnky"/>
        <w:sz w:val="18"/>
        <w:szCs w:val="18"/>
      </w:rPr>
      <w:instrText xml:space="preserve">PAGE  </w:instrText>
    </w:r>
    <w:r w:rsidR="007E7024" w:rsidRPr="00E45928">
      <w:rPr>
        <w:rStyle w:val="slostrnky"/>
        <w:sz w:val="18"/>
        <w:szCs w:val="18"/>
      </w:rPr>
      <w:fldChar w:fldCharType="separate"/>
    </w:r>
    <w:r w:rsidR="005373BF">
      <w:rPr>
        <w:rStyle w:val="slostrnky"/>
        <w:noProof/>
        <w:sz w:val="18"/>
        <w:szCs w:val="18"/>
      </w:rPr>
      <w:t>5</w:t>
    </w:r>
    <w:r w:rsidR="007E7024"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5373BF" w:rsidRPr="005373BF">
        <w:rPr>
          <w:rStyle w:val="slostrnky"/>
          <w:noProof/>
          <w:sz w:val="18"/>
          <w:szCs w:val="18"/>
        </w:rPr>
        <w:t>5</w:t>
      </w:r>
    </w:fldSimple>
    <w:r w:rsidRPr="00E45928">
      <w:rPr>
        <w:rStyle w:val="slostrnky"/>
        <w:sz w:val="18"/>
        <w:szCs w:val="18"/>
      </w:rPr>
      <w:t xml:space="preserve"> </w:t>
    </w:r>
  </w:p>
  <w:p w:rsidR="0074511C" w:rsidRDefault="0074511C" w:rsidP="00A57CF7">
    <w:pPr>
      <w:ind w:right="360"/>
    </w:pPr>
    <w:r>
      <w:rPr>
        <w:noProof/>
        <w:lang w:eastAsia="cs-CZ"/>
      </w:rPr>
      <w:drawing>
        <wp:anchor distT="0" distB="0" distL="114300" distR="114300" simplePos="0" relativeHeight="251657216"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6058C">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58C" w:rsidRDefault="00D6058C">
      <w:r>
        <w:separator/>
      </w:r>
    </w:p>
  </w:footnote>
  <w:footnote w:type="continuationSeparator" w:id="0">
    <w:p w:rsidR="00D6058C" w:rsidRDefault="00D6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11C" w:rsidRPr="00F7628A" w:rsidRDefault="0074511C"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58240"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74511C" w:rsidRDefault="0074511C"/>
  <w:p w:rsidR="0074511C" w:rsidRDefault="0074511C"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514CC"/>
    <w:rsid w:val="0026484B"/>
    <w:rsid w:val="00266B68"/>
    <w:rsid w:val="0026761F"/>
    <w:rsid w:val="00282B6F"/>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2041"/>
    <w:rsid w:val="00515C4F"/>
    <w:rsid w:val="0052107F"/>
    <w:rsid w:val="005313B8"/>
    <w:rsid w:val="00535EF7"/>
    <w:rsid w:val="005373BF"/>
    <w:rsid w:val="005542C5"/>
    <w:rsid w:val="00557E96"/>
    <w:rsid w:val="00567770"/>
    <w:rsid w:val="005710AD"/>
    <w:rsid w:val="00573221"/>
    <w:rsid w:val="005808F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2161D"/>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E7024"/>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A4CA7"/>
    <w:rsid w:val="009B0AF3"/>
    <w:rsid w:val="009B19DF"/>
    <w:rsid w:val="009B2297"/>
    <w:rsid w:val="009B3E84"/>
    <w:rsid w:val="009B6A60"/>
    <w:rsid w:val="009C1276"/>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058C"/>
    <w:rsid w:val="00D61637"/>
    <w:rsid w:val="00DC3250"/>
    <w:rsid w:val="00DE3DAD"/>
    <w:rsid w:val="00DF1F28"/>
    <w:rsid w:val="00E121FD"/>
    <w:rsid w:val="00E223B8"/>
    <w:rsid w:val="00E30C9B"/>
    <w:rsid w:val="00E34601"/>
    <w:rsid w:val="00E36FC7"/>
    <w:rsid w:val="00E45928"/>
    <w:rsid w:val="00E5131A"/>
    <w:rsid w:val="00E67E08"/>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33DE94D-E0EE-4CC9-BA4D-C7FD56A6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zt@olympu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F091-C6CF-4E4B-AC4B-F6526769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1925</Words>
  <Characters>11361</Characters>
  <Application>Microsoft Office Word</Application>
  <DocSecurity>0</DocSecurity>
  <Lines>94</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Kupní smlouva</vt:lpstr>
      <vt:lpstr>Kupní smlouva</vt:lpstr>
    </vt:vector>
  </TitlesOfParts>
  <Company>ONMB a.s.</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4</cp:revision>
  <cp:lastPrinted>2020-09-04T08:57:00Z</cp:lastPrinted>
  <dcterms:created xsi:type="dcterms:W3CDTF">2020-09-04T06:38:00Z</dcterms:created>
  <dcterms:modified xsi:type="dcterms:W3CDTF">2020-09-04T08:57:00Z</dcterms:modified>
</cp:coreProperties>
</file>