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F9B3F" w14:textId="77777777" w:rsidR="00E92393" w:rsidRPr="00FA2090" w:rsidRDefault="00E92393" w:rsidP="00E92393">
      <w:pPr>
        <w:widowControl w:val="0"/>
        <w:rPr>
          <w:rFonts w:asciiTheme="minorHAnsi" w:hAnsiTheme="minorHAnsi" w:cstheme="minorHAnsi"/>
          <w:b/>
        </w:rPr>
      </w:pPr>
      <w:r w:rsidRPr="00FA2090">
        <w:rPr>
          <w:rFonts w:asciiTheme="minorHAnsi" w:hAnsiTheme="minorHAnsi" w:cstheme="minorHAnsi"/>
          <w:b/>
        </w:rPr>
        <w:t>Asseco Solutions, a.s.</w:t>
      </w:r>
    </w:p>
    <w:p w14:paraId="19F3B2FB" w14:textId="512375B5" w:rsidR="00E92393" w:rsidRPr="00FA2090" w:rsidRDefault="0042283E" w:rsidP="00E92393">
      <w:pPr>
        <w:pStyle w:val="Identifikace"/>
        <w:widowControl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</w:t>
      </w:r>
      <w:r w:rsidR="00E92393" w:rsidRPr="00FA2090">
        <w:rPr>
          <w:rFonts w:asciiTheme="minorHAnsi" w:hAnsiTheme="minorHAnsi" w:cstheme="minorHAnsi"/>
          <w:szCs w:val="22"/>
        </w:rPr>
        <w:t>e sídlem Praha 4, Zelený pruh 1560/99, PSČ 140 02</w:t>
      </w:r>
    </w:p>
    <w:p w14:paraId="3525FAA9" w14:textId="77777777" w:rsidR="00E92393" w:rsidRPr="00FA2090" w:rsidRDefault="00E92393" w:rsidP="00E92393">
      <w:pPr>
        <w:pStyle w:val="Identifikace"/>
        <w:widowControl w:val="0"/>
        <w:rPr>
          <w:rFonts w:asciiTheme="minorHAnsi" w:hAnsiTheme="minorHAnsi" w:cstheme="minorHAnsi"/>
          <w:szCs w:val="22"/>
        </w:rPr>
      </w:pPr>
      <w:r w:rsidRPr="00FA2090">
        <w:rPr>
          <w:rFonts w:asciiTheme="minorHAnsi" w:hAnsiTheme="minorHAnsi" w:cstheme="minorHAnsi"/>
          <w:szCs w:val="22"/>
        </w:rPr>
        <w:t>IČ: 64949541</w:t>
      </w:r>
    </w:p>
    <w:p w14:paraId="0D0DF712" w14:textId="77777777" w:rsidR="00E92393" w:rsidRPr="00FA2090" w:rsidRDefault="00E92393" w:rsidP="00E92393">
      <w:pPr>
        <w:pStyle w:val="Identifikace"/>
        <w:widowControl w:val="0"/>
        <w:rPr>
          <w:rFonts w:asciiTheme="minorHAnsi" w:hAnsiTheme="minorHAnsi" w:cstheme="minorHAnsi"/>
          <w:szCs w:val="22"/>
        </w:rPr>
      </w:pPr>
      <w:r w:rsidRPr="00FA2090">
        <w:rPr>
          <w:rFonts w:asciiTheme="minorHAnsi" w:hAnsiTheme="minorHAnsi" w:cstheme="minorHAnsi"/>
          <w:szCs w:val="22"/>
        </w:rPr>
        <w:t>Zapsaná v obchodním rejstříku vedeném Městským soudem v Praze, oddíl B, vložka 3771</w:t>
      </w:r>
    </w:p>
    <w:p w14:paraId="6BCC2090" w14:textId="33FF7226" w:rsidR="00E92393" w:rsidRPr="00FA2090" w:rsidRDefault="00E92393" w:rsidP="00E92393">
      <w:pPr>
        <w:pStyle w:val="Identifikace"/>
        <w:widowControl w:val="0"/>
        <w:rPr>
          <w:rFonts w:asciiTheme="minorHAnsi" w:hAnsiTheme="minorHAnsi" w:cstheme="minorHAnsi"/>
          <w:szCs w:val="22"/>
        </w:rPr>
      </w:pPr>
      <w:r w:rsidRPr="00FA2090">
        <w:rPr>
          <w:rFonts w:asciiTheme="minorHAnsi" w:hAnsiTheme="minorHAnsi" w:cstheme="minorHAnsi"/>
          <w:szCs w:val="22"/>
        </w:rPr>
        <w:t xml:space="preserve">Zastoupena </w:t>
      </w:r>
      <w:r w:rsidR="00463157">
        <w:rPr>
          <w:rFonts w:asciiTheme="minorHAnsi" w:hAnsiTheme="minorHAnsi" w:cstheme="minorHAnsi"/>
          <w:szCs w:val="22"/>
        </w:rPr>
        <w:t>členem</w:t>
      </w:r>
      <w:r w:rsidRPr="00FA2090">
        <w:rPr>
          <w:rFonts w:asciiTheme="minorHAnsi" w:hAnsiTheme="minorHAnsi" w:cstheme="minorHAnsi"/>
          <w:szCs w:val="22"/>
        </w:rPr>
        <w:t xml:space="preserve"> představenstva Ing. </w:t>
      </w:r>
      <w:r w:rsidR="00463157">
        <w:rPr>
          <w:rFonts w:asciiTheme="minorHAnsi" w:hAnsiTheme="minorHAnsi" w:cstheme="minorHAnsi"/>
          <w:szCs w:val="22"/>
        </w:rPr>
        <w:t>Petrem Hamplem</w:t>
      </w:r>
    </w:p>
    <w:p w14:paraId="110A28E7" w14:textId="77777777" w:rsidR="00E92393" w:rsidRPr="00FA2090" w:rsidRDefault="00E92393" w:rsidP="00E92393">
      <w:pPr>
        <w:pStyle w:val="Identifikace"/>
        <w:widowControl w:val="0"/>
        <w:rPr>
          <w:rFonts w:asciiTheme="minorHAnsi" w:hAnsiTheme="minorHAnsi" w:cstheme="minorHAnsi"/>
          <w:szCs w:val="22"/>
        </w:rPr>
      </w:pPr>
      <w:r w:rsidRPr="00FA2090">
        <w:rPr>
          <w:rFonts w:asciiTheme="minorHAnsi" w:hAnsiTheme="minorHAnsi" w:cstheme="minorHAnsi"/>
          <w:szCs w:val="22"/>
        </w:rPr>
        <w:t>dále jen „Dodavatel“</w:t>
      </w:r>
    </w:p>
    <w:p w14:paraId="4DCFF1AC" w14:textId="77777777" w:rsidR="00E92393" w:rsidRPr="00FA2090" w:rsidRDefault="00E92393" w:rsidP="00E92393">
      <w:pPr>
        <w:widowControl w:val="0"/>
        <w:rPr>
          <w:rFonts w:asciiTheme="minorHAnsi" w:hAnsiTheme="minorHAnsi" w:cstheme="minorHAnsi"/>
        </w:rPr>
      </w:pPr>
    </w:p>
    <w:p w14:paraId="3D771F76" w14:textId="77777777" w:rsidR="00E92393" w:rsidRPr="00FA2090" w:rsidRDefault="00E92393" w:rsidP="00E92393">
      <w:pPr>
        <w:widowControl w:val="0"/>
        <w:rPr>
          <w:rFonts w:asciiTheme="minorHAnsi" w:hAnsiTheme="minorHAnsi" w:cstheme="minorHAnsi"/>
        </w:rPr>
      </w:pPr>
      <w:r w:rsidRPr="00FA2090">
        <w:rPr>
          <w:rFonts w:asciiTheme="minorHAnsi" w:hAnsiTheme="minorHAnsi" w:cstheme="minorHAnsi"/>
          <w:bCs/>
        </w:rPr>
        <w:t>a</w:t>
      </w:r>
    </w:p>
    <w:p w14:paraId="1DFED2C0" w14:textId="77777777" w:rsidR="00E92393" w:rsidRPr="00FA2090" w:rsidRDefault="00E92393" w:rsidP="00E92393">
      <w:pPr>
        <w:widowControl w:val="0"/>
        <w:rPr>
          <w:rFonts w:asciiTheme="minorHAnsi" w:hAnsiTheme="minorHAnsi" w:cstheme="minorHAnsi"/>
        </w:rPr>
      </w:pPr>
    </w:p>
    <w:p w14:paraId="53E7E445" w14:textId="79E9417F" w:rsidR="00E92393" w:rsidRPr="008E6EFB" w:rsidRDefault="003E6F30" w:rsidP="00E92393">
      <w:pPr>
        <w:widowControl w:val="0"/>
        <w:rPr>
          <w:rFonts w:asciiTheme="minorHAnsi" w:hAnsiTheme="minorHAnsi" w:cstheme="minorHAnsi"/>
          <w:b/>
        </w:rPr>
      </w:pPr>
      <w:r w:rsidRPr="008E6EFB">
        <w:rPr>
          <w:rFonts w:asciiTheme="minorHAnsi" w:hAnsiTheme="minorHAnsi" w:cstheme="minorHAnsi"/>
          <w:b/>
        </w:rPr>
        <w:t>Domov pod Kuňkou</w:t>
      </w:r>
    </w:p>
    <w:p w14:paraId="022D00B7" w14:textId="3E706C85" w:rsidR="00E92393" w:rsidRPr="008E6EFB" w:rsidRDefault="0042283E" w:rsidP="00E92393">
      <w:pPr>
        <w:widowControl w:val="0"/>
        <w:tabs>
          <w:tab w:val="center" w:pos="4535"/>
        </w:tabs>
        <w:rPr>
          <w:rFonts w:asciiTheme="minorHAnsi" w:hAnsiTheme="minorHAnsi" w:cstheme="minorHAnsi"/>
        </w:rPr>
      </w:pPr>
      <w:r w:rsidRPr="008E6EFB">
        <w:rPr>
          <w:rFonts w:asciiTheme="minorHAnsi" w:hAnsiTheme="minorHAnsi" w:cstheme="minorHAnsi"/>
        </w:rPr>
        <w:t>S</w:t>
      </w:r>
      <w:r w:rsidR="00E92393" w:rsidRPr="008E6EFB">
        <w:rPr>
          <w:rFonts w:asciiTheme="minorHAnsi" w:hAnsiTheme="minorHAnsi" w:cstheme="minorHAnsi"/>
        </w:rPr>
        <w:t xml:space="preserve">e sídlem </w:t>
      </w:r>
      <w:r w:rsidR="003E6F30" w:rsidRPr="008E6EFB">
        <w:rPr>
          <w:rFonts w:asciiTheme="minorHAnsi" w:hAnsiTheme="minorHAnsi" w:cstheme="minorHAnsi"/>
        </w:rPr>
        <w:t>Staré Hradiště, Ráby 162, PSČ 533 52</w:t>
      </w:r>
      <w:r w:rsidR="00E92393" w:rsidRPr="008E6EFB">
        <w:rPr>
          <w:rFonts w:asciiTheme="minorHAnsi" w:hAnsiTheme="minorHAnsi" w:cstheme="minorHAnsi"/>
        </w:rPr>
        <w:tab/>
      </w:r>
    </w:p>
    <w:p w14:paraId="13811133" w14:textId="5B9D647B" w:rsidR="00E92393" w:rsidRPr="008E6EFB" w:rsidRDefault="00E92393" w:rsidP="00E92393">
      <w:pPr>
        <w:widowControl w:val="0"/>
        <w:rPr>
          <w:rFonts w:asciiTheme="minorHAnsi" w:hAnsiTheme="minorHAnsi" w:cstheme="minorHAnsi"/>
        </w:rPr>
      </w:pPr>
      <w:r w:rsidRPr="008E6EFB">
        <w:rPr>
          <w:rFonts w:asciiTheme="minorHAnsi" w:hAnsiTheme="minorHAnsi" w:cstheme="minorHAnsi"/>
        </w:rPr>
        <w:t xml:space="preserve">IČ: </w:t>
      </w:r>
      <w:r w:rsidR="003E6F30" w:rsidRPr="008E6EFB">
        <w:rPr>
          <w:rFonts w:asciiTheme="minorHAnsi" w:hAnsiTheme="minorHAnsi" w:cstheme="minorHAnsi"/>
        </w:rPr>
        <w:t>71176217</w:t>
      </w:r>
    </w:p>
    <w:p w14:paraId="597D8527" w14:textId="7DF35B42" w:rsidR="00E92393" w:rsidRPr="008E6EFB" w:rsidRDefault="00E92393" w:rsidP="00E92393">
      <w:pPr>
        <w:widowControl w:val="0"/>
        <w:rPr>
          <w:rFonts w:asciiTheme="minorHAnsi" w:hAnsiTheme="minorHAnsi" w:cstheme="minorHAnsi"/>
        </w:rPr>
      </w:pPr>
      <w:r w:rsidRPr="008E6EFB">
        <w:rPr>
          <w:rFonts w:asciiTheme="minorHAnsi" w:hAnsiTheme="minorHAnsi" w:cstheme="minorHAnsi"/>
        </w:rPr>
        <w:t xml:space="preserve">Zapsaná </w:t>
      </w:r>
      <w:r w:rsidR="003E6F30" w:rsidRPr="008E6EFB">
        <w:rPr>
          <w:rFonts w:asciiTheme="minorHAnsi" w:hAnsiTheme="minorHAnsi" w:cstheme="minorHAnsi"/>
        </w:rPr>
        <w:t>v obchodním rejstříku vedeném Krajským soudem v Hradci Králové, oddíl Pr, vložka 772</w:t>
      </w:r>
    </w:p>
    <w:p w14:paraId="3F6A1FC8" w14:textId="669BD91C" w:rsidR="00E92393" w:rsidRPr="008E6EFB" w:rsidRDefault="00E92393" w:rsidP="00E92393">
      <w:pPr>
        <w:widowControl w:val="0"/>
        <w:rPr>
          <w:rFonts w:asciiTheme="minorHAnsi" w:hAnsiTheme="minorHAnsi" w:cstheme="minorHAnsi"/>
        </w:rPr>
      </w:pPr>
      <w:r w:rsidRPr="008E6EFB">
        <w:rPr>
          <w:rFonts w:asciiTheme="minorHAnsi" w:hAnsiTheme="minorHAnsi" w:cstheme="minorHAnsi"/>
        </w:rPr>
        <w:t xml:space="preserve">Zastoupena </w:t>
      </w:r>
      <w:r w:rsidR="003E6F30" w:rsidRPr="008E6EFB">
        <w:rPr>
          <w:rFonts w:asciiTheme="minorHAnsi" w:hAnsiTheme="minorHAnsi" w:cstheme="minorHAnsi"/>
        </w:rPr>
        <w:t>ředitelem Bc. Tomášem Černíkem</w:t>
      </w:r>
    </w:p>
    <w:p w14:paraId="655203BC" w14:textId="77777777" w:rsidR="00E92393" w:rsidRPr="008E6EFB" w:rsidRDefault="00E92393" w:rsidP="00E92393">
      <w:pPr>
        <w:widowControl w:val="0"/>
        <w:rPr>
          <w:rFonts w:asciiTheme="minorHAnsi" w:hAnsiTheme="minorHAnsi" w:cstheme="minorHAnsi"/>
        </w:rPr>
      </w:pPr>
      <w:r w:rsidRPr="008E6EFB">
        <w:rPr>
          <w:rFonts w:asciiTheme="minorHAnsi" w:hAnsiTheme="minorHAnsi" w:cstheme="minorHAnsi"/>
        </w:rPr>
        <w:t>dále jen „Odběratel“</w:t>
      </w:r>
    </w:p>
    <w:p w14:paraId="16663976" w14:textId="77777777" w:rsidR="00E92393" w:rsidRPr="008E6EFB" w:rsidRDefault="00E92393" w:rsidP="00E92393">
      <w:pPr>
        <w:widowControl w:val="0"/>
        <w:rPr>
          <w:rFonts w:asciiTheme="minorHAnsi" w:hAnsiTheme="minorHAnsi" w:cstheme="minorHAnsi"/>
        </w:rPr>
      </w:pPr>
    </w:p>
    <w:p w14:paraId="6AB72880" w14:textId="77777777" w:rsidR="00E92393" w:rsidRPr="008E6EFB" w:rsidRDefault="00E92393" w:rsidP="00E92393">
      <w:pPr>
        <w:widowControl w:val="0"/>
        <w:rPr>
          <w:rFonts w:asciiTheme="minorHAnsi" w:hAnsiTheme="minorHAnsi" w:cstheme="minorHAnsi"/>
        </w:rPr>
      </w:pPr>
    </w:p>
    <w:p w14:paraId="0F999F07" w14:textId="46C92EC1" w:rsidR="00E92393" w:rsidRPr="008E6EFB" w:rsidRDefault="00E92393" w:rsidP="00E92393">
      <w:pPr>
        <w:widowControl w:val="0"/>
        <w:rPr>
          <w:rFonts w:asciiTheme="minorHAnsi" w:hAnsiTheme="minorHAnsi" w:cstheme="minorHAnsi"/>
        </w:rPr>
      </w:pPr>
      <w:r w:rsidRPr="008E6EFB">
        <w:rPr>
          <w:rFonts w:asciiTheme="minorHAnsi" w:hAnsiTheme="minorHAnsi" w:cstheme="minorHAnsi"/>
        </w:rPr>
        <w:t>uzavírají tento</w:t>
      </w:r>
    </w:p>
    <w:p w14:paraId="137691EF" w14:textId="77777777" w:rsidR="00E92393" w:rsidRPr="008E6EFB" w:rsidRDefault="00E92393" w:rsidP="00E92393">
      <w:pPr>
        <w:widowControl w:val="0"/>
        <w:rPr>
          <w:rFonts w:asciiTheme="minorHAnsi" w:hAnsiTheme="minorHAnsi" w:cstheme="minorHAnsi"/>
        </w:rPr>
      </w:pPr>
    </w:p>
    <w:p w14:paraId="3C962AD7" w14:textId="1FFBD351" w:rsidR="00E92393" w:rsidRPr="008E6EFB" w:rsidRDefault="00E92393" w:rsidP="00593D3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E6EFB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8E6EFB" w:rsidRPr="008E6EFB">
        <w:rPr>
          <w:rFonts w:asciiTheme="minorHAnsi" w:hAnsiTheme="minorHAnsi" w:cstheme="minorHAnsi"/>
          <w:b/>
          <w:sz w:val="36"/>
          <w:szCs w:val="36"/>
        </w:rPr>
        <w:t>2</w:t>
      </w:r>
      <w:r w:rsidR="00463157" w:rsidRPr="008E6EFB">
        <w:rPr>
          <w:rFonts w:asciiTheme="minorHAnsi" w:hAnsiTheme="minorHAnsi" w:cstheme="minorHAnsi"/>
          <w:b/>
          <w:sz w:val="36"/>
          <w:szCs w:val="36"/>
        </w:rPr>
        <w:t xml:space="preserve"> k</w:t>
      </w:r>
      <w:r w:rsidR="00AD5802" w:rsidRPr="008E6EFB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127D40" w:rsidRPr="008E6EFB">
        <w:rPr>
          <w:rFonts w:asciiTheme="minorHAnsi" w:hAnsiTheme="minorHAnsi" w:cstheme="minorHAnsi"/>
          <w:b/>
          <w:sz w:val="36"/>
          <w:szCs w:val="36"/>
        </w:rPr>
        <w:t>licenční smlouvě a smlouvě o Maintenance</w:t>
      </w:r>
      <w:r w:rsidR="00AD5802" w:rsidRPr="008E6EFB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67F63EE3" w14:textId="70973AF4" w:rsidR="00E92393" w:rsidRPr="008E6EFB" w:rsidRDefault="00593D34" w:rsidP="00593D3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E6EFB">
        <w:rPr>
          <w:rFonts w:asciiTheme="minorHAnsi" w:hAnsiTheme="minorHAnsi" w:cstheme="minorHAnsi"/>
          <w:b/>
          <w:sz w:val="36"/>
          <w:szCs w:val="36"/>
        </w:rPr>
        <w:t xml:space="preserve"> ze dne </w:t>
      </w:r>
      <w:r w:rsidR="008E6EFB" w:rsidRPr="008E6EFB">
        <w:rPr>
          <w:rFonts w:asciiTheme="minorHAnsi" w:hAnsiTheme="minorHAnsi" w:cstheme="minorHAnsi"/>
          <w:b/>
          <w:sz w:val="36"/>
          <w:szCs w:val="36"/>
        </w:rPr>
        <w:t xml:space="preserve">19.4.2013 </w:t>
      </w:r>
      <w:r w:rsidRPr="008E6EFB">
        <w:rPr>
          <w:rFonts w:asciiTheme="minorHAnsi" w:hAnsiTheme="minorHAnsi" w:cstheme="minorHAnsi"/>
          <w:b/>
          <w:sz w:val="36"/>
          <w:szCs w:val="36"/>
        </w:rPr>
        <w:t xml:space="preserve">č. </w:t>
      </w:r>
      <w:r w:rsidR="008E6EFB" w:rsidRPr="008E6EFB">
        <w:rPr>
          <w:rFonts w:asciiTheme="minorHAnsi" w:hAnsiTheme="minorHAnsi" w:cstheme="minorHAnsi"/>
          <w:b/>
          <w:sz w:val="36"/>
          <w:szCs w:val="36"/>
        </w:rPr>
        <w:t>O-13-00093</w:t>
      </w:r>
    </w:p>
    <w:p w14:paraId="14873AD3" w14:textId="7076C82A" w:rsidR="00764C5D" w:rsidRPr="008E6EFB" w:rsidRDefault="00764C5D" w:rsidP="00593D34">
      <w:pPr>
        <w:jc w:val="center"/>
        <w:rPr>
          <w:rFonts w:asciiTheme="minorHAnsi" w:hAnsiTheme="minorHAnsi" w:cstheme="minorHAnsi"/>
          <w:b/>
        </w:rPr>
      </w:pPr>
    </w:p>
    <w:p w14:paraId="17E9E5D3" w14:textId="3A1B83B1" w:rsidR="00764C5D" w:rsidRPr="00FA2090" w:rsidRDefault="00764C5D" w:rsidP="00593D34">
      <w:pPr>
        <w:jc w:val="center"/>
        <w:rPr>
          <w:rFonts w:asciiTheme="minorHAnsi" w:hAnsiTheme="minorHAnsi" w:cstheme="minorHAnsi"/>
          <w:b/>
          <w:sz w:val="36"/>
          <w:szCs w:val="36"/>
          <w:highlight w:val="yellow"/>
        </w:rPr>
      </w:pPr>
      <w:r w:rsidRPr="00FA2090">
        <w:rPr>
          <w:rFonts w:asciiTheme="minorHAnsi" w:hAnsiTheme="minorHAnsi" w:cstheme="minorHAnsi"/>
          <w:b/>
          <w:sz w:val="36"/>
          <w:szCs w:val="36"/>
        </w:rPr>
        <w:t xml:space="preserve">o migraci na </w:t>
      </w:r>
      <w:r w:rsidR="00E050AF" w:rsidRPr="00FA2090">
        <w:rPr>
          <w:rFonts w:asciiTheme="minorHAnsi" w:hAnsiTheme="minorHAnsi" w:cstheme="minorHAnsi"/>
          <w:b/>
          <w:sz w:val="36"/>
          <w:szCs w:val="36"/>
        </w:rPr>
        <w:t>iNUVIO</w:t>
      </w:r>
    </w:p>
    <w:p w14:paraId="6CD780ED" w14:textId="509188B7" w:rsidR="00E92393" w:rsidRDefault="00E92393" w:rsidP="00B80371">
      <w:pPr>
        <w:ind w:left="360" w:hanging="360"/>
        <w:rPr>
          <w:rFonts w:asciiTheme="minorHAnsi" w:hAnsiTheme="minorHAnsi" w:cstheme="minorHAnsi"/>
        </w:rPr>
      </w:pPr>
    </w:p>
    <w:p w14:paraId="7A36B06A" w14:textId="1F1ACDD8" w:rsidR="00B84C61" w:rsidRDefault="00B84C61" w:rsidP="00B80371">
      <w:pPr>
        <w:ind w:left="360" w:hanging="360"/>
        <w:rPr>
          <w:rFonts w:asciiTheme="minorHAnsi" w:hAnsiTheme="minorHAnsi" w:cstheme="minorHAnsi"/>
        </w:rPr>
      </w:pPr>
    </w:p>
    <w:p w14:paraId="33ED9D31" w14:textId="5F7AAF49" w:rsidR="00127D40" w:rsidRPr="00FA2090" w:rsidRDefault="00127D40" w:rsidP="00127D40">
      <w:pPr>
        <w:numPr>
          <w:ilvl w:val="0"/>
          <w:numId w:val="6"/>
        </w:num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2090">
        <w:rPr>
          <w:rFonts w:asciiTheme="minorHAnsi" w:hAnsiTheme="minorHAnsi" w:cstheme="minorHAnsi"/>
          <w:b/>
          <w:sz w:val="24"/>
          <w:szCs w:val="24"/>
        </w:rPr>
        <w:t xml:space="preserve">Úvodní ustanovení </w:t>
      </w:r>
    </w:p>
    <w:p w14:paraId="703537D5" w14:textId="539E440E" w:rsidR="00820866" w:rsidRDefault="00127D40" w:rsidP="008D6F9B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</w:rPr>
      </w:pPr>
      <w:r w:rsidRPr="00FA2090">
        <w:rPr>
          <w:rFonts w:asciiTheme="minorHAnsi" w:hAnsiTheme="minorHAnsi" w:cstheme="minorHAnsi"/>
        </w:rPr>
        <w:t xml:space="preserve">Smluvní strany spolu dne </w:t>
      </w:r>
      <w:r w:rsidR="008E6EFB">
        <w:rPr>
          <w:rFonts w:asciiTheme="minorHAnsi" w:hAnsiTheme="minorHAnsi" w:cstheme="minorHAnsi"/>
        </w:rPr>
        <w:t xml:space="preserve">19.4.2013 </w:t>
      </w:r>
      <w:r w:rsidR="00D3656D" w:rsidRPr="00FA2090">
        <w:rPr>
          <w:rFonts w:asciiTheme="minorHAnsi" w:hAnsiTheme="minorHAnsi" w:cstheme="minorHAnsi"/>
        </w:rPr>
        <w:t xml:space="preserve">uzavřely licenční smlouvu a smlouvu o Maintenance </w:t>
      </w:r>
      <w:r w:rsidR="008E6EFB">
        <w:rPr>
          <w:rFonts w:asciiTheme="minorHAnsi" w:hAnsiTheme="minorHAnsi" w:cstheme="minorHAnsi"/>
        </w:rPr>
        <w:t xml:space="preserve">                          </w:t>
      </w:r>
      <w:r w:rsidR="00D3656D" w:rsidRPr="00FA2090">
        <w:rPr>
          <w:rFonts w:asciiTheme="minorHAnsi" w:hAnsiTheme="minorHAnsi" w:cstheme="minorHAnsi"/>
        </w:rPr>
        <w:t xml:space="preserve">č. </w:t>
      </w:r>
      <w:r w:rsidR="008E6EFB">
        <w:rPr>
          <w:rFonts w:asciiTheme="minorHAnsi" w:hAnsiTheme="minorHAnsi" w:cstheme="minorHAnsi"/>
        </w:rPr>
        <w:t xml:space="preserve">O-13-00093 </w:t>
      </w:r>
      <w:r w:rsidR="00D3656D" w:rsidRPr="00FA2090">
        <w:rPr>
          <w:rFonts w:asciiTheme="minorHAnsi" w:hAnsiTheme="minorHAnsi" w:cstheme="minorHAnsi"/>
        </w:rPr>
        <w:t>(dále jen „</w:t>
      </w:r>
      <w:r w:rsidR="00D3656D" w:rsidRPr="00FA2090">
        <w:rPr>
          <w:rFonts w:asciiTheme="minorHAnsi" w:hAnsiTheme="minorHAnsi" w:cstheme="minorHAnsi"/>
          <w:b/>
        </w:rPr>
        <w:t>Smlouva</w:t>
      </w:r>
      <w:r w:rsidR="00D3656D" w:rsidRPr="00FA2090">
        <w:rPr>
          <w:rFonts w:asciiTheme="minorHAnsi" w:hAnsiTheme="minorHAnsi" w:cstheme="minorHAnsi"/>
        </w:rPr>
        <w:t xml:space="preserve">“), na jejímž základě získal Odběratel oprávnění k užívání </w:t>
      </w:r>
      <w:bookmarkStart w:id="0" w:name="_Hlk520139309"/>
      <w:r w:rsidR="00764C5D" w:rsidRPr="00FA2090">
        <w:rPr>
          <w:rFonts w:asciiTheme="minorHAnsi" w:hAnsiTheme="minorHAnsi" w:cstheme="minorHAnsi"/>
        </w:rPr>
        <w:t>licence APV HELIOS Orange č. </w:t>
      </w:r>
      <w:r w:rsidR="008E6EFB">
        <w:rPr>
          <w:rFonts w:asciiTheme="minorHAnsi" w:hAnsiTheme="minorHAnsi" w:cstheme="minorHAnsi"/>
        </w:rPr>
        <w:t xml:space="preserve">HEIQ0100-24732 </w:t>
      </w:r>
      <w:r w:rsidR="00D3656D" w:rsidRPr="00FA2090">
        <w:rPr>
          <w:rFonts w:asciiTheme="minorHAnsi" w:hAnsiTheme="minorHAnsi" w:cstheme="minorHAnsi"/>
        </w:rPr>
        <w:t>(dále jen „</w:t>
      </w:r>
      <w:r w:rsidR="00C01D17">
        <w:rPr>
          <w:rFonts w:asciiTheme="minorHAnsi" w:hAnsiTheme="minorHAnsi" w:cstheme="minorHAnsi"/>
          <w:b/>
        </w:rPr>
        <w:t>Původní licence</w:t>
      </w:r>
      <w:r w:rsidR="00D3656D" w:rsidRPr="00FA2090">
        <w:rPr>
          <w:rFonts w:asciiTheme="minorHAnsi" w:hAnsiTheme="minorHAnsi" w:cstheme="minorHAnsi"/>
        </w:rPr>
        <w:t>“)</w:t>
      </w:r>
      <w:bookmarkEnd w:id="0"/>
      <w:r w:rsidR="00D3656D" w:rsidRPr="00FA2090">
        <w:rPr>
          <w:rFonts w:asciiTheme="minorHAnsi" w:hAnsiTheme="minorHAnsi" w:cstheme="minorHAnsi"/>
        </w:rPr>
        <w:t>.</w:t>
      </w:r>
    </w:p>
    <w:p w14:paraId="26FF0E2B" w14:textId="6DF74B51" w:rsidR="00764C5D" w:rsidRPr="00FA2090" w:rsidRDefault="00764C5D" w:rsidP="00A6318E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</w:rPr>
      </w:pPr>
      <w:r w:rsidRPr="00FA2090">
        <w:rPr>
          <w:rFonts w:asciiTheme="minorHAnsi" w:hAnsiTheme="minorHAnsi" w:cstheme="minorHAnsi"/>
        </w:rPr>
        <w:t xml:space="preserve">Odběratel projevil zájem o migraci na </w:t>
      </w:r>
      <w:bookmarkStart w:id="1" w:name="_Hlk520139331"/>
      <w:r w:rsidRPr="00FA2090">
        <w:rPr>
          <w:rFonts w:asciiTheme="minorHAnsi" w:hAnsiTheme="minorHAnsi" w:cstheme="minorHAnsi"/>
        </w:rPr>
        <w:t xml:space="preserve">vyšší edici daného softwarového produktu </w:t>
      </w:r>
      <w:r w:rsidR="009A53FF">
        <w:rPr>
          <w:rFonts w:asciiTheme="minorHAnsi" w:hAnsiTheme="minorHAnsi" w:cstheme="minorHAnsi"/>
        </w:rPr>
        <w:t>Dodavatele</w:t>
      </w:r>
      <w:r w:rsidR="00E31644" w:rsidRPr="00FA2090">
        <w:rPr>
          <w:rFonts w:asciiTheme="minorHAnsi" w:hAnsiTheme="minorHAnsi" w:cstheme="minorHAnsi"/>
        </w:rPr>
        <w:t xml:space="preserve"> vedeného pod názvem </w:t>
      </w:r>
      <w:r w:rsidR="00E050AF" w:rsidRPr="00FA2090">
        <w:rPr>
          <w:rFonts w:asciiTheme="minorHAnsi" w:hAnsiTheme="minorHAnsi" w:cstheme="minorHAnsi"/>
        </w:rPr>
        <w:t xml:space="preserve">iNUVIO </w:t>
      </w:r>
      <w:r w:rsidR="00E31644" w:rsidRPr="00FA2090">
        <w:rPr>
          <w:rFonts w:asciiTheme="minorHAnsi" w:hAnsiTheme="minorHAnsi" w:cstheme="minorHAnsi"/>
        </w:rPr>
        <w:t>(dále jen „</w:t>
      </w:r>
      <w:r w:rsidR="005E75BF" w:rsidRPr="00FA2090">
        <w:rPr>
          <w:rFonts w:asciiTheme="minorHAnsi" w:hAnsiTheme="minorHAnsi" w:cstheme="minorHAnsi"/>
          <w:b/>
        </w:rPr>
        <w:t>iNUVIO</w:t>
      </w:r>
      <w:r w:rsidR="00E31644" w:rsidRPr="00FA2090">
        <w:rPr>
          <w:rFonts w:asciiTheme="minorHAnsi" w:hAnsiTheme="minorHAnsi" w:cstheme="minorHAnsi"/>
        </w:rPr>
        <w:t>“).</w:t>
      </w:r>
    </w:p>
    <w:bookmarkEnd w:id="1"/>
    <w:p w14:paraId="04541396" w14:textId="29614536" w:rsidR="00764C5D" w:rsidRPr="00FA2090" w:rsidRDefault="00764C5D" w:rsidP="00A6318E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</w:rPr>
      </w:pPr>
      <w:r w:rsidRPr="00FA2090">
        <w:rPr>
          <w:rFonts w:asciiTheme="minorHAnsi" w:hAnsiTheme="minorHAnsi" w:cstheme="minorHAnsi"/>
        </w:rPr>
        <w:t>Tento dodatek se uzavírá za účelem sjednání podmínek výše uvedené migrace.</w:t>
      </w:r>
    </w:p>
    <w:p w14:paraId="771FEC37" w14:textId="77777777" w:rsidR="00D57166" w:rsidRPr="00FA2090" w:rsidRDefault="00D57166" w:rsidP="00E92393">
      <w:pPr>
        <w:ind w:left="360" w:hanging="360"/>
        <w:jc w:val="center"/>
        <w:rPr>
          <w:rFonts w:asciiTheme="minorHAnsi" w:hAnsiTheme="minorHAnsi" w:cstheme="minorHAnsi"/>
        </w:rPr>
      </w:pPr>
    </w:p>
    <w:p w14:paraId="3943E65A" w14:textId="77777777" w:rsidR="00E92393" w:rsidRPr="00FA2090" w:rsidRDefault="00E92393" w:rsidP="0042548C">
      <w:pPr>
        <w:pStyle w:val="Nadpis1"/>
      </w:pPr>
      <w:r w:rsidRPr="00FA2090">
        <w:t>Předmět dodatku</w:t>
      </w:r>
    </w:p>
    <w:p w14:paraId="708D1704" w14:textId="39A9C9D2" w:rsidR="001C1919" w:rsidRPr="00FA2090" w:rsidRDefault="00E92393" w:rsidP="008134CF">
      <w:pPr>
        <w:spacing w:after="120"/>
        <w:rPr>
          <w:rFonts w:asciiTheme="minorHAnsi" w:hAnsiTheme="minorHAnsi" w:cstheme="minorHAnsi"/>
          <w:bCs/>
        </w:rPr>
      </w:pPr>
      <w:r w:rsidRPr="00FA2090">
        <w:rPr>
          <w:rFonts w:asciiTheme="minorHAnsi" w:hAnsiTheme="minorHAnsi" w:cstheme="minorHAnsi"/>
        </w:rPr>
        <w:t xml:space="preserve">Předmětem tohoto </w:t>
      </w:r>
      <w:r w:rsidR="004C3C75" w:rsidRPr="00FA2090">
        <w:rPr>
          <w:rFonts w:asciiTheme="minorHAnsi" w:hAnsiTheme="minorHAnsi" w:cstheme="minorHAnsi"/>
        </w:rPr>
        <w:t xml:space="preserve">dodatku je </w:t>
      </w:r>
      <w:r w:rsidR="003F4952" w:rsidRPr="00FA2090">
        <w:rPr>
          <w:rFonts w:asciiTheme="minorHAnsi" w:hAnsiTheme="minorHAnsi" w:cstheme="minorHAnsi"/>
        </w:rPr>
        <w:t xml:space="preserve">migrace </w:t>
      </w:r>
      <w:r w:rsidR="00C01D17">
        <w:rPr>
          <w:rFonts w:asciiTheme="minorHAnsi" w:hAnsiTheme="minorHAnsi" w:cstheme="minorHAnsi"/>
        </w:rPr>
        <w:t>Původní licence</w:t>
      </w:r>
      <w:r w:rsidR="003F4952" w:rsidRPr="00FA2090">
        <w:rPr>
          <w:rFonts w:asciiTheme="minorHAnsi" w:hAnsiTheme="minorHAnsi" w:cstheme="minorHAnsi"/>
        </w:rPr>
        <w:t xml:space="preserve"> na </w:t>
      </w:r>
      <w:r w:rsidR="005E75BF" w:rsidRPr="00FA2090">
        <w:rPr>
          <w:rFonts w:asciiTheme="minorHAnsi" w:hAnsiTheme="minorHAnsi" w:cstheme="minorHAnsi"/>
        </w:rPr>
        <w:t>iNUVIO</w:t>
      </w:r>
      <w:r w:rsidR="003F4952" w:rsidRPr="00FA2090">
        <w:rPr>
          <w:rFonts w:asciiTheme="minorHAnsi" w:hAnsiTheme="minorHAnsi" w:cstheme="minorHAnsi"/>
        </w:rPr>
        <w:t xml:space="preserve">. </w:t>
      </w:r>
      <w:r w:rsidR="001C1919" w:rsidRPr="00FA2090">
        <w:rPr>
          <w:rFonts w:asciiTheme="minorHAnsi" w:hAnsiTheme="minorHAnsi" w:cstheme="minorHAnsi"/>
        </w:rPr>
        <w:t>Vzhledem k výše uvedenému si smluvní strany sjednávají následující:</w:t>
      </w:r>
    </w:p>
    <w:p w14:paraId="0B47902F" w14:textId="7D1EEF9D" w:rsidR="008134CF" w:rsidRDefault="001C1919" w:rsidP="008E4ACC">
      <w:pPr>
        <w:pStyle w:val="Nadpis2"/>
      </w:pPr>
      <w:bookmarkStart w:id="2" w:name="_Ref495000940"/>
      <w:r w:rsidRPr="00FA2090">
        <w:t xml:space="preserve">Dodavatel se zavazuje dodat Odběrateli </w:t>
      </w:r>
      <w:r w:rsidR="005E75BF" w:rsidRPr="00FA2090">
        <w:t>iNUVIO</w:t>
      </w:r>
      <w:r w:rsidR="003B671E" w:rsidRPr="00FA2090">
        <w:t xml:space="preserve"> </w:t>
      </w:r>
      <w:r w:rsidRPr="00FA2090">
        <w:t xml:space="preserve">v příslušné konfiguraci specifikované v příloze č. 1 tohoto dodatku. Dodavatel poskytuje Odběrateli nevýhradní a časově neomezené oprávnění k užití (tj. licenci) </w:t>
      </w:r>
      <w:r w:rsidR="005E75BF" w:rsidRPr="00FA2090">
        <w:t>iNUVIO</w:t>
      </w:r>
      <w:r w:rsidRPr="00FA2090">
        <w:t>, a to pouze pro vlastní potřebu</w:t>
      </w:r>
      <w:bookmarkEnd w:id="2"/>
      <w:r w:rsidR="00520742">
        <w:t xml:space="preserve">. </w:t>
      </w:r>
      <w:r w:rsidR="008E4ACC">
        <w:t>iNUVIO bude identifikovatelné vlastním licenčním čís</w:t>
      </w:r>
      <w:r w:rsidR="00520742">
        <w:t>lem obsahujícím označení „HEOR“</w:t>
      </w:r>
      <w:r w:rsidR="008E4ACC">
        <w:t>.</w:t>
      </w:r>
    </w:p>
    <w:p w14:paraId="38B443F7" w14:textId="5AE7D79D" w:rsidR="001C1919" w:rsidRPr="008134CF" w:rsidRDefault="001C1919" w:rsidP="008134CF">
      <w:pPr>
        <w:pStyle w:val="Nadpis2"/>
        <w:numPr>
          <w:ilvl w:val="0"/>
          <w:numId w:val="0"/>
        </w:numPr>
        <w:ind w:left="540"/>
      </w:pPr>
      <w:r w:rsidRPr="008134CF">
        <w:t>V souvislosti s tím Dodavatel prohlašuje, že vykonává majetková práva k </w:t>
      </w:r>
      <w:r w:rsidR="005E75BF" w:rsidRPr="008134CF">
        <w:t>iNUVIO</w:t>
      </w:r>
      <w:r w:rsidR="003B671E" w:rsidRPr="008134CF">
        <w:t xml:space="preserve"> </w:t>
      </w:r>
      <w:r w:rsidRPr="008134CF">
        <w:t>zcela v souladu s Autorským zákonem.</w:t>
      </w:r>
    </w:p>
    <w:p w14:paraId="1959DFA7" w14:textId="78FC87D0" w:rsidR="0025614D" w:rsidRPr="008E6EFB" w:rsidRDefault="00E92393" w:rsidP="008134CF">
      <w:pPr>
        <w:pStyle w:val="Nadpis2"/>
      </w:pPr>
      <w:bookmarkStart w:id="3" w:name="_Ref495001136"/>
      <w:r w:rsidRPr="0042548C">
        <w:lastRenderedPageBreak/>
        <w:t xml:space="preserve">Dodavatel </w:t>
      </w:r>
      <w:r w:rsidR="003B671E" w:rsidRPr="0042548C">
        <w:t xml:space="preserve">se </w:t>
      </w:r>
      <w:r w:rsidRPr="0042548C">
        <w:t xml:space="preserve">zavazuje </w:t>
      </w:r>
      <w:r w:rsidRPr="008E6EFB">
        <w:t xml:space="preserve">poskytnout Odběrateli </w:t>
      </w:r>
      <w:r w:rsidR="003B671E" w:rsidRPr="008E6EFB">
        <w:t>implementační služby, které jsou specifikovány v příloze č. 2 tohoto dodatku.</w:t>
      </w:r>
      <w:bookmarkEnd w:id="3"/>
    </w:p>
    <w:bookmarkStart w:id="4" w:name="Zaškrtávací1"/>
    <w:p w14:paraId="52D74669" w14:textId="77777777" w:rsidR="00F7449D" w:rsidRPr="008E6EFB" w:rsidRDefault="00F7449D" w:rsidP="008134CF">
      <w:pPr>
        <w:pStyle w:val="Smlouvaodstavec"/>
        <w:ind w:left="1134"/>
        <w:rPr>
          <w:rFonts w:asciiTheme="minorHAnsi" w:hAnsiTheme="minorHAnsi" w:cstheme="minorHAnsi"/>
          <w:sz w:val="22"/>
          <w:szCs w:val="22"/>
        </w:rPr>
      </w:pPr>
      <w:r w:rsidRPr="008E6EF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 w:val="22"/>
              <w:default w:val="0"/>
            </w:checkBox>
          </w:ffData>
        </w:fldChar>
      </w:r>
      <w:r w:rsidRPr="008E6EFB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B1E21">
        <w:rPr>
          <w:rFonts w:asciiTheme="minorHAnsi" w:hAnsiTheme="minorHAnsi" w:cstheme="minorHAnsi"/>
          <w:sz w:val="22"/>
          <w:szCs w:val="22"/>
        </w:rPr>
      </w:r>
      <w:r w:rsidR="00CB1E21">
        <w:rPr>
          <w:rFonts w:asciiTheme="minorHAnsi" w:hAnsiTheme="minorHAnsi" w:cstheme="minorHAnsi"/>
          <w:sz w:val="22"/>
          <w:szCs w:val="22"/>
        </w:rPr>
        <w:fldChar w:fldCharType="separate"/>
      </w:r>
      <w:r w:rsidRPr="008E6EFB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8E6EFB">
        <w:rPr>
          <w:rFonts w:asciiTheme="minorHAnsi" w:hAnsiTheme="minorHAnsi" w:cstheme="minorHAnsi"/>
          <w:sz w:val="22"/>
          <w:szCs w:val="22"/>
        </w:rPr>
        <w:t xml:space="preserve"> ANO (smluvní strany toto ustanovení akceptují)</w:t>
      </w:r>
    </w:p>
    <w:p w14:paraId="27B50CE7" w14:textId="6A78E917" w:rsidR="00F7449D" w:rsidRPr="0042548C" w:rsidRDefault="008E6EFB" w:rsidP="008134CF">
      <w:pPr>
        <w:spacing w:after="120"/>
        <w:ind w:left="1134"/>
        <w:rPr>
          <w:rFonts w:asciiTheme="minorHAnsi" w:hAnsiTheme="minorHAnsi" w:cstheme="minorHAnsi"/>
        </w:rPr>
      </w:pPr>
      <w:r w:rsidRPr="008E6EFB">
        <w:rPr>
          <w:rFonts w:asciiTheme="minorHAnsi" w:hAnsiTheme="minorHAnsi" w:cstheme="minorHAnsi"/>
        </w:rPr>
        <w:fldChar w:fldCharType="begin">
          <w:ffData>
            <w:name w:val="Zaškrtávací2"/>
            <w:enabled/>
            <w:calcOnExit w:val="0"/>
            <w:checkBox>
              <w:size w:val="22"/>
              <w:default w:val="1"/>
            </w:checkBox>
          </w:ffData>
        </w:fldChar>
      </w:r>
      <w:bookmarkStart w:id="5" w:name="Zaškrtávací2"/>
      <w:r w:rsidRPr="008E6EFB">
        <w:rPr>
          <w:rFonts w:asciiTheme="minorHAnsi" w:hAnsiTheme="minorHAnsi" w:cstheme="minorHAnsi"/>
        </w:rPr>
        <w:instrText xml:space="preserve"> FORMCHECKBOX </w:instrText>
      </w:r>
      <w:r w:rsidR="00CB1E21">
        <w:rPr>
          <w:rFonts w:asciiTheme="minorHAnsi" w:hAnsiTheme="minorHAnsi" w:cstheme="minorHAnsi"/>
        </w:rPr>
      </w:r>
      <w:r w:rsidR="00CB1E21">
        <w:rPr>
          <w:rFonts w:asciiTheme="minorHAnsi" w:hAnsiTheme="minorHAnsi" w:cstheme="minorHAnsi"/>
        </w:rPr>
        <w:fldChar w:fldCharType="separate"/>
      </w:r>
      <w:r w:rsidRPr="008E6EFB">
        <w:rPr>
          <w:rFonts w:asciiTheme="minorHAnsi" w:hAnsiTheme="minorHAnsi" w:cstheme="minorHAnsi"/>
        </w:rPr>
        <w:fldChar w:fldCharType="end"/>
      </w:r>
      <w:bookmarkEnd w:id="5"/>
      <w:r w:rsidR="00F7449D" w:rsidRPr="008E6EFB">
        <w:rPr>
          <w:rFonts w:asciiTheme="minorHAnsi" w:hAnsiTheme="minorHAnsi" w:cstheme="minorHAnsi"/>
        </w:rPr>
        <w:t xml:space="preserve"> NE (smluvní strany toto</w:t>
      </w:r>
      <w:r w:rsidR="00F7449D" w:rsidRPr="0042548C">
        <w:rPr>
          <w:rFonts w:asciiTheme="minorHAnsi" w:hAnsiTheme="minorHAnsi" w:cstheme="minorHAnsi"/>
        </w:rPr>
        <w:t xml:space="preserve"> ustanovení neakceptují)</w:t>
      </w:r>
    </w:p>
    <w:p w14:paraId="6FBE51F9" w14:textId="77777777" w:rsidR="00215769" w:rsidRDefault="00215769" w:rsidP="00215769">
      <w:pPr>
        <w:pStyle w:val="Nadpis2"/>
      </w:pPr>
      <w:bookmarkStart w:id="6" w:name="_Ref516560575"/>
      <w:r w:rsidRPr="0042548C">
        <w:t>Dodavatel se dále zavazuje poskytovat ve prospěch Odběratele službu Maintenance k iNUVIO.</w:t>
      </w:r>
      <w:bookmarkEnd w:id="6"/>
    </w:p>
    <w:p w14:paraId="11B08E0B" w14:textId="601B27AB" w:rsidR="000A0382" w:rsidRDefault="0040454A" w:rsidP="000A0382">
      <w:pPr>
        <w:pStyle w:val="Nadpis2"/>
      </w:pPr>
      <w:r w:rsidRPr="000431ED">
        <w:t xml:space="preserve">Dodavatel </w:t>
      </w:r>
      <w:r>
        <w:t>umožňuje Odběrateli za níže uvedených podmínek užívat</w:t>
      </w:r>
      <w:r w:rsidRPr="000431ED">
        <w:t xml:space="preserve"> službu vedenou pod názvem Reporting.cz, která je integrována do </w:t>
      </w:r>
      <w:r w:rsidR="00543D7A">
        <w:t>iNUVIO</w:t>
      </w:r>
      <w:r w:rsidRPr="000431ED">
        <w:t xml:space="preserve"> </w:t>
      </w:r>
      <w:r>
        <w:t xml:space="preserve">(tvoří jeho nedílnou součást) </w:t>
      </w:r>
      <w:r w:rsidR="00543D7A">
        <w:t>a představuje on</w:t>
      </w:r>
      <w:r w:rsidR="00543D7A">
        <w:noBreakHyphen/>
      </w:r>
      <w:r w:rsidRPr="000431ED">
        <w:t xml:space="preserve">line (internetové) softwarové řešení </w:t>
      </w:r>
      <w:r w:rsidR="0042283E">
        <w:t xml:space="preserve">(aplikaci) </w:t>
      </w:r>
      <w:r w:rsidRPr="000431ED">
        <w:t>poskytující službu vizualizace a reportingu dat Odběratele zpracovávaných v</w:t>
      </w:r>
      <w:r>
        <w:t> </w:t>
      </w:r>
      <w:r w:rsidR="00543D7A">
        <w:t>iNUVIO</w:t>
      </w:r>
      <w:r w:rsidRPr="000431ED">
        <w:t xml:space="preserve"> (dále jen „</w:t>
      </w:r>
      <w:r w:rsidRPr="00543D7A">
        <w:rPr>
          <w:b/>
        </w:rPr>
        <w:t>Aplikace RCZ</w:t>
      </w:r>
      <w:r w:rsidRPr="000431ED">
        <w:t>“).</w:t>
      </w:r>
      <w:r w:rsidR="0042283E">
        <w:t xml:space="preserve"> </w:t>
      </w:r>
    </w:p>
    <w:p w14:paraId="30CDF0BF" w14:textId="01CDA900" w:rsidR="00943117" w:rsidRPr="00943117" w:rsidRDefault="000A0382" w:rsidP="000A0382">
      <w:pPr>
        <w:pStyle w:val="Nadpis2"/>
        <w:numPr>
          <w:ilvl w:val="0"/>
          <w:numId w:val="0"/>
        </w:numPr>
        <w:ind w:left="540"/>
      </w:pPr>
      <w:bookmarkStart w:id="7" w:name="_Hlk520122259"/>
      <w:r w:rsidRPr="000A0382">
        <w:t xml:space="preserve">Dodavatel poskytuje Odběrateli v rámci migrace </w:t>
      </w:r>
      <w:r w:rsidR="00721538">
        <w:t xml:space="preserve">předmětnou </w:t>
      </w:r>
      <w:r w:rsidRPr="000A0382">
        <w:t>Aplikaci RCZ pro jednu (1) databázi zdarma.</w:t>
      </w:r>
    </w:p>
    <w:p w14:paraId="4CE9491D" w14:textId="77777777" w:rsidR="0040454A" w:rsidRDefault="0040454A" w:rsidP="0040454A">
      <w:pPr>
        <w:pStyle w:val="Nadpis2"/>
        <w:numPr>
          <w:ilvl w:val="0"/>
          <w:numId w:val="0"/>
        </w:numPr>
        <w:ind w:left="540"/>
      </w:pPr>
      <w:r>
        <w:t>Aplikace RCZ je pro Odběratele dostupná, pokud:</w:t>
      </w:r>
    </w:p>
    <w:p w14:paraId="2CA6AD1C" w14:textId="4F3E9BA2" w:rsidR="0040454A" w:rsidRPr="0040454A" w:rsidRDefault="0040454A" w:rsidP="0040454A">
      <w:pPr>
        <w:pStyle w:val="slovanseznam"/>
      </w:pPr>
      <w:r w:rsidRPr="0040454A">
        <w:t xml:space="preserve">Je součástí konfigurace </w:t>
      </w:r>
      <w:r w:rsidR="00834971">
        <w:t>iNUVIO</w:t>
      </w:r>
      <w:r w:rsidRPr="0040454A">
        <w:t xml:space="preserve"> uvedené v příloze č. 1 </w:t>
      </w:r>
      <w:r w:rsidR="00834971">
        <w:t>tohoto dodatku</w:t>
      </w:r>
      <w:r w:rsidRPr="0040454A">
        <w:t xml:space="preserve"> </w:t>
      </w:r>
      <w:r w:rsidR="00B06844">
        <w:t>(toto se nev</w:t>
      </w:r>
      <w:r w:rsidR="00521A6F">
        <w:t>z</w:t>
      </w:r>
      <w:r w:rsidR="00B06844">
        <w:t xml:space="preserve">tahuje na bezplatné poskytnutí pro </w:t>
      </w:r>
      <w:r w:rsidR="00107C52">
        <w:t>jednu</w:t>
      </w:r>
      <w:r w:rsidR="00B06844">
        <w:t xml:space="preserve"> databázi v rámci migrace)</w:t>
      </w:r>
      <w:r w:rsidR="00A97755">
        <w:t>,</w:t>
      </w:r>
      <w:r w:rsidR="00B06844">
        <w:t xml:space="preserve"> </w:t>
      </w:r>
      <w:r w:rsidRPr="0040454A">
        <w:t xml:space="preserve">nebo bude Odběrateli poskytnuta dodatečně </w:t>
      </w:r>
      <w:r w:rsidR="00B52140">
        <w:t xml:space="preserve">na základě </w:t>
      </w:r>
      <w:r w:rsidR="00B06844">
        <w:t>dokupu</w:t>
      </w:r>
      <w:r w:rsidR="00B52140">
        <w:t xml:space="preserve"> </w:t>
      </w:r>
      <w:r w:rsidRPr="0040454A">
        <w:t xml:space="preserve">kdykoliv v průběhu používání </w:t>
      </w:r>
      <w:r w:rsidR="00834971">
        <w:t>iNUVIO</w:t>
      </w:r>
      <w:r w:rsidRPr="0040454A">
        <w:t xml:space="preserve">; a současně </w:t>
      </w:r>
    </w:p>
    <w:bookmarkEnd w:id="7"/>
    <w:p w14:paraId="789E4982" w14:textId="751FBFE4" w:rsidR="0040454A" w:rsidRPr="0040454A" w:rsidRDefault="0040454A" w:rsidP="0040454A">
      <w:pPr>
        <w:pStyle w:val="slovanseznam"/>
      </w:pPr>
      <w:r w:rsidRPr="0040454A">
        <w:t xml:space="preserve">Odběratel deklaroval svůj zájem o tuto službu doručením dokumentu „Žádost o aktivaci Aplikace RCZ“, jehož znění je součástí </w:t>
      </w:r>
      <w:r w:rsidR="00B52140">
        <w:t>tohoto dodatku</w:t>
      </w:r>
      <w:r w:rsidRPr="0040454A">
        <w:t xml:space="preserve"> jako příloha č. </w:t>
      </w:r>
      <w:r w:rsidR="003100C9">
        <w:t>3</w:t>
      </w:r>
      <w:r w:rsidRPr="0040454A">
        <w:t>.</w:t>
      </w:r>
      <w:r w:rsidR="0042283E">
        <w:t xml:space="preserve"> </w:t>
      </w:r>
    </w:p>
    <w:p w14:paraId="7138F23F" w14:textId="3B903EFF" w:rsidR="00467D3A" w:rsidRPr="00CF2858" w:rsidRDefault="0025614D" w:rsidP="00207D4C">
      <w:pPr>
        <w:pStyle w:val="Nadpis2"/>
      </w:pPr>
      <w:bookmarkStart w:id="8" w:name="_Hlk520126374"/>
      <w:r w:rsidRPr="0042548C">
        <w:t xml:space="preserve">Ke dni dodání </w:t>
      </w:r>
      <w:r w:rsidR="005E75BF" w:rsidRPr="0042548C">
        <w:t>iNUVIO</w:t>
      </w:r>
      <w:r w:rsidRPr="0042548C">
        <w:t xml:space="preserve"> pozbývá Odběratel právo k užití </w:t>
      </w:r>
      <w:r w:rsidR="00C01D17">
        <w:t>Původní licence</w:t>
      </w:r>
      <w:r w:rsidR="00467D3A">
        <w:t xml:space="preserve">. </w:t>
      </w:r>
      <w:r w:rsidR="00467D3A" w:rsidRPr="00CF2858">
        <w:t>Odběr</w:t>
      </w:r>
      <w:r w:rsidR="00467D3A">
        <w:t xml:space="preserve">atel je povinen zajistit, aby již po tomto datu </w:t>
      </w:r>
      <w:r w:rsidR="00C01D17">
        <w:t>Původní licenci</w:t>
      </w:r>
      <w:r w:rsidR="00467D3A">
        <w:t xml:space="preserve"> nevyužíval</w:t>
      </w:r>
      <w:bookmarkStart w:id="9" w:name="_Hlk520124882"/>
      <w:r w:rsidR="00467D3A">
        <w:t>.</w:t>
      </w:r>
    </w:p>
    <w:bookmarkEnd w:id="9"/>
    <w:p w14:paraId="30B2608F" w14:textId="27A76E0C" w:rsidR="00467D3A" w:rsidRPr="00CF2858" w:rsidRDefault="00467D3A" w:rsidP="005B1A84">
      <w:pPr>
        <w:pStyle w:val="Nadpis2"/>
        <w:numPr>
          <w:ilvl w:val="0"/>
          <w:numId w:val="0"/>
        </w:numPr>
        <w:ind w:left="540"/>
      </w:pPr>
      <w:r>
        <w:t>P</w:t>
      </w:r>
      <w:r w:rsidRPr="00184698">
        <w:t>orušení tohoto ustanovení se považuje za podstatné porušení Smlouvy.</w:t>
      </w:r>
      <w:r>
        <w:t xml:space="preserve"> </w:t>
      </w:r>
      <w:r w:rsidRPr="00CF2858">
        <w:t>V případě porušení tohoto ustanovení, na které byl Odběratel prokazatelně upozorněn a nezjednal nápravu ani v dodatečně poskytnuté lhůtě ne kratší než čtyři (4) pracovní dny ode dne upozornění, j</w:t>
      </w:r>
      <w:r w:rsidRPr="007170A6">
        <w:t xml:space="preserve">e Dodavatel oprávněn požadovat po Odběrateli pokutu ve výši dvojnásobku licenčního poplatku dle odst. </w:t>
      </w:r>
      <w:r w:rsidR="007170A6" w:rsidRPr="007170A6">
        <w:t xml:space="preserve">3.1 </w:t>
      </w:r>
      <w:r w:rsidRPr="007170A6">
        <w:t>tohoto</w:t>
      </w:r>
      <w:r w:rsidRPr="00CF2858">
        <w:t xml:space="preserve"> dodatku.</w:t>
      </w:r>
    </w:p>
    <w:p w14:paraId="08604B64" w14:textId="5DFE318C" w:rsidR="00467D3A" w:rsidRDefault="00207D4C" w:rsidP="005B1A84">
      <w:pPr>
        <w:pStyle w:val="Nadpis2"/>
        <w:numPr>
          <w:ilvl w:val="0"/>
          <w:numId w:val="0"/>
        </w:numPr>
        <w:ind w:left="540"/>
      </w:pPr>
      <w:r>
        <w:t xml:space="preserve">Dodavatel je rovněž oprávněn podniknout kroky vedoucí k zamezení dalšího používání </w:t>
      </w:r>
      <w:r w:rsidR="00C01D17">
        <w:t>Původní licence</w:t>
      </w:r>
      <w:r>
        <w:t>, např.:</w:t>
      </w:r>
    </w:p>
    <w:p w14:paraId="50022A97" w14:textId="137A6A5C" w:rsidR="00207D4C" w:rsidRPr="008A0467" w:rsidRDefault="00C01D17" w:rsidP="005B1A84">
      <w:pPr>
        <w:pStyle w:val="slovanseznam"/>
        <w:numPr>
          <w:ilvl w:val="1"/>
          <w:numId w:val="34"/>
        </w:numPr>
        <w:ind w:left="1276"/>
      </w:pPr>
      <w:r>
        <w:t>Původní licenci</w:t>
      </w:r>
      <w:r w:rsidR="00207D4C" w:rsidRPr="008A0467">
        <w:t xml:space="preserve"> odinstalovat, a to </w:t>
      </w:r>
      <w:r w:rsidR="007B1203">
        <w:t xml:space="preserve">ke </w:t>
      </w:r>
      <w:r w:rsidR="007B1203" w:rsidRPr="0042548C">
        <w:t xml:space="preserve">dni dodání iNUVIO </w:t>
      </w:r>
      <w:r w:rsidR="00207D4C" w:rsidRPr="008A0467">
        <w:t>nebo v následujícím období dle časových a organizačních možností Dodavatele. Odběratel se zavazuje poskytnout za tímto účelem Dodavateli veškerou součinnost.</w:t>
      </w:r>
    </w:p>
    <w:p w14:paraId="7E28B13A" w14:textId="0448E392" w:rsidR="00207D4C" w:rsidRDefault="00207D4C" w:rsidP="005B1A84">
      <w:pPr>
        <w:pStyle w:val="slovanseznam"/>
        <w:numPr>
          <w:ilvl w:val="0"/>
          <w:numId w:val="0"/>
        </w:numPr>
        <w:ind w:left="1276"/>
      </w:pPr>
      <w:r w:rsidRPr="008D6E84">
        <w:t xml:space="preserve">Odběratel bere na vědomí, že odinstalováním </w:t>
      </w:r>
      <w:r w:rsidR="00C01D17">
        <w:t>Původní licence</w:t>
      </w:r>
      <w:r w:rsidRPr="008D6E84">
        <w:t xml:space="preserve"> dojde ke ztrátě veškerých dat v ní uložených. Dodavatel nemá povinnost vytvořit zálohu dat.</w:t>
      </w:r>
    </w:p>
    <w:p w14:paraId="1F78A708" w14:textId="24F9FF31" w:rsidR="00207D4C" w:rsidRPr="00207D4C" w:rsidRDefault="009864B4" w:rsidP="005B1A84">
      <w:pPr>
        <w:pStyle w:val="slovanseznam"/>
        <w:numPr>
          <w:ilvl w:val="1"/>
          <w:numId w:val="34"/>
        </w:numPr>
        <w:ind w:left="1276"/>
      </w:pPr>
      <w:r>
        <w:t>z</w:t>
      </w:r>
      <w:r w:rsidR="00207D4C">
        <w:t xml:space="preserve">ablokovat </w:t>
      </w:r>
      <w:r w:rsidR="00C01D17">
        <w:t>Původní licenci</w:t>
      </w:r>
      <w:r w:rsidR="00207D4C">
        <w:t xml:space="preserve"> vůči dalšímu využívání služeb Maintenance.</w:t>
      </w:r>
    </w:p>
    <w:bookmarkEnd w:id="8"/>
    <w:p w14:paraId="74D4DFFB" w14:textId="1C07CB7F" w:rsidR="00EA2F62" w:rsidRDefault="00622118" w:rsidP="0040454A">
      <w:pPr>
        <w:pStyle w:val="Nadpis2"/>
      </w:pPr>
      <w:r w:rsidRPr="0042548C">
        <w:t xml:space="preserve">Pokud není v tomto dodatku výslovně uvedeno jinak, </w:t>
      </w:r>
      <w:r w:rsidR="00EA2F62" w:rsidRPr="0042548C">
        <w:t>uplatní se pro smluvní strany ve vztahu k </w:t>
      </w:r>
      <w:r w:rsidR="005E75BF" w:rsidRPr="0042548C">
        <w:t>iNUVIO</w:t>
      </w:r>
      <w:r w:rsidR="00EA2F62" w:rsidRPr="0042548C">
        <w:t xml:space="preserve"> stejná práva a povinnosti, jaké dle Smlouvy platí pro </w:t>
      </w:r>
      <w:r w:rsidR="00D51AAC">
        <w:t>Původní licenci</w:t>
      </w:r>
      <w:r w:rsidR="00023150">
        <w:t xml:space="preserve"> (ve Smlouvě jako „APV HELIOS“)</w:t>
      </w:r>
      <w:r w:rsidR="00CC6D0D" w:rsidRPr="0042548C">
        <w:t>.</w:t>
      </w:r>
    </w:p>
    <w:p w14:paraId="430628A6" w14:textId="7C94E30E" w:rsidR="00972A5F" w:rsidRPr="0042548C" w:rsidRDefault="00972A5F" w:rsidP="0040454A">
      <w:pPr>
        <w:pStyle w:val="Nadpis2"/>
      </w:pPr>
      <w:r>
        <w:t xml:space="preserve">Odběratel se zavazuje za plnění </w:t>
      </w:r>
      <w:r w:rsidR="00D51AAC">
        <w:t>předmětu tohoto dodatku</w:t>
      </w:r>
      <w:r w:rsidR="00B01934">
        <w:t xml:space="preserve"> </w:t>
      </w:r>
      <w:r>
        <w:t>uhradit cenu specifikovanou v</w:t>
      </w:r>
      <w:r w:rsidR="00523A6B">
        <w:t> </w:t>
      </w:r>
      <w:r>
        <w:t>článku</w:t>
      </w:r>
      <w:r w:rsidR="00523A6B">
        <w:t> </w:t>
      </w:r>
      <w:r>
        <w:fldChar w:fldCharType="begin"/>
      </w:r>
      <w:r>
        <w:instrText xml:space="preserve"> REF _Ref515002928 \r \h </w:instrText>
      </w:r>
      <w:r w:rsidR="0040454A">
        <w:instrText xml:space="preserve"> \* MERGEFORMAT </w:instrText>
      </w:r>
      <w:r>
        <w:fldChar w:fldCharType="separate"/>
      </w:r>
      <w:r w:rsidR="003700FD">
        <w:t>3</w:t>
      </w:r>
      <w:r>
        <w:fldChar w:fldCharType="end"/>
      </w:r>
      <w:r>
        <w:t xml:space="preserve"> tohoto dodatku.</w:t>
      </w:r>
    </w:p>
    <w:p w14:paraId="1E0CB72D" w14:textId="77777777" w:rsidR="003B671E" w:rsidRPr="0042548C" w:rsidRDefault="003B671E" w:rsidP="00FA2090">
      <w:pPr>
        <w:pStyle w:val="Nadpis2"/>
      </w:pPr>
      <w:bookmarkStart w:id="10" w:name="_Ref495001819"/>
      <w:r w:rsidRPr="0042548C">
        <w:t>Stávající odstavec 5.2. Smlouvy se nahrazuje následujícím zněním:</w:t>
      </w:r>
      <w:bookmarkEnd w:id="10"/>
    </w:p>
    <w:p w14:paraId="68DBF3A4" w14:textId="41870228" w:rsidR="003B671E" w:rsidRPr="0042548C" w:rsidRDefault="003B671E" w:rsidP="003B671E">
      <w:pPr>
        <w:spacing w:after="120"/>
        <w:ind w:left="540"/>
        <w:rPr>
          <w:rFonts w:asciiTheme="minorHAnsi" w:hAnsiTheme="minorHAnsi" w:cstheme="minorHAnsi"/>
        </w:rPr>
      </w:pPr>
      <w:r w:rsidRPr="0042548C">
        <w:rPr>
          <w:rFonts w:asciiTheme="minorHAnsi" w:hAnsiTheme="minorHAnsi" w:cstheme="minorHAnsi"/>
        </w:rPr>
        <w:lastRenderedPageBreak/>
        <w:t xml:space="preserve">„Vše, co není upraveno v této smlouvě, se řídí nejaktuálnějším zněním Všeobecných obchodních podmínek Dodavatele (dále jen „VOP“) platným v době uzavření dodatku č. </w:t>
      </w:r>
      <w:r w:rsidR="008E6EFB">
        <w:rPr>
          <w:rFonts w:asciiTheme="minorHAnsi" w:hAnsiTheme="minorHAnsi" w:cstheme="minorHAnsi"/>
        </w:rPr>
        <w:t xml:space="preserve">2 </w:t>
      </w:r>
      <w:r w:rsidRPr="0042548C">
        <w:rPr>
          <w:rFonts w:asciiTheme="minorHAnsi" w:hAnsiTheme="minorHAnsi" w:cstheme="minorHAnsi"/>
        </w:rPr>
        <w:t xml:space="preserve">ke Smlouvě, jež je dostupné ve veřejně přístupné části webových stránek Dodavatele (na </w:t>
      </w:r>
      <w:hyperlink r:id="rId8" w:history="1">
        <w:r w:rsidRPr="0042548C">
          <w:rPr>
            <w:rStyle w:val="Hypertextovodkaz"/>
            <w:rFonts w:asciiTheme="minorHAnsi" w:hAnsiTheme="minorHAnsi" w:cstheme="minorHAnsi"/>
          </w:rPr>
          <w:t>www.helios.eu</w:t>
        </w:r>
      </w:hyperlink>
      <w:r w:rsidRPr="0042548C">
        <w:rPr>
          <w:rStyle w:val="Hypertextovodkaz"/>
          <w:rFonts w:asciiTheme="minorHAnsi" w:hAnsiTheme="minorHAnsi" w:cstheme="minorHAnsi"/>
        </w:rPr>
        <w:t>).</w:t>
      </w:r>
    </w:p>
    <w:p w14:paraId="146EBB9B" w14:textId="77777777" w:rsidR="00D57166" w:rsidRPr="0042548C" w:rsidRDefault="00D57166" w:rsidP="00023C6D">
      <w:pPr>
        <w:spacing w:after="120"/>
        <w:ind w:left="540"/>
        <w:rPr>
          <w:rFonts w:asciiTheme="minorHAnsi" w:hAnsiTheme="minorHAnsi" w:cstheme="minorHAnsi"/>
          <w:bCs/>
        </w:rPr>
      </w:pPr>
    </w:p>
    <w:p w14:paraId="3BDACEBD" w14:textId="77777777" w:rsidR="00E92393" w:rsidRPr="0042548C" w:rsidRDefault="00E92393" w:rsidP="0042548C">
      <w:pPr>
        <w:pStyle w:val="Nadpis1"/>
      </w:pPr>
      <w:bookmarkStart w:id="11" w:name="_Ref515002928"/>
      <w:r w:rsidRPr="0042548C">
        <w:t>Cena a platební podmínky</w:t>
      </w:r>
      <w:bookmarkEnd w:id="11"/>
    </w:p>
    <w:p w14:paraId="6D28F526" w14:textId="5B34C195" w:rsidR="00D51AAC" w:rsidRDefault="00D51AAC" w:rsidP="00D51AAC">
      <w:pPr>
        <w:pStyle w:val="Nadpis2"/>
        <w:rPr>
          <w:rFonts w:cs="Arial"/>
        </w:rPr>
      </w:pPr>
      <w:r>
        <w:t xml:space="preserve">S ohledem na migraci poskytuje Dodavatel Odběrateli na poskytnutí </w:t>
      </w:r>
      <w:r w:rsidR="00882BBE">
        <w:t>iNUVIO dle odst. 2.1. tohoto dodatku</w:t>
      </w:r>
      <w:r>
        <w:t xml:space="preserve"> slevu, resp.  Odběratel hradí pouze tzv. migrační balíček. </w:t>
      </w:r>
      <w:r w:rsidRPr="00A83BB6">
        <w:rPr>
          <w:rFonts w:cs="Arial"/>
        </w:rPr>
        <w:t xml:space="preserve">Smluvní strany sjednávají, že cena </w:t>
      </w:r>
      <w:r>
        <w:rPr>
          <w:rFonts w:cs="Arial"/>
        </w:rPr>
        <w:t xml:space="preserve">za migrační balíček činí částku </w:t>
      </w:r>
      <w:r w:rsidRPr="00A83BB6">
        <w:rPr>
          <w:rFonts w:cs="Arial"/>
        </w:rPr>
        <w:t xml:space="preserve">ve výši </w:t>
      </w:r>
      <w:r w:rsidR="00310CEF">
        <w:rPr>
          <w:rFonts w:cs="Arial"/>
          <w:b/>
        </w:rPr>
        <w:t>22 305</w:t>
      </w:r>
      <w:r w:rsidRPr="00A83BB6">
        <w:rPr>
          <w:rFonts w:cs="Arial"/>
          <w:b/>
        </w:rPr>
        <w:t> Kč</w:t>
      </w:r>
      <w:r w:rsidRPr="00A83BB6">
        <w:rPr>
          <w:rFonts w:cs="Arial"/>
        </w:rPr>
        <w:t xml:space="preserve"> bez DPH, navýšený</w:t>
      </w:r>
      <w:r>
        <w:rPr>
          <w:rFonts w:cs="Arial"/>
        </w:rPr>
        <w:t>ch</w:t>
      </w:r>
      <w:r w:rsidRPr="00A83BB6">
        <w:rPr>
          <w:rFonts w:cs="Arial"/>
        </w:rPr>
        <w:t xml:space="preserve"> o zákonnou sazbu DPH.</w:t>
      </w:r>
      <w:r>
        <w:rPr>
          <w:rFonts w:cs="Arial"/>
        </w:rPr>
        <w:t xml:space="preserve"> </w:t>
      </w:r>
    </w:p>
    <w:p w14:paraId="57519D34" w14:textId="50BCB344" w:rsidR="00D51AAC" w:rsidRDefault="00D51AAC" w:rsidP="00882BBE">
      <w:pPr>
        <w:pStyle w:val="Nadpis2"/>
        <w:numPr>
          <w:ilvl w:val="0"/>
          <w:numId w:val="0"/>
        </w:numPr>
        <w:ind w:left="540"/>
      </w:pPr>
      <w:r>
        <w:t xml:space="preserve">Celková hodnota licence </w:t>
      </w:r>
      <w:r w:rsidR="00882BBE">
        <w:t xml:space="preserve">iNUVIO </w:t>
      </w:r>
      <w:r>
        <w:t xml:space="preserve">(tj. bez slevy), která se uplatňuje pro výpočet poplatku za Maintenance, je uvedena v příloze č. 1 </w:t>
      </w:r>
      <w:r w:rsidR="00C243EB">
        <w:t>tohoto dodatku</w:t>
      </w:r>
      <w:r>
        <w:t xml:space="preserve">. </w:t>
      </w:r>
    </w:p>
    <w:p w14:paraId="6AA10A7D" w14:textId="681395F8" w:rsidR="008D44B7" w:rsidRPr="00310CEF" w:rsidRDefault="00B459B7" w:rsidP="006F66E7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</w:rPr>
      </w:pPr>
      <w:r w:rsidRPr="006F66E7">
        <w:rPr>
          <w:rFonts w:asciiTheme="minorHAnsi" w:hAnsiTheme="minorHAnsi" w:cstheme="minorHAnsi"/>
        </w:rPr>
        <w:t xml:space="preserve">Cena za implementační služby ve smyslu odst. </w:t>
      </w:r>
      <w:r w:rsidR="00E14117" w:rsidRPr="006F66E7">
        <w:rPr>
          <w:rFonts w:asciiTheme="minorHAnsi" w:hAnsiTheme="minorHAnsi" w:cstheme="minorHAnsi"/>
        </w:rPr>
        <w:fldChar w:fldCharType="begin"/>
      </w:r>
      <w:r w:rsidR="00E14117" w:rsidRPr="006F66E7">
        <w:rPr>
          <w:rFonts w:asciiTheme="minorHAnsi" w:hAnsiTheme="minorHAnsi" w:cstheme="minorHAnsi"/>
        </w:rPr>
        <w:instrText xml:space="preserve"> REF _Ref495001136 \r \h </w:instrText>
      </w:r>
      <w:r w:rsidR="00934B33" w:rsidRPr="006F66E7">
        <w:rPr>
          <w:rFonts w:asciiTheme="minorHAnsi" w:hAnsiTheme="minorHAnsi" w:cstheme="minorHAnsi"/>
        </w:rPr>
        <w:instrText xml:space="preserve"> \* MERGEFORMAT </w:instrText>
      </w:r>
      <w:r w:rsidR="00E14117" w:rsidRPr="006F66E7">
        <w:rPr>
          <w:rFonts w:asciiTheme="minorHAnsi" w:hAnsiTheme="minorHAnsi" w:cstheme="minorHAnsi"/>
        </w:rPr>
      </w:r>
      <w:r w:rsidR="00E14117" w:rsidRPr="006F66E7">
        <w:rPr>
          <w:rFonts w:asciiTheme="minorHAnsi" w:hAnsiTheme="minorHAnsi" w:cstheme="minorHAnsi"/>
        </w:rPr>
        <w:fldChar w:fldCharType="separate"/>
      </w:r>
      <w:r w:rsidR="003700FD">
        <w:rPr>
          <w:rFonts w:asciiTheme="minorHAnsi" w:hAnsiTheme="minorHAnsi" w:cstheme="minorHAnsi"/>
        </w:rPr>
        <w:t>2.2</w:t>
      </w:r>
      <w:r w:rsidR="00E14117" w:rsidRPr="006F66E7">
        <w:rPr>
          <w:rFonts w:asciiTheme="minorHAnsi" w:hAnsiTheme="minorHAnsi" w:cstheme="minorHAnsi"/>
        </w:rPr>
        <w:fldChar w:fldCharType="end"/>
      </w:r>
      <w:r w:rsidR="00E14117" w:rsidRPr="006F66E7">
        <w:rPr>
          <w:rFonts w:asciiTheme="minorHAnsi" w:hAnsiTheme="minorHAnsi" w:cstheme="minorHAnsi"/>
        </w:rPr>
        <w:t xml:space="preserve"> tohoto dodatku</w:t>
      </w:r>
      <w:r w:rsidR="0018489C" w:rsidRPr="006F66E7">
        <w:rPr>
          <w:rFonts w:asciiTheme="minorHAnsi" w:hAnsiTheme="minorHAnsi" w:cstheme="minorHAnsi"/>
        </w:rPr>
        <w:t xml:space="preserve"> byla, na základě informací známých ke dni podpisu tohoto dodatku, </w:t>
      </w:r>
      <w:r w:rsidRPr="006F66E7">
        <w:rPr>
          <w:rFonts w:asciiTheme="minorHAnsi" w:hAnsiTheme="minorHAnsi" w:cstheme="minorHAnsi"/>
        </w:rPr>
        <w:t xml:space="preserve">Dodavatelem odhadnuta na částku </w:t>
      </w:r>
      <w:r w:rsidR="00310CEF" w:rsidRPr="00310CEF">
        <w:rPr>
          <w:rFonts w:asciiTheme="minorHAnsi" w:hAnsiTheme="minorHAnsi" w:cstheme="minorHAnsi"/>
          <w:b/>
          <w:bCs/>
        </w:rPr>
        <w:t>----</w:t>
      </w:r>
      <w:r w:rsidRPr="006F66E7">
        <w:rPr>
          <w:rFonts w:asciiTheme="minorHAnsi" w:hAnsiTheme="minorHAnsi" w:cstheme="minorHAnsi"/>
          <w:b/>
        </w:rPr>
        <w:t> Kč</w:t>
      </w:r>
      <w:r w:rsidRPr="006F66E7">
        <w:rPr>
          <w:rFonts w:asciiTheme="minorHAnsi" w:hAnsiTheme="minorHAnsi" w:cstheme="minorHAnsi"/>
        </w:rPr>
        <w:t xml:space="preserve"> bez DPH, viz specifikace v </w:t>
      </w:r>
      <w:r w:rsidRPr="00310CEF">
        <w:rPr>
          <w:rFonts w:asciiTheme="minorHAnsi" w:hAnsiTheme="minorHAnsi" w:cstheme="minorHAnsi"/>
        </w:rPr>
        <w:t xml:space="preserve">příloze č. </w:t>
      </w:r>
      <w:r w:rsidR="0018489C" w:rsidRPr="00310CEF">
        <w:rPr>
          <w:rFonts w:asciiTheme="minorHAnsi" w:hAnsiTheme="minorHAnsi" w:cstheme="minorHAnsi"/>
        </w:rPr>
        <w:t>2</w:t>
      </w:r>
      <w:r w:rsidRPr="00310CEF">
        <w:rPr>
          <w:rFonts w:asciiTheme="minorHAnsi" w:hAnsiTheme="minorHAnsi" w:cstheme="minorHAnsi"/>
        </w:rPr>
        <w:t xml:space="preserve"> </w:t>
      </w:r>
      <w:r w:rsidR="00520742" w:rsidRPr="00310CEF">
        <w:rPr>
          <w:rFonts w:asciiTheme="minorHAnsi" w:hAnsiTheme="minorHAnsi" w:cstheme="minorHAnsi"/>
        </w:rPr>
        <w:t>tohoto dodatku</w:t>
      </w:r>
      <w:r w:rsidRPr="00310CEF">
        <w:rPr>
          <w:rFonts w:asciiTheme="minorHAnsi" w:hAnsiTheme="minorHAnsi" w:cstheme="minorHAnsi"/>
        </w:rPr>
        <w:t>. T</w:t>
      </w:r>
      <w:r w:rsidR="0018489C" w:rsidRPr="00310CEF">
        <w:rPr>
          <w:rFonts w:asciiTheme="minorHAnsi" w:hAnsiTheme="minorHAnsi" w:cstheme="minorHAnsi"/>
        </w:rPr>
        <w:t>yto implementační služby budou O</w:t>
      </w:r>
      <w:r w:rsidRPr="00310CEF">
        <w:rPr>
          <w:rFonts w:asciiTheme="minorHAnsi" w:hAnsiTheme="minorHAnsi" w:cstheme="minorHAnsi"/>
        </w:rPr>
        <w:t>dběrateli fakturovány v prů</w:t>
      </w:r>
      <w:r w:rsidR="0018489C" w:rsidRPr="00310CEF">
        <w:rPr>
          <w:rFonts w:asciiTheme="minorHAnsi" w:hAnsiTheme="minorHAnsi" w:cstheme="minorHAnsi"/>
        </w:rPr>
        <w:t>běhu jejich čerpání na základě O</w:t>
      </w:r>
      <w:r w:rsidRPr="00310CEF">
        <w:rPr>
          <w:rFonts w:asciiTheme="minorHAnsi" w:hAnsiTheme="minorHAnsi" w:cstheme="minorHAnsi"/>
        </w:rPr>
        <w:t xml:space="preserve">dběratelem potvrzených protokolů o provedené práci.  </w:t>
      </w:r>
      <w:r w:rsidR="00E6730D" w:rsidRPr="00310CEF">
        <w:rPr>
          <w:rFonts w:asciiTheme="minorHAnsi" w:hAnsiTheme="minorHAnsi" w:cstheme="minorHAnsi"/>
        </w:rPr>
        <w:t xml:space="preserve">      </w:t>
      </w:r>
    </w:p>
    <w:p w14:paraId="6B147D91" w14:textId="77777777" w:rsidR="0018489C" w:rsidRPr="00310CEF" w:rsidRDefault="0018489C" w:rsidP="0018489C">
      <w:pPr>
        <w:pStyle w:val="Smlouvaodstavec"/>
        <w:ind w:left="1134"/>
        <w:rPr>
          <w:rFonts w:asciiTheme="minorHAnsi" w:hAnsiTheme="minorHAnsi" w:cstheme="minorHAnsi"/>
          <w:sz w:val="22"/>
          <w:szCs w:val="22"/>
        </w:rPr>
      </w:pPr>
      <w:r w:rsidRPr="00310CE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 w:val="22"/>
              <w:default w:val="0"/>
            </w:checkBox>
          </w:ffData>
        </w:fldChar>
      </w:r>
      <w:r w:rsidRPr="00310CEF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CB1E21">
        <w:rPr>
          <w:rFonts w:asciiTheme="minorHAnsi" w:hAnsiTheme="minorHAnsi" w:cstheme="minorHAnsi"/>
          <w:sz w:val="22"/>
          <w:szCs w:val="22"/>
        </w:rPr>
      </w:r>
      <w:r w:rsidR="00CB1E21">
        <w:rPr>
          <w:rFonts w:asciiTheme="minorHAnsi" w:hAnsiTheme="minorHAnsi" w:cstheme="minorHAnsi"/>
          <w:sz w:val="22"/>
          <w:szCs w:val="22"/>
        </w:rPr>
        <w:fldChar w:fldCharType="separate"/>
      </w:r>
      <w:r w:rsidRPr="00310CEF">
        <w:rPr>
          <w:rFonts w:asciiTheme="minorHAnsi" w:hAnsiTheme="minorHAnsi" w:cstheme="minorHAnsi"/>
          <w:sz w:val="22"/>
          <w:szCs w:val="22"/>
        </w:rPr>
        <w:fldChar w:fldCharType="end"/>
      </w:r>
      <w:r w:rsidRPr="00310CEF">
        <w:rPr>
          <w:rFonts w:asciiTheme="minorHAnsi" w:hAnsiTheme="minorHAnsi" w:cstheme="minorHAnsi"/>
          <w:sz w:val="22"/>
          <w:szCs w:val="22"/>
        </w:rPr>
        <w:t xml:space="preserve"> ANO (smluvní strany toto ustanovení akceptují)</w:t>
      </w:r>
    </w:p>
    <w:p w14:paraId="0C2218B8" w14:textId="14B966C1" w:rsidR="0018489C" w:rsidRPr="0042548C" w:rsidRDefault="00310CEF" w:rsidP="0018489C">
      <w:pPr>
        <w:pStyle w:val="Odstavecseseznamem"/>
        <w:spacing w:after="120"/>
        <w:ind w:left="1134"/>
        <w:rPr>
          <w:rFonts w:asciiTheme="minorHAnsi" w:hAnsiTheme="minorHAnsi" w:cstheme="minorHAnsi"/>
        </w:rPr>
      </w:pPr>
      <w:r w:rsidRPr="00310CE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2"/>
              <w:default w:val="1"/>
            </w:checkBox>
          </w:ffData>
        </w:fldChar>
      </w:r>
      <w:r w:rsidRPr="00310CEF">
        <w:rPr>
          <w:rFonts w:asciiTheme="minorHAnsi" w:hAnsiTheme="minorHAnsi" w:cstheme="minorHAnsi"/>
        </w:rPr>
        <w:instrText xml:space="preserve"> FORMCHECKBOX </w:instrText>
      </w:r>
      <w:r w:rsidR="00CB1E21">
        <w:rPr>
          <w:rFonts w:asciiTheme="minorHAnsi" w:hAnsiTheme="minorHAnsi" w:cstheme="minorHAnsi"/>
        </w:rPr>
      </w:r>
      <w:r w:rsidR="00CB1E21">
        <w:rPr>
          <w:rFonts w:asciiTheme="minorHAnsi" w:hAnsiTheme="minorHAnsi" w:cstheme="minorHAnsi"/>
        </w:rPr>
        <w:fldChar w:fldCharType="separate"/>
      </w:r>
      <w:r w:rsidRPr="00310CEF">
        <w:rPr>
          <w:rFonts w:asciiTheme="minorHAnsi" w:hAnsiTheme="minorHAnsi" w:cstheme="minorHAnsi"/>
        </w:rPr>
        <w:fldChar w:fldCharType="end"/>
      </w:r>
      <w:r w:rsidR="0018489C" w:rsidRPr="00310CEF">
        <w:rPr>
          <w:rFonts w:asciiTheme="minorHAnsi" w:hAnsiTheme="minorHAnsi" w:cstheme="minorHAnsi"/>
        </w:rPr>
        <w:t xml:space="preserve"> NE (smluvní</w:t>
      </w:r>
      <w:r w:rsidR="0018489C" w:rsidRPr="0042548C">
        <w:rPr>
          <w:rFonts w:asciiTheme="minorHAnsi" w:hAnsiTheme="minorHAnsi" w:cstheme="minorHAnsi"/>
        </w:rPr>
        <w:t xml:space="preserve"> strany toto ustanovení neakceptují)</w:t>
      </w:r>
    </w:p>
    <w:p w14:paraId="7D63A787" w14:textId="298D8589" w:rsidR="00EF6CE2" w:rsidRPr="00BC1561" w:rsidRDefault="00EF6CE2" w:rsidP="00BC1561">
      <w:pPr>
        <w:pStyle w:val="Nadpis2"/>
        <w:spacing w:after="180"/>
        <w:ind w:left="567" w:hanging="567"/>
      </w:pPr>
      <w:r w:rsidRPr="008A6948">
        <w:t xml:space="preserve">V rámci smlouvy </w:t>
      </w:r>
      <w:r>
        <w:t>o Maintenance ve smyslu odstavce 2</w:t>
      </w:r>
      <w:r w:rsidRPr="008A6948">
        <w:t>.</w:t>
      </w:r>
      <w:r>
        <w:t>3</w:t>
      </w:r>
      <w:r w:rsidRPr="008A6948">
        <w:t xml:space="preserve">. </w:t>
      </w:r>
      <w:r w:rsidRPr="00FA2090">
        <w:t xml:space="preserve">tohoto dodatku </w:t>
      </w:r>
      <w:r w:rsidRPr="00CD2621">
        <w:t xml:space="preserve">se Odběratel zavazuje za takto </w:t>
      </w:r>
      <w:r w:rsidRPr="008D4922">
        <w:t xml:space="preserve">poskytované služby hradit Dodavateli roční paušální poplatek, </w:t>
      </w:r>
      <w:r w:rsidRPr="00BC1561">
        <w:rPr>
          <w:rFonts w:cs="Calibri"/>
        </w:rPr>
        <w:t>a to následovně:</w:t>
      </w:r>
    </w:p>
    <w:p w14:paraId="731ED5C2" w14:textId="155F639F" w:rsidR="00EF6CE2" w:rsidRPr="00B1234D" w:rsidRDefault="00EF6CE2" w:rsidP="00EF6CE2">
      <w:pPr>
        <w:pStyle w:val="Odstavecseseznamem"/>
        <w:numPr>
          <w:ilvl w:val="0"/>
          <w:numId w:val="11"/>
        </w:numPr>
        <w:spacing w:after="120"/>
        <w:rPr>
          <w:rFonts w:cs="Calibri"/>
        </w:rPr>
      </w:pPr>
      <w:r w:rsidRPr="008D4922">
        <w:rPr>
          <w:rFonts w:cs="Calibri"/>
        </w:rPr>
        <w:t xml:space="preserve">za období od </w:t>
      </w:r>
      <w:r w:rsidR="00BC1561">
        <w:rPr>
          <w:rFonts w:cs="Calibri"/>
        </w:rPr>
        <w:t>1</w:t>
      </w:r>
      <w:r w:rsidR="00D84694">
        <w:rPr>
          <w:rFonts w:cs="Calibri"/>
        </w:rPr>
        <w:t>4</w:t>
      </w:r>
      <w:r w:rsidR="00BC1561">
        <w:rPr>
          <w:rFonts w:cs="Calibri"/>
        </w:rPr>
        <w:t>.9.2020</w:t>
      </w:r>
      <w:r w:rsidRPr="008D4922">
        <w:rPr>
          <w:rFonts w:cs="Calibri"/>
        </w:rPr>
        <w:t xml:space="preserve"> do </w:t>
      </w:r>
      <w:r w:rsidR="00BC1561">
        <w:rPr>
          <w:rFonts w:cs="Calibri"/>
        </w:rPr>
        <w:t xml:space="preserve">30.6.2021 </w:t>
      </w:r>
      <w:r w:rsidRPr="008D4922">
        <w:rPr>
          <w:rFonts w:cs="Calibri"/>
        </w:rPr>
        <w:t>v </w:t>
      </w:r>
      <w:r w:rsidRPr="00B1234D">
        <w:rPr>
          <w:rFonts w:cs="Calibri"/>
        </w:rPr>
        <w:t xml:space="preserve">alikvótní výši </w:t>
      </w:r>
      <w:r w:rsidR="00BC1561" w:rsidRPr="00B1234D">
        <w:rPr>
          <w:rFonts w:cs="Calibri"/>
          <w:b/>
        </w:rPr>
        <w:t>5</w:t>
      </w:r>
      <w:r w:rsidR="00D645CD">
        <w:rPr>
          <w:rFonts w:cs="Calibri"/>
          <w:b/>
        </w:rPr>
        <w:t> </w:t>
      </w:r>
      <w:r w:rsidR="00BC1561" w:rsidRPr="00B1234D">
        <w:rPr>
          <w:rFonts w:cs="Calibri"/>
          <w:b/>
        </w:rPr>
        <w:t>4</w:t>
      </w:r>
      <w:r w:rsidR="00D645CD">
        <w:rPr>
          <w:rFonts w:cs="Calibri"/>
          <w:b/>
        </w:rPr>
        <w:t>13,94</w:t>
      </w:r>
      <w:r w:rsidRPr="00B1234D">
        <w:rPr>
          <w:rFonts w:cs="Calibri"/>
          <w:b/>
        </w:rPr>
        <w:t xml:space="preserve"> Kč </w:t>
      </w:r>
      <w:r w:rsidRPr="00B1234D">
        <w:rPr>
          <w:rFonts w:cs="Calibri"/>
        </w:rPr>
        <w:t>bez DPH</w:t>
      </w:r>
      <w:r w:rsidR="00552DD1" w:rsidRPr="00B1234D">
        <w:rPr>
          <w:rFonts w:cs="Arial"/>
        </w:rPr>
        <w:t xml:space="preserve"> navýšených </w:t>
      </w:r>
      <w:r w:rsidR="00552DD1" w:rsidRPr="00B1234D">
        <w:t>o zákonnou sazbu DPH</w:t>
      </w:r>
      <w:r w:rsidRPr="00B1234D">
        <w:rPr>
          <w:rFonts w:cs="Calibri"/>
        </w:rPr>
        <w:t xml:space="preserve">. </w:t>
      </w:r>
    </w:p>
    <w:p w14:paraId="00FB6D17" w14:textId="4D3E12D3" w:rsidR="00EF6CE2" w:rsidRPr="008D4922" w:rsidRDefault="00EF6CE2" w:rsidP="00EF6CE2">
      <w:pPr>
        <w:pStyle w:val="Odstavecseseznamem"/>
        <w:numPr>
          <w:ilvl w:val="0"/>
          <w:numId w:val="11"/>
        </w:numPr>
        <w:spacing w:after="120"/>
        <w:rPr>
          <w:rFonts w:cs="Calibri"/>
        </w:rPr>
      </w:pPr>
      <w:r w:rsidRPr="00B1234D">
        <w:rPr>
          <w:rFonts w:cs="Calibri"/>
        </w:rPr>
        <w:t xml:space="preserve">po uplynutí doby dle předchozího bodu a) ve výši </w:t>
      </w:r>
      <w:r w:rsidR="00B1234D" w:rsidRPr="00B1234D">
        <w:rPr>
          <w:rFonts w:cs="Calibri"/>
          <w:b/>
        </w:rPr>
        <w:t>24 247,40</w:t>
      </w:r>
      <w:r w:rsidRPr="00B1234D">
        <w:rPr>
          <w:rFonts w:cs="Calibri"/>
          <w:b/>
        </w:rPr>
        <w:t xml:space="preserve"> Kč </w:t>
      </w:r>
      <w:r w:rsidRPr="00B1234D">
        <w:rPr>
          <w:rFonts w:cs="Calibri"/>
        </w:rPr>
        <w:t>DPH</w:t>
      </w:r>
      <w:r w:rsidR="00552DD1" w:rsidRPr="00B1234D">
        <w:rPr>
          <w:rFonts w:cs="Arial"/>
        </w:rPr>
        <w:t xml:space="preserve"> navýšených </w:t>
      </w:r>
      <w:r w:rsidR="00552DD1" w:rsidRPr="00B1234D">
        <w:t>o zákonnou sazbu DPH</w:t>
      </w:r>
      <w:r w:rsidRPr="00B1234D">
        <w:rPr>
          <w:rFonts w:cs="Calibri"/>
        </w:rPr>
        <w:t xml:space="preserve">, a to po celou dobu používání </w:t>
      </w:r>
      <w:r w:rsidRPr="00B1234D">
        <w:t>iNUVIO</w:t>
      </w:r>
      <w:r w:rsidRPr="00B1234D">
        <w:rPr>
          <w:rFonts w:cs="Calibri"/>
        </w:rPr>
        <w:t xml:space="preserve"> na základě daňového</w:t>
      </w:r>
      <w:r w:rsidRPr="008D4922">
        <w:rPr>
          <w:rFonts w:cs="Calibri"/>
        </w:rPr>
        <w:t xml:space="preserve"> dokladu (faktury) vystaveného Dodavatelem, a sice vždy dopředu na období dvanácti (12) měsíců.                   </w:t>
      </w:r>
    </w:p>
    <w:p w14:paraId="6DA2AF41" w14:textId="553ED499" w:rsidR="008D44B7" w:rsidRDefault="008D44B7" w:rsidP="008D44B7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</w:rPr>
      </w:pPr>
      <w:r w:rsidRPr="00FA2090">
        <w:rPr>
          <w:rFonts w:asciiTheme="minorHAnsi" w:hAnsiTheme="minorHAnsi" w:cstheme="minorHAnsi"/>
        </w:rPr>
        <w:t>Odběratel se zavazuje finanční plnění specifik</w:t>
      </w:r>
      <w:r w:rsidR="00202FDA">
        <w:rPr>
          <w:rFonts w:asciiTheme="minorHAnsi" w:hAnsiTheme="minorHAnsi" w:cstheme="minorHAnsi"/>
        </w:rPr>
        <w:t>ovaná v</w:t>
      </w:r>
      <w:r w:rsidR="007170A6">
        <w:rPr>
          <w:rFonts w:asciiTheme="minorHAnsi" w:hAnsiTheme="minorHAnsi" w:cstheme="minorHAnsi"/>
        </w:rPr>
        <w:t> </w:t>
      </w:r>
      <w:r w:rsidR="00202FDA">
        <w:rPr>
          <w:rFonts w:asciiTheme="minorHAnsi" w:hAnsiTheme="minorHAnsi" w:cstheme="minorHAnsi"/>
        </w:rPr>
        <w:t>odstavcích</w:t>
      </w:r>
      <w:r w:rsidR="007170A6">
        <w:rPr>
          <w:rFonts w:asciiTheme="minorHAnsi" w:hAnsiTheme="minorHAnsi" w:cstheme="minorHAnsi"/>
        </w:rPr>
        <w:t xml:space="preserve"> 3.1</w:t>
      </w:r>
      <w:r w:rsidR="00202FDA">
        <w:rPr>
          <w:rFonts w:asciiTheme="minorHAnsi" w:hAnsiTheme="minorHAnsi" w:cstheme="minorHAnsi"/>
        </w:rPr>
        <w:t xml:space="preserve">, </w:t>
      </w:r>
      <w:r w:rsidR="00B0600F">
        <w:rPr>
          <w:rFonts w:asciiTheme="minorHAnsi" w:hAnsiTheme="minorHAnsi" w:cstheme="minorHAnsi"/>
        </w:rPr>
        <w:t>3.2</w:t>
      </w:r>
      <w:r w:rsidR="00EB4B57">
        <w:rPr>
          <w:rFonts w:asciiTheme="minorHAnsi" w:hAnsiTheme="minorHAnsi" w:cstheme="minorHAnsi"/>
        </w:rPr>
        <w:t xml:space="preserve"> a</w:t>
      </w:r>
      <w:r w:rsidR="00411326">
        <w:rPr>
          <w:rFonts w:asciiTheme="minorHAnsi" w:hAnsiTheme="minorHAnsi" w:cstheme="minorHAnsi"/>
        </w:rPr>
        <w:t xml:space="preserve"> </w:t>
      </w:r>
      <w:r w:rsidR="00B01934">
        <w:rPr>
          <w:rFonts w:asciiTheme="minorHAnsi" w:hAnsiTheme="minorHAnsi" w:cstheme="minorHAnsi"/>
        </w:rPr>
        <w:t xml:space="preserve">3.3 </w:t>
      </w:r>
      <w:r w:rsidRPr="00FA2090">
        <w:rPr>
          <w:rFonts w:asciiTheme="minorHAnsi" w:hAnsiTheme="minorHAnsi" w:cstheme="minorHAnsi"/>
        </w:rPr>
        <w:t>uhradit bezhotovostním převodem na základě daňových dokladů (faktur) vystavených Dodavatelem ve splatnosti, která bude stanovena na příslušné faktuře.</w:t>
      </w:r>
      <w:r w:rsidR="0034199F">
        <w:rPr>
          <w:rFonts w:asciiTheme="minorHAnsi" w:hAnsiTheme="minorHAnsi" w:cstheme="minorHAnsi"/>
        </w:rPr>
        <w:t xml:space="preserve"> Všechny uvedené částky budou navýšeny o zákonnou sazbu DPH.</w:t>
      </w:r>
    </w:p>
    <w:p w14:paraId="50A84068" w14:textId="77777777" w:rsidR="00B459B7" w:rsidRPr="00FA2090" w:rsidRDefault="00B459B7" w:rsidP="00023C6D">
      <w:pPr>
        <w:spacing w:after="120"/>
        <w:rPr>
          <w:rFonts w:asciiTheme="minorHAnsi" w:hAnsiTheme="minorHAnsi" w:cstheme="minorHAnsi"/>
          <w:color w:val="FF0000"/>
        </w:rPr>
      </w:pPr>
    </w:p>
    <w:p w14:paraId="04071908" w14:textId="77777777" w:rsidR="00E92393" w:rsidRPr="00FA2090" w:rsidRDefault="00E92393" w:rsidP="00111E1C">
      <w:pPr>
        <w:numPr>
          <w:ilvl w:val="0"/>
          <w:numId w:val="6"/>
        </w:num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A2090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4F40C51E" w14:textId="48887570" w:rsidR="00FD64F8" w:rsidRPr="00FA2090" w:rsidRDefault="00FD64F8" w:rsidP="00111E1C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</w:pPr>
      <w:r w:rsidRPr="00FA2090">
        <w:rPr>
          <w:rFonts w:asciiTheme="minorHAnsi" w:hAnsiTheme="minorHAnsi" w:cstheme="minorHAnsi"/>
        </w:rPr>
        <w:t xml:space="preserve">Tento dodatek </w:t>
      </w:r>
      <w:r w:rsidR="00E92393" w:rsidRPr="00FA2090">
        <w:rPr>
          <w:rFonts w:asciiTheme="minorHAnsi" w:hAnsiTheme="minorHAnsi" w:cstheme="minorHAnsi"/>
        </w:rPr>
        <w:t xml:space="preserve">nabývá své platnosti a účinnosti dnem podpisu </w:t>
      </w:r>
      <w:r w:rsidRPr="00FA2090">
        <w:rPr>
          <w:rFonts w:asciiTheme="minorHAnsi" w:hAnsiTheme="minorHAnsi" w:cstheme="minorHAnsi"/>
        </w:rPr>
        <w:t>o</w:t>
      </w:r>
      <w:r w:rsidR="002C1291" w:rsidRPr="00FA2090">
        <w:rPr>
          <w:rFonts w:asciiTheme="minorHAnsi" w:hAnsiTheme="minorHAnsi" w:cstheme="minorHAnsi"/>
        </w:rPr>
        <w:t>běma smluvními stranami</w:t>
      </w:r>
    </w:p>
    <w:p w14:paraId="1F57F0BF" w14:textId="6241E9C5" w:rsidR="00E92393" w:rsidRPr="00310CEF" w:rsidRDefault="00FD64F8" w:rsidP="00111E1C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</w:pPr>
      <w:r w:rsidRPr="00FA2090">
        <w:rPr>
          <w:rFonts w:asciiTheme="minorHAnsi" w:hAnsiTheme="minorHAnsi" w:cstheme="minorHAnsi"/>
        </w:rPr>
        <w:t>Tento dodatek je</w:t>
      </w:r>
      <w:r w:rsidR="00E92393" w:rsidRPr="00FA2090">
        <w:rPr>
          <w:rFonts w:asciiTheme="minorHAnsi" w:hAnsiTheme="minorHAnsi" w:cstheme="minorHAnsi"/>
        </w:rPr>
        <w:t xml:space="preserve"> </w:t>
      </w:r>
      <w:r w:rsidR="00E92393" w:rsidRPr="00310CEF">
        <w:rPr>
          <w:rFonts w:asciiTheme="minorHAnsi" w:hAnsiTheme="minorHAnsi" w:cstheme="minorHAnsi"/>
        </w:rPr>
        <w:t xml:space="preserve">vyhotoven ve dvou exemplářích, z nichž každá ze smluvních stran obdrží po jednom </w:t>
      </w:r>
      <w:r w:rsidRPr="00310CEF">
        <w:rPr>
          <w:rFonts w:asciiTheme="minorHAnsi" w:hAnsiTheme="minorHAnsi" w:cstheme="minorHAnsi"/>
        </w:rPr>
        <w:t>vyhotovení</w:t>
      </w:r>
      <w:r w:rsidR="00E92393" w:rsidRPr="00310CEF">
        <w:rPr>
          <w:rFonts w:asciiTheme="minorHAnsi" w:hAnsiTheme="minorHAnsi" w:cstheme="minorHAnsi"/>
        </w:rPr>
        <w:t>.</w:t>
      </w:r>
    </w:p>
    <w:p w14:paraId="0BBB82A4" w14:textId="77777777" w:rsidR="00E92393" w:rsidRPr="00FA2090" w:rsidRDefault="00E92393" w:rsidP="00111E1C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</w:pPr>
      <w:r w:rsidRPr="00FA2090">
        <w:rPr>
          <w:rFonts w:asciiTheme="minorHAnsi" w:hAnsiTheme="minorHAnsi" w:cstheme="minorHAnsi"/>
        </w:rPr>
        <w:t>Smluvní strany prohlašují, že si tento dodatek před jeho podpisem přečetly, s jeho obsahem souhlasí, a že byl uzavřen po vzájemném projednání podle jejich pravé a svobodné vůle, přičemž jeho autentičnost stvrzují svými níže uvedenými podpisy.</w:t>
      </w:r>
    </w:p>
    <w:p w14:paraId="338F8A59" w14:textId="77777777" w:rsidR="00E92393" w:rsidRPr="00FA2090" w:rsidRDefault="00E92393" w:rsidP="00E92393">
      <w:pPr>
        <w:rPr>
          <w:rFonts w:asciiTheme="minorHAnsi" w:hAnsiTheme="minorHAnsi" w:cstheme="minorHAnsi"/>
        </w:rPr>
      </w:pPr>
    </w:p>
    <w:p w14:paraId="24BB37B9" w14:textId="29322CD3" w:rsidR="00E92393" w:rsidRDefault="00E92393" w:rsidP="00E92393">
      <w:pPr>
        <w:rPr>
          <w:rFonts w:asciiTheme="minorHAnsi" w:hAnsiTheme="minorHAnsi" w:cstheme="minorHAnsi"/>
        </w:rPr>
      </w:pPr>
    </w:p>
    <w:p w14:paraId="04EE6596" w14:textId="48BBD12E" w:rsidR="00450919" w:rsidRDefault="00450919" w:rsidP="00E92393">
      <w:pPr>
        <w:rPr>
          <w:rFonts w:asciiTheme="minorHAnsi" w:hAnsiTheme="minorHAnsi" w:cstheme="minorHAnsi"/>
        </w:rPr>
      </w:pPr>
    </w:p>
    <w:p w14:paraId="6854B98F" w14:textId="77777777" w:rsidR="00450919" w:rsidRPr="00FA2090" w:rsidRDefault="00450919" w:rsidP="00E92393">
      <w:pPr>
        <w:rPr>
          <w:rFonts w:asciiTheme="minorHAnsi" w:hAnsiTheme="minorHAnsi" w:cstheme="minorHAnsi"/>
        </w:rPr>
      </w:pPr>
    </w:p>
    <w:p w14:paraId="3D55814F" w14:textId="77777777" w:rsidR="00E92393" w:rsidRPr="00FA2090" w:rsidRDefault="00E92393" w:rsidP="00E92393">
      <w:pPr>
        <w:rPr>
          <w:rFonts w:asciiTheme="minorHAnsi" w:hAnsiTheme="minorHAnsi" w:cstheme="minorHAnsi"/>
          <w:u w:val="single"/>
        </w:rPr>
      </w:pPr>
      <w:r w:rsidRPr="00FA2090">
        <w:rPr>
          <w:rFonts w:asciiTheme="minorHAnsi" w:hAnsiTheme="minorHAnsi" w:cstheme="minorHAnsi"/>
          <w:u w:val="single"/>
        </w:rPr>
        <w:lastRenderedPageBreak/>
        <w:t>Seznam příloh, jež tvoří nedílnou součást dodatku:</w:t>
      </w:r>
    </w:p>
    <w:p w14:paraId="144E8A05" w14:textId="026EE704" w:rsidR="00E92393" w:rsidRPr="00FA2090" w:rsidRDefault="00E92393" w:rsidP="00E92393">
      <w:pPr>
        <w:rPr>
          <w:rFonts w:asciiTheme="minorHAnsi" w:hAnsiTheme="minorHAnsi" w:cstheme="minorHAnsi"/>
        </w:rPr>
      </w:pPr>
      <w:r w:rsidRPr="00FA2090">
        <w:rPr>
          <w:rFonts w:asciiTheme="minorHAnsi" w:hAnsiTheme="minorHAnsi" w:cstheme="minorHAnsi"/>
        </w:rPr>
        <w:t>Příloha č. 1</w:t>
      </w:r>
      <w:r w:rsidR="004E49E8" w:rsidRPr="00FA2090">
        <w:rPr>
          <w:rFonts w:asciiTheme="minorHAnsi" w:hAnsiTheme="minorHAnsi" w:cstheme="minorHAnsi"/>
        </w:rPr>
        <w:t xml:space="preserve"> – </w:t>
      </w:r>
      <w:r w:rsidRPr="00FA2090">
        <w:rPr>
          <w:rFonts w:asciiTheme="minorHAnsi" w:hAnsiTheme="minorHAnsi" w:cstheme="minorHAnsi"/>
        </w:rPr>
        <w:t xml:space="preserve">Rozsah programového vybavení </w:t>
      </w:r>
      <w:r w:rsidR="00C73CC6">
        <w:rPr>
          <w:rFonts w:asciiTheme="minorHAnsi" w:hAnsiTheme="minorHAnsi" w:cstheme="minorHAnsi"/>
        </w:rPr>
        <w:t>APV HELIOS (</w:t>
      </w:r>
      <w:r w:rsidR="008B2CD5" w:rsidRPr="00FA2090">
        <w:rPr>
          <w:rFonts w:asciiTheme="minorHAnsi" w:hAnsiTheme="minorHAnsi" w:cstheme="minorHAnsi"/>
        </w:rPr>
        <w:t>i</w:t>
      </w:r>
      <w:r w:rsidR="00E050AF" w:rsidRPr="00FA2090">
        <w:rPr>
          <w:rFonts w:asciiTheme="minorHAnsi" w:hAnsiTheme="minorHAnsi" w:cstheme="minorHAnsi"/>
        </w:rPr>
        <w:t>NUVIO</w:t>
      </w:r>
      <w:r w:rsidR="00C73CC6">
        <w:rPr>
          <w:rFonts w:asciiTheme="minorHAnsi" w:hAnsiTheme="minorHAnsi" w:cstheme="minorHAnsi"/>
        </w:rPr>
        <w:t>)</w:t>
      </w:r>
    </w:p>
    <w:p w14:paraId="24119EE3" w14:textId="5336826B" w:rsidR="00E92393" w:rsidRPr="00FA2090" w:rsidRDefault="00E92393" w:rsidP="00E92393">
      <w:pPr>
        <w:rPr>
          <w:rFonts w:asciiTheme="minorHAnsi" w:hAnsiTheme="minorHAnsi" w:cstheme="minorHAnsi"/>
        </w:rPr>
      </w:pPr>
      <w:r w:rsidRPr="00FA2090">
        <w:rPr>
          <w:rFonts w:asciiTheme="minorHAnsi" w:hAnsiTheme="minorHAnsi" w:cstheme="minorHAnsi"/>
        </w:rPr>
        <w:t xml:space="preserve">Příloha č. 2 – </w:t>
      </w:r>
      <w:r w:rsidR="00DA0F93" w:rsidRPr="00FA2090">
        <w:rPr>
          <w:rFonts w:asciiTheme="minorHAnsi" w:hAnsiTheme="minorHAnsi" w:cstheme="minorHAnsi"/>
        </w:rPr>
        <w:t xml:space="preserve">Implementační služby </w:t>
      </w:r>
      <w:r w:rsidR="008B2CD5" w:rsidRPr="00FA2090">
        <w:rPr>
          <w:rFonts w:asciiTheme="minorHAnsi" w:hAnsiTheme="minorHAnsi" w:cstheme="minorHAnsi"/>
        </w:rPr>
        <w:t>i</w:t>
      </w:r>
      <w:r w:rsidR="00E050AF" w:rsidRPr="00FA2090">
        <w:rPr>
          <w:rFonts w:asciiTheme="minorHAnsi" w:hAnsiTheme="minorHAnsi" w:cstheme="minorHAnsi"/>
        </w:rPr>
        <w:t>NUVIO</w:t>
      </w:r>
    </w:p>
    <w:p w14:paraId="5A18F9F1" w14:textId="2FF27B60" w:rsidR="006F65E0" w:rsidRPr="00FA2090" w:rsidRDefault="006F65E0" w:rsidP="00E923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</w:t>
      </w:r>
      <w:r w:rsidR="00EB4B57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– Žádost o aktivaci Aplikace RCZ</w:t>
      </w:r>
    </w:p>
    <w:p w14:paraId="4D0C0D29" w14:textId="3CCD8C9F" w:rsidR="00E92393" w:rsidRPr="00FA2090" w:rsidRDefault="00E92393" w:rsidP="00E92393">
      <w:pPr>
        <w:rPr>
          <w:rFonts w:asciiTheme="minorHAnsi" w:hAnsiTheme="minorHAnsi" w:cstheme="minorHAnsi"/>
        </w:rPr>
      </w:pPr>
    </w:p>
    <w:p w14:paraId="4779812B" w14:textId="01524CF1" w:rsidR="00D57166" w:rsidRPr="00FA2090" w:rsidRDefault="00D57166" w:rsidP="00E92393">
      <w:pPr>
        <w:rPr>
          <w:rFonts w:asciiTheme="minorHAnsi" w:hAnsiTheme="minorHAnsi" w:cstheme="minorHAnsi"/>
        </w:rPr>
      </w:pPr>
    </w:p>
    <w:p w14:paraId="4D5E7D36" w14:textId="77777777" w:rsidR="00DA0F93" w:rsidRPr="00FA2090" w:rsidRDefault="00DA0F93" w:rsidP="00E92393">
      <w:pPr>
        <w:rPr>
          <w:rFonts w:asciiTheme="minorHAnsi" w:hAnsiTheme="minorHAnsi" w:cstheme="minorHAnsi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4860"/>
      </w:tblGrid>
      <w:tr w:rsidR="00E92393" w:rsidRPr="00FA2090" w14:paraId="3D5FC542" w14:textId="77777777" w:rsidTr="002B0AD2">
        <w:tc>
          <w:tcPr>
            <w:tcW w:w="4860" w:type="dxa"/>
          </w:tcPr>
          <w:p w14:paraId="6261B389" w14:textId="0F98B123" w:rsidR="00E92393" w:rsidRPr="00FA2090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  <w:r w:rsidRPr="00FA2090">
              <w:rPr>
                <w:rFonts w:asciiTheme="minorHAnsi" w:hAnsiTheme="minorHAnsi" w:cstheme="minorHAnsi"/>
              </w:rPr>
              <w:t>V Praze dne</w:t>
            </w:r>
            <w:r w:rsidR="00B1234D">
              <w:rPr>
                <w:rFonts w:asciiTheme="minorHAnsi" w:hAnsiTheme="minorHAnsi" w:cstheme="minorHAnsi"/>
              </w:rPr>
              <w:t xml:space="preserve"> 1</w:t>
            </w:r>
            <w:r w:rsidR="00450919">
              <w:rPr>
                <w:rFonts w:asciiTheme="minorHAnsi" w:hAnsiTheme="minorHAnsi" w:cstheme="minorHAnsi"/>
              </w:rPr>
              <w:t>4</w:t>
            </w:r>
            <w:r w:rsidR="00B1234D">
              <w:rPr>
                <w:rFonts w:asciiTheme="minorHAnsi" w:hAnsiTheme="minorHAnsi" w:cstheme="minorHAnsi"/>
              </w:rPr>
              <w:t>.9.2020</w:t>
            </w:r>
          </w:p>
          <w:p w14:paraId="59318036" w14:textId="77777777" w:rsidR="00E92393" w:rsidRPr="00FA2090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5B10719B" w14:textId="77777777" w:rsidR="00E92393" w:rsidRPr="00FA2090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20E326EB" w14:textId="77777777" w:rsidR="00E92393" w:rsidRPr="00FA2090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  <w:r w:rsidRPr="00FA2090">
              <w:rPr>
                <w:rFonts w:asciiTheme="minorHAnsi" w:hAnsiTheme="minorHAnsi" w:cstheme="minorHAnsi"/>
              </w:rPr>
              <w:t xml:space="preserve">Za </w:t>
            </w:r>
            <w:bookmarkStart w:id="12" w:name="_GoBack"/>
            <w:r w:rsidRPr="00FA2090">
              <w:rPr>
                <w:rFonts w:asciiTheme="minorHAnsi" w:hAnsiTheme="minorHAnsi" w:cstheme="minorHAnsi"/>
              </w:rPr>
              <w:t>Asseco Solutions, a.s.</w:t>
            </w:r>
            <w:bookmarkEnd w:id="12"/>
          </w:p>
          <w:p w14:paraId="4558D685" w14:textId="77777777" w:rsidR="00E92393" w:rsidRPr="00FA2090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7C2A7B4A" w14:textId="77777777" w:rsidR="00E92393" w:rsidRPr="00FA2090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04C8B0F6" w14:textId="77777777" w:rsidR="00E92393" w:rsidRPr="00FA2090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22397036" w14:textId="77777777" w:rsidR="00E92393" w:rsidRPr="00FA2090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10928CDB" w14:textId="77777777" w:rsidR="00E92393" w:rsidRPr="00FA2090" w:rsidRDefault="00E92393" w:rsidP="002B0AD2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FA2090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61325ABD" w14:textId="40F06199" w:rsidR="00E92393" w:rsidRPr="00FA2090" w:rsidRDefault="00E92393" w:rsidP="002B0AD2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FA2090">
              <w:rPr>
                <w:rFonts w:asciiTheme="minorHAnsi" w:hAnsiTheme="minorHAnsi" w:cstheme="minorHAnsi"/>
              </w:rPr>
              <w:t xml:space="preserve">Ing. </w:t>
            </w:r>
            <w:r w:rsidR="00463157">
              <w:rPr>
                <w:rFonts w:asciiTheme="minorHAnsi" w:hAnsiTheme="minorHAnsi" w:cstheme="minorHAnsi"/>
              </w:rPr>
              <w:t>Petr Hampl</w:t>
            </w:r>
          </w:p>
          <w:p w14:paraId="63CFF2CE" w14:textId="18314332" w:rsidR="00E92393" w:rsidRPr="00FA2090" w:rsidRDefault="00463157" w:rsidP="002B0AD2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člen</w:t>
            </w:r>
            <w:r w:rsidR="00E92393" w:rsidRPr="00FA2090">
              <w:rPr>
                <w:rFonts w:asciiTheme="minorHAnsi" w:hAnsiTheme="minorHAnsi" w:cstheme="minorHAnsi"/>
              </w:rPr>
              <w:t xml:space="preserve"> představenstva</w:t>
            </w:r>
          </w:p>
        </w:tc>
        <w:tc>
          <w:tcPr>
            <w:tcW w:w="4860" w:type="dxa"/>
          </w:tcPr>
          <w:p w14:paraId="3BA2A320" w14:textId="261769D1" w:rsidR="00E92393" w:rsidRPr="00FA2090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  <w:r w:rsidRPr="00FA2090">
              <w:rPr>
                <w:rFonts w:asciiTheme="minorHAnsi" w:hAnsiTheme="minorHAnsi" w:cstheme="minorHAnsi"/>
              </w:rPr>
              <w:t>V</w:t>
            </w:r>
            <w:r w:rsidR="00310CEF">
              <w:rPr>
                <w:rFonts w:asciiTheme="minorHAnsi" w:hAnsiTheme="minorHAnsi" w:cstheme="minorHAnsi"/>
              </w:rPr>
              <w:t xml:space="preserve">e Starém Hradišti </w:t>
            </w:r>
            <w:r w:rsidRPr="00FA2090">
              <w:rPr>
                <w:rFonts w:asciiTheme="minorHAnsi" w:hAnsiTheme="minorHAnsi" w:cstheme="minorHAnsi"/>
              </w:rPr>
              <w:t xml:space="preserve">dne </w:t>
            </w:r>
            <w:r w:rsidR="00B1234D">
              <w:rPr>
                <w:rFonts w:asciiTheme="minorHAnsi" w:hAnsiTheme="minorHAnsi" w:cstheme="minorHAnsi"/>
              </w:rPr>
              <w:t>1</w:t>
            </w:r>
            <w:r w:rsidR="00450919">
              <w:rPr>
                <w:rFonts w:asciiTheme="minorHAnsi" w:hAnsiTheme="minorHAnsi" w:cstheme="minorHAnsi"/>
              </w:rPr>
              <w:t>4</w:t>
            </w:r>
            <w:r w:rsidR="00B1234D">
              <w:rPr>
                <w:rFonts w:asciiTheme="minorHAnsi" w:hAnsiTheme="minorHAnsi" w:cstheme="minorHAnsi"/>
              </w:rPr>
              <w:t>.9.2020</w:t>
            </w:r>
          </w:p>
          <w:p w14:paraId="6958D7BE" w14:textId="77777777" w:rsidR="00E92393" w:rsidRPr="00FA2090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10597B0E" w14:textId="77777777" w:rsidR="00E92393" w:rsidRPr="00FA2090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53D27232" w14:textId="49DAAC62" w:rsidR="00E92393" w:rsidRPr="00310CEF" w:rsidRDefault="00E92393" w:rsidP="002B0AD2">
            <w:pPr>
              <w:tabs>
                <w:tab w:val="center" w:pos="4535"/>
              </w:tabs>
              <w:rPr>
                <w:rFonts w:asciiTheme="minorHAnsi" w:hAnsiTheme="minorHAnsi" w:cstheme="minorHAnsi"/>
              </w:rPr>
            </w:pPr>
            <w:r w:rsidRPr="00310CEF">
              <w:rPr>
                <w:rFonts w:asciiTheme="minorHAnsi" w:hAnsiTheme="minorHAnsi" w:cstheme="minorHAnsi"/>
              </w:rPr>
              <w:t>Za</w:t>
            </w:r>
            <w:r w:rsidR="00310CEF" w:rsidRPr="00310CEF">
              <w:rPr>
                <w:rFonts w:asciiTheme="minorHAnsi" w:hAnsiTheme="minorHAnsi" w:cstheme="minorHAnsi"/>
              </w:rPr>
              <w:t xml:space="preserve"> Domov pod Kuňkou</w:t>
            </w:r>
          </w:p>
          <w:p w14:paraId="4B73C526" w14:textId="77777777" w:rsidR="00E92393" w:rsidRPr="00FA2090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335F2C9B" w14:textId="77777777" w:rsidR="00E92393" w:rsidRPr="00FA2090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653EFC11" w14:textId="77777777" w:rsidR="00E92393" w:rsidRPr="00FA2090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3C58F623" w14:textId="77777777" w:rsidR="00E92393" w:rsidRPr="00FA2090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4680354E" w14:textId="77777777" w:rsidR="007D6D29" w:rsidRPr="00FA2090" w:rsidRDefault="007D6D29" w:rsidP="007D6D29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FA2090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542A09E7" w14:textId="0E936FC9" w:rsidR="00E92393" w:rsidRPr="00FA2090" w:rsidRDefault="00310CEF" w:rsidP="002B0AD2">
            <w:pPr>
              <w:keepNext/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  <w:highlight w:val="yellow"/>
              </w:rPr>
            </w:pPr>
            <w:r w:rsidRPr="008E6EFB">
              <w:rPr>
                <w:rFonts w:asciiTheme="minorHAnsi" w:hAnsiTheme="minorHAnsi" w:cstheme="minorHAnsi"/>
              </w:rPr>
              <w:t>Bc. Tomáš Černík</w:t>
            </w:r>
          </w:p>
          <w:p w14:paraId="5FAE50D4" w14:textId="0813A641" w:rsidR="007D6D29" w:rsidRPr="00FA2090" w:rsidRDefault="00310CEF" w:rsidP="002B0AD2">
            <w:pPr>
              <w:keepNext/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ředitel</w:t>
            </w:r>
          </w:p>
        </w:tc>
      </w:tr>
    </w:tbl>
    <w:p w14:paraId="5E9D5C9A" w14:textId="3F84A46C" w:rsidR="002F384E" w:rsidRPr="00FA2090" w:rsidRDefault="002F384E" w:rsidP="00DA0169">
      <w:pPr>
        <w:rPr>
          <w:rFonts w:asciiTheme="minorHAnsi" w:hAnsiTheme="minorHAnsi" w:cstheme="minorHAnsi"/>
        </w:rPr>
      </w:pPr>
    </w:p>
    <w:p w14:paraId="5EA49461" w14:textId="41B6F00E" w:rsidR="002F384E" w:rsidRPr="00FA2090" w:rsidRDefault="002F384E" w:rsidP="00DA0169">
      <w:pPr>
        <w:rPr>
          <w:rFonts w:asciiTheme="minorHAnsi" w:hAnsiTheme="minorHAnsi" w:cstheme="minorHAnsi"/>
        </w:rPr>
      </w:pPr>
    </w:p>
    <w:p w14:paraId="222414B1" w14:textId="42938C36" w:rsidR="002F384E" w:rsidRPr="00FA2090" w:rsidRDefault="002F384E" w:rsidP="00DA0169">
      <w:pPr>
        <w:rPr>
          <w:rFonts w:asciiTheme="minorHAnsi" w:hAnsiTheme="minorHAnsi" w:cstheme="minorHAnsi"/>
        </w:rPr>
      </w:pPr>
      <w:r w:rsidRPr="00FA2090">
        <w:rPr>
          <w:rFonts w:asciiTheme="minorHAnsi" w:hAnsiTheme="minorHAnsi" w:cstheme="minorHAnsi"/>
        </w:rPr>
        <w:br w:type="page"/>
      </w:r>
    </w:p>
    <w:p w14:paraId="0C932367" w14:textId="51492366" w:rsidR="002F384E" w:rsidRPr="00FA2090" w:rsidRDefault="002F384E" w:rsidP="002F384E">
      <w:pPr>
        <w:rPr>
          <w:rFonts w:asciiTheme="minorHAnsi" w:hAnsiTheme="minorHAnsi" w:cstheme="minorHAnsi"/>
          <w:b/>
          <w:sz w:val="24"/>
          <w:szCs w:val="24"/>
        </w:rPr>
      </w:pPr>
      <w:r w:rsidRPr="00FA2090">
        <w:rPr>
          <w:rFonts w:asciiTheme="minorHAnsi" w:hAnsiTheme="minorHAnsi" w:cstheme="minorHAnsi"/>
          <w:b/>
          <w:sz w:val="24"/>
          <w:szCs w:val="24"/>
        </w:rPr>
        <w:lastRenderedPageBreak/>
        <w:t>Příloha č. 1 – Rozsah programového vybavení</w:t>
      </w:r>
      <w:r w:rsidR="00C73CC6">
        <w:rPr>
          <w:rFonts w:asciiTheme="minorHAnsi" w:hAnsiTheme="minorHAnsi" w:cstheme="minorHAnsi"/>
          <w:b/>
          <w:sz w:val="24"/>
          <w:szCs w:val="24"/>
        </w:rPr>
        <w:t xml:space="preserve"> APV HELIOS (</w:t>
      </w:r>
      <w:r w:rsidR="005E75BF" w:rsidRPr="00FA2090">
        <w:rPr>
          <w:rFonts w:asciiTheme="minorHAnsi" w:hAnsiTheme="minorHAnsi" w:cstheme="minorHAnsi"/>
          <w:b/>
          <w:sz w:val="24"/>
          <w:szCs w:val="24"/>
        </w:rPr>
        <w:t>iNUVIO</w:t>
      </w:r>
      <w:r w:rsidR="00C73CC6">
        <w:rPr>
          <w:rFonts w:asciiTheme="minorHAnsi" w:hAnsiTheme="minorHAnsi" w:cstheme="minorHAnsi"/>
          <w:b/>
          <w:sz w:val="24"/>
          <w:szCs w:val="24"/>
        </w:rPr>
        <w:t>)</w:t>
      </w:r>
      <w:r w:rsidR="00310CEF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310CEF" w:rsidRPr="00310CEF">
        <w:rPr>
          <w:rFonts w:asciiTheme="minorHAnsi" w:hAnsiTheme="minorHAnsi" w:cstheme="minorHAnsi"/>
          <w:b/>
          <w:sz w:val="24"/>
          <w:szCs w:val="24"/>
        </w:rPr>
        <w:t>HEOR0400-11846</w:t>
      </w:r>
    </w:p>
    <w:p w14:paraId="3176CC09" w14:textId="7B347033" w:rsidR="002F384E" w:rsidRDefault="002F384E" w:rsidP="00DA0169">
      <w:pPr>
        <w:rPr>
          <w:rFonts w:asciiTheme="minorHAnsi" w:hAnsiTheme="minorHAnsi" w:cstheme="minorHAnsi"/>
        </w:rPr>
      </w:pPr>
    </w:p>
    <w:p w14:paraId="10131D9E" w14:textId="31BFB006" w:rsidR="002F384E" w:rsidRDefault="002F384E" w:rsidP="00DA0169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000000"/>
          <w:bottom w:val="single" w:sz="4" w:space="0" w:color="000000"/>
        </w:tblBorders>
        <w:tblLook w:val="0460" w:firstRow="1" w:lastRow="1" w:firstColumn="0" w:lastColumn="0" w:noHBand="0" w:noVBand="1"/>
      </w:tblPr>
      <w:tblGrid>
        <w:gridCol w:w="7025"/>
        <w:gridCol w:w="2387"/>
      </w:tblGrid>
      <w:tr w:rsidR="00310CEF" w14:paraId="5C893C0C" w14:textId="77777777" w:rsidTr="007963CF">
        <w:trPr>
          <w:trHeight w:hRule="exact" w:val="340"/>
        </w:trPr>
        <w:tc>
          <w:tcPr>
            <w:tcW w:w="37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605747A" w14:textId="77777777" w:rsidR="00310CEF" w:rsidRPr="00114DE8" w:rsidRDefault="00310CEF" w:rsidP="007963CF">
            <w:pPr>
              <w:spacing w:before="20" w:after="20"/>
              <w:rPr>
                <w:rFonts w:eastAsia="Calibri" w:cs="Arial"/>
                <w:b/>
                <w:bCs/>
                <w:sz w:val="20"/>
              </w:rPr>
            </w:pPr>
            <w:r w:rsidRPr="00114DE8">
              <w:rPr>
                <w:rFonts w:eastAsia="Calibri" w:cs="Arial"/>
                <w:b/>
                <w:bCs/>
                <w:sz w:val="20"/>
              </w:rPr>
              <w:t>Moduly</w:t>
            </w:r>
          </w:p>
        </w:tc>
        <w:tc>
          <w:tcPr>
            <w:tcW w:w="126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1A522605" w14:textId="77777777" w:rsidR="00310CEF" w:rsidRPr="00114DE8" w:rsidRDefault="00310CEF" w:rsidP="007963CF">
            <w:pPr>
              <w:spacing w:before="20" w:after="20"/>
              <w:jc w:val="center"/>
              <w:rPr>
                <w:rFonts w:eastAsia="Calibri" w:cs="Arial"/>
                <w:b/>
                <w:bCs/>
                <w:sz w:val="20"/>
              </w:rPr>
            </w:pPr>
            <w:r w:rsidRPr="00114DE8">
              <w:rPr>
                <w:rFonts w:eastAsia="Calibri" w:cs="Arial"/>
                <w:b/>
                <w:bCs/>
                <w:sz w:val="20"/>
              </w:rPr>
              <w:t>Počet uživatelů</w:t>
            </w:r>
          </w:p>
        </w:tc>
      </w:tr>
      <w:tr w:rsidR="00310CEF" w14:paraId="4DD12BDF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174F9" w14:textId="77777777" w:rsidR="00310CEF" w:rsidRPr="00114DE8" w:rsidRDefault="00310CEF" w:rsidP="007963CF">
            <w:pPr>
              <w:spacing w:before="90" w:after="90"/>
              <w:ind w:left="60"/>
              <w:rPr>
                <w:rFonts w:eastAsia="Calibri" w:cs="Arial"/>
                <w:color w:val="000000"/>
                <w:sz w:val="20"/>
              </w:rPr>
            </w:pPr>
            <w:r w:rsidRPr="00114DE8">
              <w:rPr>
                <w:rFonts w:eastAsia="Calibri" w:cs="Arial"/>
                <w:color w:val="000000"/>
                <w:sz w:val="20"/>
              </w:rPr>
              <w:t>Celkový počet uživatelů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13B6A" w14:textId="1998C6D8" w:rsidR="00310CEF" w:rsidRPr="00114DE8" w:rsidRDefault="00A266C3" w:rsidP="007963CF">
            <w:pPr>
              <w:spacing w:before="90" w:after="90"/>
              <w:ind w:left="60"/>
              <w:jc w:val="center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4</w:t>
            </w:r>
          </w:p>
        </w:tc>
      </w:tr>
      <w:tr w:rsidR="00310CEF" w14:paraId="4291CDC2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EDF8F9"/>
            <w:vAlign w:val="center"/>
            <w:hideMark/>
          </w:tcPr>
          <w:p w14:paraId="6C8CE619" w14:textId="77777777" w:rsidR="00310CEF" w:rsidRPr="00114DE8" w:rsidRDefault="00310CEF" w:rsidP="007963CF">
            <w:pPr>
              <w:spacing w:before="90" w:after="90"/>
              <w:ind w:left="60"/>
              <w:rPr>
                <w:rFonts w:eastAsia="Calibri" w:cs="Arial"/>
                <w:color w:val="000000"/>
                <w:sz w:val="20"/>
              </w:rPr>
            </w:pPr>
            <w:r w:rsidRPr="00114DE8">
              <w:rPr>
                <w:rFonts w:eastAsia="Calibri" w:cs="Arial"/>
                <w:color w:val="000000"/>
                <w:sz w:val="20"/>
              </w:rPr>
              <w:t>Počet zpracovávaných společností (+ 1 testovací)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EDF8F9"/>
            <w:vAlign w:val="center"/>
            <w:hideMark/>
          </w:tcPr>
          <w:p w14:paraId="74642FFC" w14:textId="77777777" w:rsidR="00310CEF" w:rsidRPr="00114DE8" w:rsidRDefault="00310CEF" w:rsidP="007963CF">
            <w:pPr>
              <w:spacing w:before="90" w:after="90"/>
              <w:ind w:left="60"/>
              <w:jc w:val="center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1</w:t>
            </w:r>
          </w:p>
        </w:tc>
      </w:tr>
      <w:tr w:rsidR="00310CEF" w14:paraId="758D3F0E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6E8F6503" w14:textId="77777777" w:rsidR="00310CEF" w:rsidRPr="00114DE8" w:rsidRDefault="00310CEF" w:rsidP="007963CF">
            <w:pPr>
              <w:spacing w:before="90" w:after="90"/>
              <w:ind w:left="60"/>
              <w:rPr>
                <w:rFonts w:eastAsia="Calibri" w:cs="Arial"/>
                <w:b/>
                <w:color w:val="000000"/>
                <w:sz w:val="20"/>
              </w:rPr>
            </w:pPr>
            <w:r w:rsidRPr="00114DE8">
              <w:rPr>
                <w:rFonts w:eastAsia="Calibri" w:cs="Arial"/>
                <w:b/>
                <w:color w:val="000000"/>
                <w:sz w:val="20"/>
              </w:rPr>
              <w:t>Systém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</w:tcPr>
          <w:p w14:paraId="0E23269E" w14:textId="77777777" w:rsidR="00310CEF" w:rsidRPr="00114DE8" w:rsidRDefault="00310CEF" w:rsidP="007963CF">
            <w:pPr>
              <w:spacing w:before="90" w:after="90"/>
              <w:ind w:left="60"/>
              <w:jc w:val="center"/>
              <w:rPr>
                <w:rFonts w:eastAsia="Calibri" w:cs="Arial"/>
                <w:b/>
                <w:color w:val="000000"/>
                <w:sz w:val="20"/>
              </w:rPr>
            </w:pPr>
          </w:p>
        </w:tc>
      </w:tr>
      <w:tr w:rsidR="00310CEF" w14:paraId="59979183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FD1D" w14:textId="77777777" w:rsidR="00310CEF" w:rsidRPr="00114DE8" w:rsidRDefault="00310CEF" w:rsidP="007963CF">
            <w:pPr>
              <w:spacing w:before="90" w:after="90"/>
              <w:ind w:left="60"/>
              <w:rPr>
                <w:rFonts w:eastAsia="Calibri" w:cs="Arial"/>
                <w:color w:val="000000"/>
                <w:sz w:val="20"/>
              </w:rPr>
            </w:pPr>
            <w:r w:rsidRPr="00114DE8">
              <w:rPr>
                <w:rFonts w:eastAsia="Calibri" w:cs="Arial"/>
                <w:color w:val="000000"/>
                <w:sz w:val="20"/>
              </w:rPr>
              <w:t>Jádro systému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31348" w14:textId="4B065841" w:rsidR="00310CEF" w:rsidRPr="00114DE8" w:rsidRDefault="00A266C3" w:rsidP="007963CF">
            <w:pPr>
              <w:spacing w:before="90" w:after="90"/>
              <w:ind w:left="60"/>
              <w:jc w:val="center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4</w:t>
            </w:r>
          </w:p>
        </w:tc>
      </w:tr>
      <w:tr w:rsidR="00310CEF" w14:paraId="1DD66C39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EDF8F9"/>
            <w:vAlign w:val="center"/>
          </w:tcPr>
          <w:p w14:paraId="26B63F0F" w14:textId="09B9626F" w:rsidR="00310CEF" w:rsidRPr="00114DE8" w:rsidRDefault="00A266C3" w:rsidP="007963CF">
            <w:pPr>
              <w:spacing w:before="90" w:after="90"/>
              <w:ind w:left="60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Správa osobních údajů - rozšířené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EDF8F9"/>
            <w:vAlign w:val="center"/>
          </w:tcPr>
          <w:p w14:paraId="389DEE94" w14:textId="77777777" w:rsidR="00310CEF" w:rsidRPr="00114DE8" w:rsidRDefault="00310CEF" w:rsidP="007963CF">
            <w:pPr>
              <w:spacing w:before="90" w:after="90"/>
              <w:ind w:left="60"/>
              <w:jc w:val="center"/>
              <w:rPr>
                <w:rFonts w:eastAsia="Calibri" w:cs="Arial"/>
                <w:color w:val="000000"/>
                <w:sz w:val="20"/>
              </w:rPr>
            </w:pPr>
            <w:r w:rsidRPr="00114DE8">
              <w:rPr>
                <w:rFonts w:ascii="Webdings" w:eastAsia="Calibri" w:hAnsi="Webdings" w:cs="Webdings"/>
                <w:sz w:val="20"/>
              </w:rPr>
              <w:t></w:t>
            </w:r>
          </w:p>
        </w:tc>
      </w:tr>
      <w:tr w:rsidR="00310CEF" w14:paraId="38256311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179699F7" w14:textId="77777777" w:rsidR="00310CEF" w:rsidRPr="00114DE8" w:rsidRDefault="00310CEF" w:rsidP="007963CF">
            <w:pPr>
              <w:spacing w:before="90" w:after="90"/>
              <w:ind w:left="60"/>
              <w:rPr>
                <w:rFonts w:eastAsia="Calibri" w:cs="Arial"/>
                <w:b/>
                <w:color w:val="000000"/>
                <w:sz w:val="20"/>
              </w:rPr>
            </w:pPr>
            <w:r w:rsidRPr="00114DE8">
              <w:rPr>
                <w:rFonts w:eastAsia="Calibri" w:cs="Arial"/>
                <w:b/>
                <w:color w:val="000000"/>
                <w:sz w:val="20"/>
              </w:rPr>
              <w:t xml:space="preserve">Komunikace </w:t>
            </w:r>
            <w:r>
              <w:rPr>
                <w:rFonts w:eastAsia="Calibri" w:cs="Arial"/>
                <w:b/>
                <w:color w:val="000000"/>
                <w:sz w:val="20"/>
              </w:rPr>
              <w:t>s</w:t>
            </w:r>
            <w:r w:rsidRPr="00114DE8">
              <w:rPr>
                <w:rFonts w:eastAsia="Calibri" w:cs="Arial"/>
                <w:b/>
                <w:color w:val="000000"/>
                <w:sz w:val="20"/>
              </w:rPr>
              <w:t xml:space="preserve"> bankami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</w:tcPr>
          <w:p w14:paraId="079D49D0" w14:textId="77777777" w:rsidR="00310CEF" w:rsidRPr="00114DE8" w:rsidRDefault="00310CEF" w:rsidP="007963CF">
            <w:pPr>
              <w:spacing w:before="90" w:after="90"/>
              <w:ind w:left="60"/>
              <w:jc w:val="center"/>
              <w:rPr>
                <w:rFonts w:ascii="Arial" w:eastAsia="Calibri" w:hAnsi="Arial" w:cs="Arial"/>
                <w:b/>
                <w:color w:val="000000"/>
                <w:sz w:val="20"/>
              </w:rPr>
            </w:pPr>
          </w:p>
        </w:tc>
      </w:tr>
      <w:tr w:rsidR="00310CEF" w14:paraId="666DED28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46FD" w14:textId="286BAB42" w:rsidR="00310CEF" w:rsidRPr="00114DE8" w:rsidRDefault="00310CEF" w:rsidP="007963CF">
            <w:pPr>
              <w:spacing w:before="90" w:after="90"/>
              <w:ind w:left="60"/>
              <w:rPr>
                <w:rFonts w:eastAsia="Calibri" w:cs="Arial"/>
                <w:color w:val="000000"/>
                <w:sz w:val="20"/>
              </w:rPr>
            </w:pPr>
            <w:r w:rsidRPr="00114DE8">
              <w:rPr>
                <w:rFonts w:eastAsia="Calibri" w:cs="Arial"/>
                <w:color w:val="000000"/>
                <w:sz w:val="20"/>
              </w:rPr>
              <w:t>CZ 0</w:t>
            </w:r>
            <w:r w:rsidR="00A266C3">
              <w:rPr>
                <w:rFonts w:eastAsia="Calibri" w:cs="Arial"/>
                <w:color w:val="000000"/>
                <w:sz w:val="20"/>
              </w:rPr>
              <w:t>3</w:t>
            </w:r>
            <w:r w:rsidRPr="00114DE8">
              <w:rPr>
                <w:rFonts w:eastAsia="Calibri" w:cs="Arial"/>
                <w:color w:val="000000"/>
                <w:sz w:val="20"/>
              </w:rPr>
              <w:t xml:space="preserve">00 </w:t>
            </w:r>
            <w:r w:rsidR="00A266C3">
              <w:rPr>
                <w:rFonts w:eastAsia="Calibri" w:cs="Arial"/>
                <w:color w:val="000000"/>
                <w:sz w:val="20"/>
              </w:rPr>
              <w:t>Československá obchodní banka, a.s.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1A26" w14:textId="77777777" w:rsidR="00310CEF" w:rsidRPr="00114DE8" w:rsidRDefault="00310CEF" w:rsidP="007963CF">
            <w:pPr>
              <w:spacing w:before="90" w:after="90"/>
              <w:ind w:left="6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114DE8">
              <w:rPr>
                <w:rFonts w:ascii="Webdings" w:eastAsia="Calibri" w:hAnsi="Webdings" w:cs="Webdings"/>
                <w:sz w:val="20"/>
              </w:rPr>
              <w:t></w:t>
            </w:r>
          </w:p>
        </w:tc>
      </w:tr>
      <w:tr w:rsidR="00310CEF" w14:paraId="39E62B37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22301111" w14:textId="77777777" w:rsidR="00310CEF" w:rsidRPr="00114DE8" w:rsidRDefault="00310CEF" w:rsidP="007963CF">
            <w:pPr>
              <w:spacing w:before="90" w:after="90"/>
              <w:ind w:left="60"/>
              <w:rPr>
                <w:rFonts w:eastAsia="Calibri" w:cs="Arial"/>
                <w:b/>
                <w:color w:val="000000"/>
                <w:sz w:val="20"/>
              </w:rPr>
            </w:pPr>
            <w:r w:rsidRPr="00114DE8">
              <w:rPr>
                <w:rFonts w:eastAsia="Calibri" w:cs="Arial"/>
                <w:b/>
                <w:color w:val="000000"/>
                <w:sz w:val="20"/>
              </w:rPr>
              <w:t xml:space="preserve">Ekonomika </w:t>
            </w:r>
            <w:r>
              <w:rPr>
                <w:rFonts w:eastAsia="Calibri" w:cs="Arial"/>
                <w:b/>
                <w:color w:val="000000"/>
                <w:sz w:val="20"/>
              </w:rPr>
              <w:t>a finanční řízení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</w:tcPr>
          <w:p w14:paraId="290B847B" w14:textId="77777777" w:rsidR="00310CEF" w:rsidRPr="00114DE8" w:rsidRDefault="00310CEF" w:rsidP="007963CF">
            <w:pPr>
              <w:spacing w:before="90" w:after="90"/>
              <w:ind w:left="60"/>
              <w:jc w:val="center"/>
              <w:rPr>
                <w:rFonts w:ascii="Arial" w:eastAsia="Calibri" w:hAnsi="Arial" w:cs="Arial"/>
                <w:b/>
                <w:color w:val="000000"/>
                <w:sz w:val="20"/>
              </w:rPr>
            </w:pPr>
          </w:p>
        </w:tc>
      </w:tr>
      <w:tr w:rsidR="00310CEF" w14:paraId="078ABB62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EDF8F9"/>
            <w:vAlign w:val="center"/>
            <w:hideMark/>
          </w:tcPr>
          <w:p w14:paraId="4E14B03A" w14:textId="77777777" w:rsidR="00310CEF" w:rsidRPr="00114DE8" w:rsidRDefault="00310CEF" w:rsidP="007963CF">
            <w:pPr>
              <w:spacing w:before="90" w:after="90"/>
              <w:ind w:left="60"/>
              <w:rPr>
                <w:rFonts w:eastAsia="Calibri" w:cs="Arial"/>
                <w:color w:val="000000"/>
                <w:sz w:val="20"/>
              </w:rPr>
            </w:pPr>
            <w:r w:rsidRPr="00114DE8">
              <w:rPr>
                <w:rFonts w:eastAsia="Calibri" w:cs="Arial"/>
                <w:color w:val="000000"/>
                <w:sz w:val="20"/>
              </w:rPr>
              <w:t>Účetnictví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EDF8F9"/>
            <w:hideMark/>
          </w:tcPr>
          <w:p w14:paraId="0AB97358" w14:textId="20819865" w:rsidR="00310CEF" w:rsidRPr="00114DE8" w:rsidRDefault="00A266C3" w:rsidP="007963CF">
            <w:pPr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2</w:t>
            </w:r>
          </w:p>
        </w:tc>
      </w:tr>
      <w:tr w:rsidR="00310CEF" w14:paraId="0E606DBB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4BDB" w14:textId="77777777" w:rsidR="00310CEF" w:rsidRPr="00114DE8" w:rsidRDefault="00310CEF" w:rsidP="007963CF">
            <w:pPr>
              <w:spacing w:before="90" w:after="90"/>
              <w:ind w:left="60"/>
              <w:rPr>
                <w:rFonts w:eastAsia="Calibri" w:cs="Arial"/>
                <w:color w:val="000000"/>
                <w:sz w:val="20"/>
              </w:rPr>
            </w:pPr>
            <w:r w:rsidRPr="00114DE8">
              <w:rPr>
                <w:rFonts w:eastAsia="Calibri" w:cs="Arial"/>
                <w:color w:val="000000"/>
                <w:sz w:val="20"/>
              </w:rPr>
              <w:t>Pokladna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205AB" w14:textId="329B85E5" w:rsidR="00310CEF" w:rsidRPr="00114DE8" w:rsidRDefault="00A266C3" w:rsidP="007963CF">
            <w:pPr>
              <w:jc w:val="center"/>
              <w:rPr>
                <w:rFonts w:ascii="Arial" w:eastAsia="Calibri" w:hAnsi="Arial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1</w:t>
            </w:r>
          </w:p>
        </w:tc>
      </w:tr>
      <w:tr w:rsidR="00310CEF" w14:paraId="23B2407E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EDF8F9"/>
            <w:vAlign w:val="center"/>
          </w:tcPr>
          <w:p w14:paraId="245E5509" w14:textId="77777777" w:rsidR="00310CEF" w:rsidRPr="00114DE8" w:rsidRDefault="00310CEF" w:rsidP="007963CF">
            <w:pPr>
              <w:spacing w:before="90" w:after="90"/>
              <w:ind w:left="60"/>
              <w:rPr>
                <w:rFonts w:eastAsia="Calibri" w:cs="Arial"/>
                <w:color w:val="000000"/>
                <w:sz w:val="20"/>
              </w:rPr>
            </w:pPr>
            <w:r w:rsidRPr="00114DE8">
              <w:rPr>
                <w:rFonts w:eastAsia="Calibri" w:cs="Arial"/>
                <w:color w:val="000000"/>
                <w:sz w:val="20"/>
              </w:rPr>
              <w:t>Majetek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EDF8F9"/>
          </w:tcPr>
          <w:p w14:paraId="51F0F34A" w14:textId="432718DB" w:rsidR="00310CEF" w:rsidRPr="00114DE8" w:rsidRDefault="00A266C3" w:rsidP="007963CF">
            <w:pPr>
              <w:jc w:val="center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2</w:t>
            </w:r>
          </w:p>
        </w:tc>
      </w:tr>
      <w:tr w:rsidR="00310CEF" w14:paraId="5F8C81EF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860D6C0" w14:textId="77777777" w:rsidR="00310CEF" w:rsidRPr="00BB17B1" w:rsidRDefault="00310CEF" w:rsidP="007963CF">
            <w:pPr>
              <w:spacing w:before="90" w:after="90"/>
              <w:ind w:left="60"/>
              <w:rPr>
                <w:rFonts w:eastAsia="Calibri" w:cs="Arial"/>
                <w:b/>
                <w:color w:val="000000"/>
                <w:sz w:val="20"/>
              </w:rPr>
            </w:pPr>
            <w:r w:rsidRPr="00BB17B1">
              <w:rPr>
                <w:rFonts w:eastAsia="Calibri" w:cs="Arial"/>
                <w:b/>
                <w:color w:val="000000"/>
                <w:sz w:val="20"/>
              </w:rPr>
              <w:t>Helios Controlling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61B4757" w14:textId="77777777" w:rsidR="00310CEF" w:rsidRPr="00114DE8" w:rsidRDefault="00310CEF" w:rsidP="007963CF">
            <w:pPr>
              <w:jc w:val="center"/>
              <w:rPr>
                <w:rFonts w:eastAsia="Calibri" w:cs="Arial"/>
                <w:color w:val="000000"/>
                <w:sz w:val="20"/>
              </w:rPr>
            </w:pPr>
          </w:p>
        </w:tc>
      </w:tr>
      <w:tr w:rsidR="00310CEF" w14:paraId="15199B63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1A9E8" w14:textId="77777777" w:rsidR="00310CEF" w:rsidRPr="00114DE8" w:rsidRDefault="00310CEF" w:rsidP="007963CF">
            <w:pPr>
              <w:spacing w:before="90" w:after="90"/>
              <w:ind w:left="60"/>
              <w:rPr>
                <w:rFonts w:eastAsia="Calibri" w:cs="Arial"/>
                <w:color w:val="000000"/>
                <w:sz w:val="20"/>
              </w:rPr>
            </w:pPr>
            <w:r w:rsidRPr="00114DE8">
              <w:rPr>
                <w:rFonts w:eastAsia="Calibri" w:cs="Arial"/>
                <w:color w:val="000000"/>
                <w:sz w:val="20"/>
              </w:rPr>
              <w:t>Výkazy a reporty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FFB54" w14:textId="77777777" w:rsidR="00310CEF" w:rsidRPr="00114DE8" w:rsidRDefault="00310CEF" w:rsidP="007963CF">
            <w:pPr>
              <w:jc w:val="center"/>
              <w:rPr>
                <w:rFonts w:ascii="Webdings" w:eastAsia="Calibri" w:hAnsi="Webdings" w:cs="Webdings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1</w:t>
            </w:r>
          </w:p>
        </w:tc>
      </w:tr>
      <w:tr w:rsidR="00310CEF" w14:paraId="3160D5A2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EDF8F9"/>
            <w:vAlign w:val="center"/>
          </w:tcPr>
          <w:p w14:paraId="126ADE96" w14:textId="27C23DAB" w:rsidR="00310CEF" w:rsidRPr="00114DE8" w:rsidRDefault="00A266C3" w:rsidP="007963CF">
            <w:pPr>
              <w:spacing w:before="90" w:after="90"/>
              <w:ind w:left="60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Výkazy pro příspěvkové organizace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EDF8F9"/>
          </w:tcPr>
          <w:p w14:paraId="28E9EE1F" w14:textId="7E60B8DE" w:rsidR="00310CEF" w:rsidRPr="00114DE8" w:rsidRDefault="00A266C3" w:rsidP="007963CF">
            <w:pPr>
              <w:jc w:val="center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1</w:t>
            </w:r>
          </w:p>
        </w:tc>
      </w:tr>
      <w:tr w:rsidR="00A266C3" w14:paraId="5FC8C005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06E6F" w14:textId="126D28DD" w:rsidR="00A266C3" w:rsidRDefault="00A266C3" w:rsidP="00A266C3">
            <w:pPr>
              <w:spacing w:before="90" w:after="90"/>
              <w:ind w:left="60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BI Reporting.cz pro 1 databázi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97636" w14:textId="2D7066C1" w:rsidR="00A266C3" w:rsidRPr="00114DE8" w:rsidRDefault="00A266C3" w:rsidP="00A266C3">
            <w:pPr>
              <w:jc w:val="center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1</w:t>
            </w:r>
          </w:p>
        </w:tc>
      </w:tr>
      <w:tr w:rsidR="00310CEF" w14:paraId="2814BADB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  <w:hideMark/>
          </w:tcPr>
          <w:p w14:paraId="6A707234" w14:textId="77777777" w:rsidR="00310CEF" w:rsidRPr="00114DE8" w:rsidRDefault="00310CEF" w:rsidP="007963CF">
            <w:pPr>
              <w:spacing w:before="90" w:after="90"/>
              <w:ind w:left="60"/>
              <w:rPr>
                <w:rFonts w:eastAsia="Calibri" w:cs="Arial"/>
                <w:b/>
                <w:color w:val="000000"/>
                <w:sz w:val="20"/>
              </w:rPr>
            </w:pPr>
            <w:r w:rsidRPr="00114DE8">
              <w:rPr>
                <w:rFonts w:eastAsia="Calibri" w:cs="Arial"/>
                <w:b/>
                <w:color w:val="000000"/>
                <w:sz w:val="20"/>
              </w:rPr>
              <w:t>Skladové hospodářství a obchod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DBDBDB"/>
            <w:vAlign w:val="center"/>
          </w:tcPr>
          <w:p w14:paraId="76DA1997" w14:textId="77777777" w:rsidR="00310CEF" w:rsidRPr="00114DE8" w:rsidRDefault="00310CEF" w:rsidP="007963CF">
            <w:pPr>
              <w:spacing w:before="90" w:after="90"/>
              <w:ind w:left="60"/>
              <w:jc w:val="center"/>
              <w:rPr>
                <w:rFonts w:ascii="Arial" w:eastAsia="Calibri" w:hAnsi="Arial" w:cs="Arial"/>
                <w:b/>
                <w:color w:val="000000"/>
                <w:sz w:val="20"/>
              </w:rPr>
            </w:pPr>
          </w:p>
        </w:tc>
      </w:tr>
      <w:tr w:rsidR="00A266C3" w14:paraId="01264C82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EDF8F9"/>
            <w:vAlign w:val="center"/>
          </w:tcPr>
          <w:p w14:paraId="0B5F21C4" w14:textId="6381BF94" w:rsidR="00A266C3" w:rsidRDefault="00A266C3" w:rsidP="00A266C3">
            <w:pPr>
              <w:spacing w:before="90" w:after="90"/>
              <w:ind w:left="60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Fakturace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EDF8F9"/>
          </w:tcPr>
          <w:p w14:paraId="5B9F1645" w14:textId="74A30D2E" w:rsidR="00A266C3" w:rsidRDefault="00A266C3" w:rsidP="00A266C3">
            <w:pPr>
              <w:jc w:val="center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2</w:t>
            </w:r>
          </w:p>
        </w:tc>
      </w:tr>
      <w:tr w:rsidR="00310CEF" w14:paraId="579B665F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  <w:hideMark/>
          </w:tcPr>
          <w:p w14:paraId="5F8023A9" w14:textId="77777777" w:rsidR="00310CEF" w:rsidRPr="00114DE8" w:rsidRDefault="00310CEF" w:rsidP="007963CF">
            <w:pPr>
              <w:spacing w:before="90" w:after="90"/>
              <w:ind w:left="60"/>
              <w:rPr>
                <w:rFonts w:eastAsia="Calibri" w:cs="Arial"/>
                <w:b/>
                <w:color w:val="000000"/>
                <w:sz w:val="20"/>
              </w:rPr>
            </w:pPr>
            <w:r w:rsidRPr="00114DE8">
              <w:rPr>
                <w:rFonts w:eastAsia="Calibri" w:cs="Arial"/>
                <w:b/>
                <w:color w:val="000000"/>
                <w:sz w:val="20"/>
              </w:rPr>
              <w:t>Mzdy a lidské zdroje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14:paraId="51E4F517" w14:textId="77777777" w:rsidR="00310CEF" w:rsidRPr="00114DE8" w:rsidRDefault="00310CEF" w:rsidP="007963CF">
            <w:pPr>
              <w:spacing w:before="90" w:after="90"/>
              <w:ind w:left="60"/>
              <w:jc w:val="center"/>
              <w:rPr>
                <w:rFonts w:ascii="Arial" w:eastAsia="Calibri" w:hAnsi="Arial" w:cs="Arial"/>
                <w:b/>
                <w:color w:val="000000"/>
                <w:sz w:val="20"/>
              </w:rPr>
            </w:pPr>
          </w:p>
        </w:tc>
      </w:tr>
      <w:tr w:rsidR="00310CEF" w14:paraId="2CE411C8" w14:textId="77777777" w:rsidTr="00A266C3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31D61" w14:textId="0F355C7B" w:rsidR="00310CEF" w:rsidRPr="00114DE8" w:rsidRDefault="00310CEF" w:rsidP="007963CF">
            <w:pPr>
              <w:spacing w:before="90" w:after="90"/>
              <w:ind w:left="60"/>
              <w:rPr>
                <w:rFonts w:eastAsia="Calibri" w:cs="Arial"/>
                <w:color w:val="000000"/>
                <w:sz w:val="20"/>
              </w:rPr>
            </w:pPr>
            <w:r w:rsidRPr="00114DE8">
              <w:rPr>
                <w:rFonts w:eastAsia="Calibri" w:cs="Arial"/>
                <w:color w:val="000000"/>
                <w:sz w:val="20"/>
              </w:rPr>
              <w:t xml:space="preserve">Mzdy </w:t>
            </w:r>
            <w:r w:rsidR="00A266C3">
              <w:rPr>
                <w:rFonts w:eastAsia="Calibri" w:cs="Arial"/>
                <w:color w:val="000000"/>
                <w:sz w:val="20"/>
              </w:rPr>
              <w:t>100</w:t>
            </w:r>
            <w:r w:rsidRPr="00114DE8">
              <w:rPr>
                <w:rFonts w:eastAsia="Calibri" w:cs="Arial"/>
                <w:color w:val="000000"/>
                <w:sz w:val="20"/>
              </w:rPr>
              <w:t xml:space="preserve"> výplat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0E66" w14:textId="77777777" w:rsidR="00310CEF" w:rsidRPr="00114DE8" w:rsidRDefault="00310CEF" w:rsidP="007963CF">
            <w:pPr>
              <w:spacing w:before="90" w:after="90"/>
              <w:ind w:left="60"/>
              <w:jc w:val="center"/>
              <w:rPr>
                <w:rFonts w:ascii="Arial" w:eastAsia="Calibri" w:hAnsi="Arial" w:cs="Arial"/>
                <w:color w:val="000000"/>
                <w:sz w:val="20"/>
              </w:rPr>
            </w:pPr>
            <w:r w:rsidRPr="00114DE8">
              <w:rPr>
                <w:rFonts w:ascii="Webdings" w:eastAsia="Calibri" w:hAnsi="Webdings" w:cs="Webdings"/>
                <w:sz w:val="20"/>
              </w:rPr>
              <w:t></w:t>
            </w:r>
          </w:p>
        </w:tc>
      </w:tr>
      <w:tr w:rsidR="00A266C3" w14:paraId="256ED8F0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EDF8F9"/>
            <w:vAlign w:val="center"/>
          </w:tcPr>
          <w:p w14:paraId="42E63CE0" w14:textId="40F2ECBB" w:rsidR="00A266C3" w:rsidRPr="00114DE8" w:rsidRDefault="00A266C3" w:rsidP="007963CF">
            <w:pPr>
              <w:spacing w:before="90" w:after="90"/>
              <w:ind w:left="60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Mzdy – veřejná správa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EDF8F9"/>
            <w:vAlign w:val="center"/>
          </w:tcPr>
          <w:p w14:paraId="15BA417B" w14:textId="745CD4E0" w:rsidR="00A266C3" w:rsidRPr="00114DE8" w:rsidRDefault="00A266C3" w:rsidP="007963CF">
            <w:pPr>
              <w:spacing w:before="90" w:after="90"/>
              <w:ind w:left="60"/>
              <w:jc w:val="center"/>
              <w:rPr>
                <w:rFonts w:ascii="Webdings" w:eastAsia="Calibri" w:hAnsi="Webdings" w:cs="Webdings"/>
                <w:sz w:val="20"/>
              </w:rPr>
            </w:pPr>
            <w:r w:rsidRPr="00114DE8">
              <w:rPr>
                <w:rFonts w:eastAsia="Calibri" w:cs="Arial"/>
                <w:color w:val="000000"/>
                <w:sz w:val="20"/>
              </w:rPr>
              <w:t>1</w:t>
            </w:r>
          </w:p>
        </w:tc>
      </w:tr>
      <w:tr w:rsidR="00310CEF" w14:paraId="6A38B63A" w14:textId="77777777" w:rsidTr="007963CF">
        <w:trPr>
          <w:trHeight w:hRule="exact" w:val="340"/>
        </w:trPr>
        <w:tc>
          <w:tcPr>
            <w:tcW w:w="3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AFE5F" w14:textId="77777777" w:rsidR="00310CEF" w:rsidRPr="00114DE8" w:rsidRDefault="00310CEF" w:rsidP="007963CF">
            <w:pPr>
              <w:spacing w:before="90" w:after="90"/>
              <w:ind w:left="60"/>
              <w:rPr>
                <w:rFonts w:eastAsia="Calibri" w:cs="Arial"/>
                <w:color w:val="000000"/>
                <w:sz w:val="20"/>
              </w:rPr>
            </w:pPr>
            <w:r w:rsidRPr="00114DE8">
              <w:rPr>
                <w:rFonts w:eastAsia="Calibri" w:cs="Arial"/>
                <w:color w:val="000000"/>
                <w:sz w:val="20"/>
              </w:rPr>
              <w:t>Personalistika</w:t>
            </w:r>
          </w:p>
        </w:tc>
        <w:tc>
          <w:tcPr>
            <w:tcW w:w="1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D5EC0" w14:textId="77777777" w:rsidR="00310CEF" w:rsidRPr="00114DE8" w:rsidRDefault="00310CEF" w:rsidP="007963CF">
            <w:pPr>
              <w:spacing w:before="90" w:after="90"/>
              <w:ind w:left="60"/>
              <w:jc w:val="center"/>
              <w:rPr>
                <w:rFonts w:ascii="Webdings" w:eastAsia="Calibri" w:hAnsi="Webdings" w:cs="Webdings"/>
                <w:sz w:val="20"/>
              </w:rPr>
            </w:pPr>
            <w:r w:rsidRPr="00114DE8">
              <w:rPr>
                <w:rFonts w:eastAsia="Calibri" w:cs="Arial"/>
                <w:color w:val="000000"/>
                <w:sz w:val="20"/>
              </w:rPr>
              <w:t>1</w:t>
            </w:r>
          </w:p>
        </w:tc>
      </w:tr>
    </w:tbl>
    <w:p w14:paraId="3ECF81D9" w14:textId="7A0D661E" w:rsidR="00310CEF" w:rsidRPr="005F4A34" w:rsidRDefault="00310CEF" w:rsidP="00310CEF">
      <w:pPr>
        <w:pStyle w:val="Cen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08A46" wp14:editId="7194F1CE">
                <wp:simplePos x="0" y="0"/>
                <wp:positionH relativeFrom="column">
                  <wp:posOffset>-1270</wp:posOffset>
                </wp:positionH>
                <wp:positionV relativeFrom="paragraph">
                  <wp:posOffset>127000</wp:posOffset>
                </wp:positionV>
                <wp:extent cx="5873750" cy="0"/>
                <wp:effectExtent l="9525" t="8255" r="12700" b="1079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14F6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.1pt;margin-top:10pt;width:46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"/>
            </w:pict>
          </mc:Fallback>
        </mc:AlternateContent>
      </w:r>
      <w:r>
        <w:t xml:space="preserve">                    </w:t>
      </w:r>
    </w:p>
    <w:p w14:paraId="39B53E5F" w14:textId="77777777" w:rsidR="00310CEF" w:rsidRPr="005F4A34" w:rsidRDefault="00310CEF" w:rsidP="00310CEF">
      <w:pPr>
        <w:pStyle w:val="Cena"/>
      </w:pPr>
      <w:r>
        <w:t xml:space="preserve">                         </w:t>
      </w:r>
    </w:p>
    <w:p w14:paraId="46105BB7" w14:textId="7530E990" w:rsidR="00C73CC6" w:rsidRPr="005F4A34" w:rsidRDefault="00C73CC6" w:rsidP="00C73CC6">
      <w:pPr>
        <w:pStyle w:val="Cena"/>
      </w:pPr>
      <w:r>
        <w:t xml:space="preserve">                       </w:t>
      </w:r>
    </w:p>
    <w:p w14:paraId="7C9B5DDC" w14:textId="77777777" w:rsidR="00C73CC6" w:rsidRPr="003E6F05" w:rsidRDefault="00C73CC6" w:rsidP="00C73CC6">
      <w:pPr>
        <w:spacing w:after="120"/>
        <w:rPr>
          <w:rFonts w:cs="Arial"/>
        </w:rPr>
      </w:pPr>
    </w:p>
    <w:p w14:paraId="6F6CADB7" w14:textId="77777777" w:rsidR="00C73CC6" w:rsidRPr="003E6F05" w:rsidRDefault="00C73CC6" w:rsidP="00C73CC6">
      <w:pPr>
        <w:tabs>
          <w:tab w:val="right" w:pos="9072"/>
        </w:tabs>
        <w:spacing w:after="120"/>
        <w:rPr>
          <w:rFonts w:cs="Arial"/>
          <w:bCs/>
        </w:rPr>
      </w:pPr>
    </w:p>
    <w:p w14:paraId="37513BCB" w14:textId="28CECC85" w:rsidR="00C73CC6" w:rsidRPr="00310CEF" w:rsidRDefault="00C73CC6" w:rsidP="00C73CC6">
      <w:pPr>
        <w:tabs>
          <w:tab w:val="right" w:pos="9072"/>
        </w:tabs>
        <w:spacing w:after="120"/>
        <w:rPr>
          <w:rFonts w:cs="Arial"/>
          <w:bCs/>
          <w:u w:val="single"/>
        </w:rPr>
      </w:pPr>
      <w:r w:rsidRPr="003E6F05">
        <w:rPr>
          <w:rFonts w:cs="Arial"/>
          <w:b/>
          <w:bCs/>
          <w:u w:val="single"/>
        </w:rPr>
        <w:t xml:space="preserve">HODNOTA </w:t>
      </w:r>
      <w:r w:rsidRPr="00310CEF">
        <w:rPr>
          <w:rFonts w:cs="Arial"/>
          <w:b/>
          <w:bCs/>
          <w:u w:val="single"/>
        </w:rPr>
        <w:t>LICENCE iNUVIO</w:t>
      </w:r>
      <w:r w:rsidRPr="00310CEF">
        <w:rPr>
          <w:rFonts w:cs="Arial"/>
          <w:b/>
          <w:bCs/>
          <w:u w:val="single"/>
        </w:rPr>
        <w:tab/>
        <w:t xml:space="preserve"> </w:t>
      </w:r>
      <w:r w:rsidR="00310CEF" w:rsidRPr="00310CEF">
        <w:rPr>
          <w:rFonts w:cs="Arial"/>
          <w:b/>
          <w:bCs/>
          <w:u w:val="single"/>
        </w:rPr>
        <w:t>134 085</w:t>
      </w:r>
      <w:r w:rsidRPr="00310CEF">
        <w:rPr>
          <w:rFonts w:cs="Arial"/>
          <w:b/>
          <w:bCs/>
          <w:u w:val="single"/>
        </w:rPr>
        <w:t xml:space="preserve"> Kč bez DPH</w:t>
      </w:r>
    </w:p>
    <w:p w14:paraId="515BBC94" w14:textId="5ED9AA14" w:rsidR="00C73CC6" w:rsidRPr="00310CEF" w:rsidRDefault="00C73CC6" w:rsidP="00C73CC6">
      <w:pPr>
        <w:tabs>
          <w:tab w:val="right" w:pos="9072"/>
        </w:tabs>
        <w:spacing w:after="120"/>
        <w:rPr>
          <w:rFonts w:cs="Arial"/>
          <w:bCs/>
          <w:u w:val="single"/>
        </w:rPr>
      </w:pPr>
      <w:r w:rsidRPr="00310CEF">
        <w:rPr>
          <w:rFonts w:cs="Arial"/>
          <w:b/>
          <w:bCs/>
          <w:u w:val="single"/>
        </w:rPr>
        <w:t>Cena licence iNUVIO po slevě (tj. migrační balíček)</w:t>
      </w:r>
      <w:r w:rsidRPr="00310CEF">
        <w:rPr>
          <w:rFonts w:cs="Arial"/>
          <w:b/>
          <w:bCs/>
          <w:u w:val="single"/>
        </w:rPr>
        <w:tab/>
        <w:t xml:space="preserve"> </w:t>
      </w:r>
      <w:r w:rsidR="00310CEF" w:rsidRPr="00310CEF">
        <w:rPr>
          <w:rFonts w:cs="Arial"/>
          <w:b/>
          <w:bCs/>
          <w:u w:val="single"/>
        </w:rPr>
        <w:t>22 305</w:t>
      </w:r>
      <w:r w:rsidRPr="00310CEF">
        <w:rPr>
          <w:rFonts w:cs="Arial"/>
          <w:b/>
          <w:bCs/>
          <w:u w:val="single"/>
        </w:rPr>
        <w:t xml:space="preserve"> Kč bez DPH</w:t>
      </w:r>
    </w:p>
    <w:p w14:paraId="475E5F25" w14:textId="77777777" w:rsidR="00C73CC6" w:rsidRPr="00310CEF" w:rsidRDefault="00C73CC6" w:rsidP="00C73CC6">
      <w:pPr>
        <w:tabs>
          <w:tab w:val="right" w:pos="9072"/>
        </w:tabs>
        <w:spacing w:after="120"/>
        <w:rPr>
          <w:rFonts w:cs="Arial"/>
          <w:b/>
          <w:bCs/>
          <w:u w:val="single"/>
        </w:rPr>
      </w:pPr>
    </w:p>
    <w:p w14:paraId="0A74DF11" w14:textId="2E429F05" w:rsidR="00C73CC6" w:rsidRPr="003E6F05" w:rsidRDefault="00C73CC6" w:rsidP="00C73CC6">
      <w:pPr>
        <w:tabs>
          <w:tab w:val="right" w:pos="9072"/>
        </w:tabs>
        <w:spacing w:after="120"/>
        <w:rPr>
          <w:rFonts w:cs="Arial"/>
          <w:b/>
          <w:bCs/>
          <w:u w:val="single"/>
        </w:rPr>
      </w:pPr>
      <w:r w:rsidRPr="00310CEF">
        <w:rPr>
          <w:rFonts w:cs="Arial"/>
          <w:b/>
          <w:bCs/>
          <w:u w:val="single"/>
        </w:rPr>
        <w:t>Roční poplatek za Maintenance k iNUVIO</w:t>
      </w:r>
      <w:r w:rsidRPr="00310CEF">
        <w:rPr>
          <w:rFonts w:cs="Arial"/>
          <w:b/>
          <w:bCs/>
          <w:u w:val="single"/>
        </w:rPr>
        <w:tab/>
        <w:t xml:space="preserve"> </w:t>
      </w:r>
      <w:r w:rsidR="00310CEF" w:rsidRPr="00310CEF">
        <w:rPr>
          <w:rFonts w:cs="Arial"/>
          <w:b/>
          <w:bCs/>
          <w:u w:val="single"/>
        </w:rPr>
        <w:t>24 247,40</w:t>
      </w:r>
      <w:r w:rsidRPr="00310CEF">
        <w:rPr>
          <w:rFonts w:cs="Arial"/>
          <w:b/>
          <w:bCs/>
          <w:u w:val="single"/>
        </w:rPr>
        <w:t xml:space="preserve"> Kč bez DPH</w:t>
      </w:r>
    </w:p>
    <w:p w14:paraId="21D0956C" w14:textId="77777777" w:rsidR="00C73CC6" w:rsidRPr="00FA2090" w:rsidRDefault="00C73CC6" w:rsidP="00DA0169">
      <w:pPr>
        <w:rPr>
          <w:rFonts w:asciiTheme="minorHAnsi" w:hAnsiTheme="minorHAnsi" w:cstheme="minorHAnsi"/>
        </w:rPr>
      </w:pPr>
    </w:p>
    <w:p w14:paraId="51292E8C" w14:textId="6A7E0EDF" w:rsidR="002F384E" w:rsidRPr="00FA2090" w:rsidRDefault="002F384E" w:rsidP="00DA0169">
      <w:pPr>
        <w:rPr>
          <w:rFonts w:asciiTheme="minorHAnsi" w:hAnsiTheme="minorHAnsi" w:cstheme="minorHAnsi"/>
        </w:rPr>
      </w:pPr>
    </w:p>
    <w:p w14:paraId="010D6EDC" w14:textId="5A745831" w:rsidR="002F384E" w:rsidRPr="00FA2090" w:rsidRDefault="002F384E" w:rsidP="00DA0169">
      <w:pPr>
        <w:rPr>
          <w:rFonts w:asciiTheme="minorHAnsi" w:hAnsiTheme="minorHAnsi" w:cstheme="minorHAnsi"/>
        </w:rPr>
      </w:pPr>
      <w:r w:rsidRPr="00FA2090">
        <w:rPr>
          <w:rFonts w:asciiTheme="minorHAnsi" w:hAnsiTheme="minorHAnsi" w:cstheme="minorHAnsi"/>
        </w:rPr>
        <w:br w:type="page"/>
      </w:r>
    </w:p>
    <w:p w14:paraId="09754ADC" w14:textId="3168573A" w:rsidR="002F384E" w:rsidRPr="00FA2090" w:rsidRDefault="002F384E" w:rsidP="002F384E">
      <w:pPr>
        <w:rPr>
          <w:rFonts w:asciiTheme="minorHAnsi" w:hAnsiTheme="minorHAnsi" w:cstheme="minorHAnsi"/>
          <w:b/>
          <w:sz w:val="24"/>
          <w:szCs w:val="24"/>
        </w:rPr>
      </w:pPr>
      <w:r w:rsidRPr="00FA209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č. 2 – Implementační služby </w:t>
      </w:r>
      <w:r w:rsidR="005E75BF" w:rsidRPr="00FA2090">
        <w:rPr>
          <w:rFonts w:asciiTheme="minorHAnsi" w:hAnsiTheme="minorHAnsi" w:cstheme="minorHAnsi"/>
          <w:b/>
          <w:sz w:val="24"/>
          <w:szCs w:val="24"/>
        </w:rPr>
        <w:t>iNUVIO</w:t>
      </w:r>
    </w:p>
    <w:p w14:paraId="3C683435" w14:textId="305E1988" w:rsidR="002F384E" w:rsidRPr="00FA2090" w:rsidRDefault="002F384E" w:rsidP="00DA0169">
      <w:pPr>
        <w:rPr>
          <w:rFonts w:asciiTheme="minorHAnsi" w:hAnsiTheme="minorHAnsi" w:cstheme="minorHAnsi"/>
        </w:rPr>
      </w:pPr>
    </w:p>
    <w:p w14:paraId="25065617" w14:textId="51160295" w:rsidR="00366835" w:rsidRPr="00A266C3" w:rsidRDefault="009D799C" w:rsidP="00EB4B57">
      <w:pPr>
        <w:rPr>
          <w:rFonts w:asciiTheme="minorHAnsi" w:hAnsiTheme="minorHAnsi" w:cstheme="minorHAnsi"/>
          <w:bCs/>
        </w:rPr>
      </w:pPr>
      <w:r w:rsidRPr="00A266C3">
        <w:rPr>
          <w:rFonts w:asciiTheme="minorHAnsi" w:hAnsiTheme="minorHAnsi" w:cstheme="minorHAnsi"/>
          <w:bCs/>
        </w:rPr>
        <w:t>Není předmětem tohoto dodatku.</w:t>
      </w:r>
    </w:p>
    <w:p w14:paraId="44A95F5E" w14:textId="30BC76E3" w:rsidR="00EB4B57" w:rsidRDefault="00EB4B57" w:rsidP="00EB4B57">
      <w:pPr>
        <w:rPr>
          <w:rFonts w:asciiTheme="minorHAnsi" w:hAnsiTheme="minorHAnsi" w:cstheme="minorHAnsi"/>
          <w:b/>
          <w:color w:val="FF0000"/>
        </w:rPr>
      </w:pPr>
    </w:p>
    <w:p w14:paraId="49299EDB" w14:textId="5CC020D5" w:rsidR="00EB4B57" w:rsidRDefault="00EB4B57" w:rsidP="00EB4B57">
      <w:pPr>
        <w:rPr>
          <w:rFonts w:asciiTheme="minorHAnsi" w:hAnsiTheme="minorHAnsi" w:cstheme="minorHAnsi"/>
          <w:b/>
          <w:color w:val="FF0000"/>
        </w:rPr>
      </w:pPr>
    </w:p>
    <w:p w14:paraId="51B86D16" w14:textId="2B3DB970" w:rsidR="00EB4B57" w:rsidRDefault="00EB4B57" w:rsidP="00EB4B57">
      <w:pPr>
        <w:rPr>
          <w:rFonts w:asciiTheme="minorHAnsi" w:hAnsiTheme="minorHAnsi" w:cstheme="minorHAnsi"/>
          <w:b/>
          <w:color w:val="FF0000"/>
        </w:rPr>
      </w:pPr>
    </w:p>
    <w:p w14:paraId="79FFCC5C" w14:textId="77777777" w:rsidR="00EB4B57" w:rsidRPr="00FA2090" w:rsidRDefault="00EB4B57" w:rsidP="00EB4B57">
      <w:pPr>
        <w:rPr>
          <w:rFonts w:asciiTheme="minorHAnsi" w:hAnsiTheme="minorHAnsi" w:cstheme="minorHAnsi"/>
        </w:rPr>
      </w:pPr>
    </w:p>
    <w:p w14:paraId="4F110D74" w14:textId="7EECB097" w:rsidR="00F47415" w:rsidRPr="00EB4B57" w:rsidRDefault="00F47415" w:rsidP="00EB4B57">
      <w:pPr>
        <w:spacing w:after="120"/>
        <w:rPr>
          <w:rFonts w:asciiTheme="minorHAnsi" w:hAnsiTheme="minorHAnsi" w:cstheme="minorHAnsi"/>
        </w:rPr>
      </w:pPr>
      <w:r w:rsidRPr="00EB4B57">
        <w:rPr>
          <w:rFonts w:asciiTheme="minorHAnsi" w:hAnsiTheme="minorHAnsi" w:cstheme="minorHAnsi"/>
        </w:rPr>
        <w:t xml:space="preserve"> </w:t>
      </w:r>
    </w:p>
    <w:p w14:paraId="0F49B181" w14:textId="082A552A" w:rsidR="00E27415" w:rsidRDefault="00E27415" w:rsidP="00DA0169">
      <w:pPr>
        <w:rPr>
          <w:rFonts w:asciiTheme="minorHAnsi" w:hAnsiTheme="minorHAnsi" w:cstheme="minorHAnsi"/>
        </w:rPr>
        <w:sectPr w:rsidR="00E27415" w:rsidSect="00754D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1247" w:bottom="1247" w:left="1247" w:header="454" w:footer="284" w:gutter="0"/>
          <w:cols w:space="708"/>
          <w:docGrid w:linePitch="360"/>
        </w:sectPr>
      </w:pPr>
    </w:p>
    <w:p w14:paraId="6AEF3727" w14:textId="3FB40B1A" w:rsidR="00E27415" w:rsidRPr="000C2D4A" w:rsidRDefault="00E27415" w:rsidP="00E27415">
      <w:pPr>
        <w:rPr>
          <w:rFonts w:cs="Calibri"/>
          <w:b/>
        </w:rPr>
      </w:pPr>
      <w:r w:rsidRPr="000C2D4A">
        <w:rPr>
          <w:rFonts w:cs="Calibri"/>
          <w:b/>
        </w:rPr>
        <w:lastRenderedPageBreak/>
        <w:t xml:space="preserve">Příloha č. </w:t>
      </w:r>
      <w:r w:rsidR="00AD45E2">
        <w:rPr>
          <w:rFonts w:cs="Calibri"/>
          <w:b/>
        </w:rPr>
        <w:t>3</w:t>
      </w:r>
      <w:r w:rsidRPr="000C2D4A">
        <w:rPr>
          <w:rFonts w:cs="Calibri"/>
          <w:b/>
        </w:rPr>
        <w:t xml:space="preserve">:  </w:t>
      </w:r>
    </w:p>
    <w:p w14:paraId="7623D624" w14:textId="77777777" w:rsidR="00E27415" w:rsidRPr="00EB3EFB" w:rsidRDefault="00E27415" w:rsidP="00E27415">
      <w:pPr>
        <w:ind w:left="7230"/>
        <w:rPr>
          <w:rFonts w:cs="Calibri"/>
        </w:rPr>
      </w:pPr>
      <w:r w:rsidRPr="00EB3EFB">
        <w:rPr>
          <w:rFonts w:cs="Calibri"/>
        </w:rPr>
        <w:t>Asseco Solutions, a.s.</w:t>
      </w:r>
    </w:p>
    <w:p w14:paraId="57DB1066" w14:textId="77777777" w:rsidR="00E27415" w:rsidRPr="00EB3EFB" w:rsidRDefault="00E27415" w:rsidP="00E27415">
      <w:pPr>
        <w:ind w:left="7230"/>
        <w:rPr>
          <w:rFonts w:cs="Calibri"/>
        </w:rPr>
      </w:pPr>
      <w:r w:rsidRPr="00EB3EFB">
        <w:rPr>
          <w:rFonts w:cs="Calibri"/>
        </w:rPr>
        <w:t>Zelený pruh 1560/99</w:t>
      </w:r>
    </w:p>
    <w:p w14:paraId="0A10F37F" w14:textId="45CE6D6B" w:rsidR="00E27415" w:rsidRPr="00EB3EFB" w:rsidRDefault="00E27415" w:rsidP="00E27415">
      <w:pPr>
        <w:ind w:left="7230"/>
        <w:rPr>
          <w:rFonts w:cs="Calibri"/>
        </w:rPr>
      </w:pPr>
      <w:r w:rsidRPr="00EB3EFB">
        <w:rPr>
          <w:rFonts w:cs="Calibri"/>
        </w:rPr>
        <w:t>140 02 Praha 4</w:t>
      </w:r>
    </w:p>
    <w:p w14:paraId="475A0BD4" w14:textId="77777777" w:rsidR="00E27415" w:rsidRPr="00EB3EFB" w:rsidRDefault="00E27415" w:rsidP="00E27415">
      <w:pPr>
        <w:rPr>
          <w:rFonts w:cs="Calibri"/>
        </w:rPr>
      </w:pPr>
    </w:p>
    <w:p w14:paraId="6484A2CC" w14:textId="77777777" w:rsidR="00E27415" w:rsidRDefault="00E27415" w:rsidP="00E27415">
      <w:pPr>
        <w:spacing w:after="120"/>
        <w:jc w:val="center"/>
        <w:rPr>
          <w:rFonts w:cs="Arial"/>
          <w:b/>
          <w:sz w:val="36"/>
          <w:szCs w:val="36"/>
        </w:rPr>
      </w:pPr>
    </w:p>
    <w:p w14:paraId="4F6663B2" w14:textId="77777777" w:rsidR="00E27415" w:rsidRDefault="00E27415" w:rsidP="00E27415">
      <w:pPr>
        <w:tabs>
          <w:tab w:val="center" w:pos="4748"/>
          <w:tab w:val="right" w:pos="9497"/>
        </w:tabs>
        <w:spacing w:after="12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ab/>
        <w:t>Žádost o aktivaci Aplikace RCZ</w:t>
      </w:r>
      <w:r>
        <w:rPr>
          <w:rFonts w:cs="Arial"/>
          <w:b/>
          <w:sz w:val="36"/>
          <w:szCs w:val="36"/>
        </w:rPr>
        <w:tab/>
      </w:r>
    </w:p>
    <w:p w14:paraId="260B799C" w14:textId="38C26A22" w:rsidR="00E27415" w:rsidRDefault="00E27415" w:rsidP="00E27415">
      <w:pPr>
        <w:spacing w:after="120"/>
        <w:rPr>
          <w:rFonts w:cs="Calibri"/>
          <w:b/>
        </w:rPr>
      </w:pPr>
    </w:p>
    <w:p w14:paraId="21451643" w14:textId="77777777" w:rsidR="00E27415" w:rsidRPr="00A55947" w:rsidRDefault="00E27415" w:rsidP="00A55947">
      <w:pPr>
        <w:pStyle w:val="Odstavecseseznamem"/>
        <w:numPr>
          <w:ilvl w:val="0"/>
          <w:numId w:val="38"/>
        </w:numPr>
        <w:spacing w:after="120"/>
        <w:ind w:left="357" w:hanging="357"/>
        <w:jc w:val="center"/>
        <w:rPr>
          <w:b/>
        </w:rPr>
      </w:pPr>
      <w:r w:rsidRPr="00A55947">
        <w:rPr>
          <w:b/>
        </w:rPr>
        <w:t>Identifikace Odběratele</w:t>
      </w:r>
    </w:p>
    <w:tbl>
      <w:tblPr>
        <w:tblW w:w="9639" w:type="dxa"/>
        <w:tblInd w:w="-5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E27415" w:rsidRPr="003455D6" w14:paraId="7F28ECD3" w14:textId="77777777" w:rsidTr="00FF2CFB">
        <w:tc>
          <w:tcPr>
            <w:tcW w:w="4819" w:type="dxa"/>
            <w:tcBorders>
              <w:right w:val="single" w:sz="4" w:space="0" w:color="2E74B5"/>
            </w:tcBorders>
            <w:shd w:val="clear" w:color="auto" w:fill="DEEAF6"/>
          </w:tcPr>
          <w:p w14:paraId="7273D1D7" w14:textId="77777777" w:rsidR="00E27415" w:rsidRPr="003455D6" w:rsidRDefault="00E27415" w:rsidP="002820D4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455D6">
              <w:rPr>
                <w:rFonts w:asciiTheme="minorHAnsi" w:hAnsiTheme="minorHAnsi" w:cstheme="minorHAnsi"/>
                <w:b/>
              </w:rPr>
              <w:t>Právnická osoba</w:t>
            </w:r>
          </w:p>
        </w:tc>
        <w:tc>
          <w:tcPr>
            <w:tcW w:w="4820" w:type="dxa"/>
            <w:tcBorders>
              <w:top w:val="single" w:sz="4" w:space="0" w:color="2E74B5"/>
              <w:left w:val="single" w:sz="4" w:space="0" w:color="2E74B5"/>
              <w:bottom w:val="nil"/>
            </w:tcBorders>
            <w:shd w:val="clear" w:color="auto" w:fill="DEEAF6"/>
          </w:tcPr>
          <w:p w14:paraId="60462C93" w14:textId="77777777" w:rsidR="00E27415" w:rsidRPr="003455D6" w:rsidRDefault="00E27415" w:rsidP="002820D4">
            <w:pPr>
              <w:widowControl w:val="0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455D6">
              <w:rPr>
                <w:rFonts w:asciiTheme="minorHAnsi" w:hAnsiTheme="minorHAnsi" w:cstheme="minorHAnsi"/>
                <w:b/>
              </w:rPr>
              <w:t>Fyzická osoba</w:t>
            </w:r>
          </w:p>
        </w:tc>
      </w:tr>
      <w:tr w:rsidR="00E27415" w:rsidRPr="003455D6" w14:paraId="107D4C5A" w14:textId="77777777" w:rsidTr="00FF2CFB">
        <w:tc>
          <w:tcPr>
            <w:tcW w:w="4819" w:type="dxa"/>
            <w:tcBorders>
              <w:right w:val="single" w:sz="4" w:space="0" w:color="2E74B5"/>
            </w:tcBorders>
            <w:shd w:val="clear" w:color="auto" w:fill="auto"/>
          </w:tcPr>
          <w:p w14:paraId="60124A4B" w14:textId="77777777" w:rsidR="00E27415" w:rsidRPr="003455D6" w:rsidRDefault="00E27415" w:rsidP="002820D4">
            <w:pPr>
              <w:widowControl w:val="0"/>
              <w:spacing w:before="40" w:after="40"/>
              <w:rPr>
                <w:rFonts w:asciiTheme="minorHAnsi" w:hAnsiTheme="minorHAnsi" w:cstheme="minorHAnsi"/>
              </w:rPr>
            </w:pPr>
            <w:r w:rsidRPr="003455D6">
              <w:rPr>
                <w:rFonts w:asciiTheme="minorHAnsi" w:hAnsiTheme="minorHAnsi" w:cstheme="minorHAnsi"/>
              </w:rPr>
              <w:t>Název společnosti:</w:t>
            </w:r>
          </w:p>
          <w:p w14:paraId="38B911F6" w14:textId="77777777" w:rsidR="00E27415" w:rsidRPr="003455D6" w:rsidRDefault="00E27415" w:rsidP="002820D4">
            <w:pPr>
              <w:widowControl w:val="0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2E74B5"/>
              <w:bottom w:val="nil"/>
            </w:tcBorders>
            <w:shd w:val="clear" w:color="auto" w:fill="auto"/>
          </w:tcPr>
          <w:p w14:paraId="2EF2E7BB" w14:textId="77777777" w:rsidR="00E27415" w:rsidRPr="003455D6" w:rsidRDefault="00E27415" w:rsidP="002820D4">
            <w:pPr>
              <w:widowControl w:val="0"/>
              <w:spacing w:before="40" w:after="40"/>
              <w:rPr>
                <w:rFonts w:asciiTheme="minorHAnsi" w:hAnsiTheme="minorHAnsi" w:cstheme="minorHAnsi"/>
              </w:rPr>
            </w:pPr>
            <w:r w:rsidRPr="003455D6">
              <w:rPr>
                <w:rFonts w:asciiTheme="minorHAnsi" w:hAnsiTheme="minorHAnsi" w:cstheme="minorHAnsi"/>
              </w:rPr>
              <w:t>Jméno a příjmení:</w:t>
            </w:r>
          </w:p>
          <w:p w14:paraId="37B0B0D9" w14:textId="77777777" w:rsidR="00E27415" w:rsidRPr="003455D6" w:rsidRDefault="00E27415" w:rsidP="002820D4">
            <w:pPr>
              <w:widowControl w:val="0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E27415" w:rsidRPr="003455D6" w14:paraId="0F9C6EAD" w14:textId="77777777" w:rsidTr="00FF2CFB">
        <w:tc>
          <w:tcPr>
            <w:tcW w:w="4819" w:type="dxa"/>
            <w:tcBorders>
              <w:right w:val="single" w:sz="4" w:space="0" w:color="2E74B5"/>
            </w:tcBorders>
            <w:shd w:val="clear" w:color="auto" w:fill="auto"/>
          </w:tcPr>
          <w:p w14:paraId="31E6D22B" w14:textId="77777777" w:rsidR="00E27415" w:rsidRPr="003455D6" w:rsidRDefault="00E27415" w:rsidP="002820D4">
            <w:pPr>
              <w:widowControl w:val="0"/>
              <w:spacing w:before="40" w:after="120"/>
              <w:rPr>
                <w:rFonts w:asciiTheme="minorHAnsi" w:hAnsiTheme="minorHAnsi" w:cstheme="minorHAnsi"/>
              </w:rPr>
            </w:pPr>
            <w:r w:rsidRPr="003455D6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4820" w:type="dxa"/>
            <w:tcBorders>
              <w:top w:val="nil"/>
              <w:left w:val="single" w:sz="4" w:space="0" w:color="2E74B5"/>
              <w:bottom w:val="nil"/>
            </w:tcBorders>
            <w:shd w:val="clear" w:color="auto" w:fill="auto"/>
          </w:tcPr>
          <w:p w14:paraId="7F197B4E" w14:textId="77777777" w:rsidR="00E27415" w:rsidRPr="003455D6" w:rsidRDefault="00E27415" w:rsidP="002820D4">
            <w:pPr>
              <w:widowControl w:val="0"/>
              <w:spacing w:before="4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IČO:</w:t>
            </w:r>
          </w:p>
        </w:tc>
      </w:tr>
      <w:tr w:rsidR="00E27415" w:rsidRPr="003455D6" w14:paraId="2DE5151A" w14:textId="77777777" w:rsidTr="00FF2CFB">
        <w:trPr>
          <w:trHeight w:val="95"/>
        </w:trPr>
        <w:tc>
          <w:tcPr>
            <w:tcW w:w="4819" w:type="dxa"/>
            <w:tcBorders>
              <w:right w:val="single" w:sz="4" w:space="0" w:color="2E74B5"/>
            </w:tcBorders>
            <w:shd w:val="clear" w:color="auto" w:fill="auto"/>
          </w:tcPr>
          <w:p w14:paraId="7F4EA8C1" w14:textId="77777777" w:rsidR="00E27415" w:rsidRPr="003455D6" w:rsidRDefault="00E27415" w:rsidP="002820D4">
            <w:pPr>
              <w:widowControl w:val="0"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4820" w:type="dxa"/>
            <w:tcBorders>
              <w:top w:val="nil"/>
              <w:left w:val="single" w:sz="4" w:space="0" w:color="2E74B5"/>
              <w:bottom w:val="nil"/>
            </w:tcBorders>
            <w:shd w:val="clear" w:color="auto" w:fill="auto"/>
          </w:tcPr>
          <w:p w14:paraId="07ACE004" w14:textId="77777777" w:rsidR="00E27415" w:rsidRPr="003455D6" w:rsidRDefault="00E27415" w:rsidP="002820D4">
            <w:pPr>
              <w:widowControl w:val="0"/>
              <w:spacing w:before="40" w:after="40"/>
              <w:rPr>
                <w:rFonts w:asciiTheme="minorHAnsi" w:hAnsiTheme="minorHAnsi" w:cstheme="minorHAnsi"/>
              </w:rPr>
            </w:pPr>
            <w:r w:rsidRPr="003455D6">
              <w:rPr>
                <w:rFonts w:asciiTheme="minorHAnsi" w:hAnsiTheme="minorHAnsi" w:cstheme="minorHAnsi"/>
              </w:rPr>
              <w:t>Datum narození:</w:t>
            </w:r>
          </w:p>
          <w:p w14:paraId="0E1A9C26" w14:textId="77777777" w:rsidR="00E27415" w:rsidRPr="003455D6" w:rsidRDefault="00E27415" w:rsidP="002820D4">
            <w:pPr>
              <w:widowControl w:val="0"/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E27415" w:rsidRPr="003455D6" w14:paraId="24CC3FE6" w14:textId="77777777" w:rsidTr="00FF2CFB">
        <w:trPr>
          <w:trHeight w:val="1058"/>
        </w:trPr>
        <w:tc>
          <w:tcPr>
            <w:tcW w:w="4819" w:type="dxa"/>
            <w:tcBorders>
              <w:right w:val="single" w:sz="4" w:space="0" w:color="2E74B5"/>
            </w:tcBorders>
            <w:shd w:val="clear" w:color="auto" w:fill="auto"/>
          </w:tcPr>
          <w:p w14:paraId="4867623B" w14:textId="77777777" w:rsidR="00E27415" w:rsidRPr="003455D6" w:rsidRDefault="00E27415" w:rsidP="002820D4">
            <w:pPr>
              <w:widowControl w:val="0"/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</w:t>
            </w:r>
            <w:r w:rsidRPr="003455D6">
              <w:rPr>
                <w:rFonts w:asciiTheme="minorHAnsi" w:hAnsiTheme="minorHAnsi" w:cstheme="minorHAnsi"/>
              </w:rPr>
              <w:t>:</w:t>
            </w:r>
          </w:p>
          <w:p w14:paraId="41305ED4" w14:textId="77777777" w:rsidR="00E27415" w:rsidRPr="003455D6" w:rsidRDefault="00E27415" w:rsidP="002820D4">
            <w:pPr>
              <w:widowControl w:val="0"/>
              <w:spacing w:before="40" w:after="40"/>
              <w:rPr>
                <w:rFonts w:asciiTheme="minorHAnsi" w:hAnsiTheme="minorHAnsi" w:cstheme="minorHAnsi"/>
              </w:rPr>
            </w:pPr>
          </w:p>
          <w:p w14:paraId="77B2CC58" w14:textId="77777777" w:rsidR="00E27415" w:rsidRPr="003455D6" w:rsidRDefault="00E27415" w:rsidP="002820D4">
            <w:pPr>
              <w:widowControl w:val="0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2E74B5"/>
              <w:bottom w:val="single" w:sz="4" w:space="0" w:color="2E74B5"/>
            </w:tcBorders>
            <w:shd w:val="clear" w:color="auto" w:fill="auto"/>
          </w:tcPr>
          <w:p w14:paraId="21564A4D" w14:textId="77777777" w:rsidR="00E27415" w:rsidRPr="003455D6" w:rsidRDefault="00E27415" w:rsidP="002820D4">
            <w:pPr>
              <w:widowControl w:val="0"/>
              <w:spacing w:before="40" w:after="40"/>
              <w:rPr>
                <w:rFonts w:asciiTheme="minorHAnsi" w:hAnsiTheme="minorHAnsi" w:cstheme="minorHAnsi"/>
              </w:rPr>
            </w:pPr>
            <w:r w:rsidRPr="003455D6">
              <w:rPr>
                <w:rFonts w:asciiTheme="minorHAnsi" w:hAnsiTheme="minorHAnsi" w:cstheme="minorHAnsi"/>
              </w:rPr>
              <w:t>Sídlo:</w:t>
            </w:r>
          </w:p>
          <w:p w14:paraId="066D290B" w14:textId="77777777" w:rsidR="00E27415" w:rsidRPr="003455D6" w:rsidRDefault="00E27415" w:rsidP="002820D4">
            <w:pPr>
              <w:widowControl w:val="0"/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4ABC172C" w14:textId="77777777" w:rsidR="00E27415" w:rsidRPr="003455D6" w:rsidRDefault="00E27415" w:rsidP="00E27415">
      <w:pPr>
        <w:widowControl w:val="0"/>
        <w:rPr>
          <w:rFonts w:asciiTheme="minorHAnsi" w:hAnsiTheme="minorHAnsi" w:cstheme="minorHAnsi"/>
        </w:rPr>
      </w:pPr>
    </w:p>
    <w:p w14:paraId="04468A69" w14:textId="77777777" w:rsidR="00521A6F" w:rsidRPr="003455D6" w:rsidRDefault="00521A6F" w:rsidP="00E27415">
      <w:pPr>
        <w:widowControl w:val="0"/>
        <w:rPr>
          <w:rFonts w:asciiTheme="minorHAnsi" w:hAnsiTheme="minorHAnsi" w:cstheme="minorHAnsi"/>
        </w:rPr>
      </w:pPr>
    </w:p>
    <w:p w14:paraId="075DEFD2" w14:textId="77777777" w:rsidR="00E27415" w:rsidRPr="00A55947" w:rsidRDefault="00E27415" w:rsidP="00A55947">
      <w:pPr>
        <w:pStyle w:val="Odstavecseseznamem"/>
        <w:numPr>
          <w:ilvl w:val="0"/>
          <w:numId w:val="38"/>
        </w:numPr>
        <w:spacing w:after="120"/>
        <w:ind w:left="357" w:hanging="357"/>
        <w:jc w:val="center"/>
        <w:rPr>
          <w:b/>
        </w:rPr>
      </w:pPr>
      <w:r w:rsidRPr="00A55947">
        <w:rPr>
          <w:b/>
        </w:rPr>
        <w:t xml:space="preserve">Prohlášení Odběratele </w:t>
      </w:r>
    </w:p>
    <w:p w14:paraId="39EEB4FF" w14:textId="77777777" w:rsidR="00E27415" w:rsidRPr="00A55947" w:rsidRDefault="00E27415" w:rsidP="00A55947">
      <w:pPr>
        <w:pStyle w:val="Odstavecseseznamem"/>
        <w:numPr>
          <w:ilvl w:val="1"/>
          <w:numId w:val="38"/>
        </w:numPr>
        <w:ind w:left="567" w:hanging="567"/>
      </w:pPr>
      <w:r w:rsidRPr="00A55947">
        <w:t>Odběratel podpisem a doručením této žádosti Dodavatele žádá o aktivaci Aplikace RCZ v rámci oprávněně nabytého APV HELIOS.</w:t>
      </w:r>
    </w:p>
    <w:p w14:paraId="15A279E0" w14:textId="2F8C02EC" w:rsidR="00E27415" w:rsidRPr="00A55947" w:rsidRDefault="00E27415" w:rsidP="00A55947">
      <w:pPr>
        <w:pStyle w:val="Odstavecseseznamem"/>
        <w:numPr>
          <w:ilvl w:val="1"/>
          <w:numId w:val="38"/>
        </w:numPr>
        <w:ind w:left="567" w:hanging="567"/>
      </w:pPr>
      <w:r w:rsidRPr="00A55947">
        <w:t xml:space="preserve">Odběratel bere na vědomí, že práva a povinnosti Odběratele a Dodavatele související s Aplikací RCZ jsou uvedeny a řídí se nejaktuálnějším zněním Všeobecných obchodních podmínek Dodavatele (dále jen „VOP“) platným v době doručení této žádosti, jež je dostupné ve veřejně přístupné části webových stránek Dodavatele (na </w:t>
      </w:r>
      <w:hyperlink r:id="rId15" w:history="1">
        <w:r w:rsidR="00521A6F" w:rsidRPr="00F85AFD">
          <w:rPr>
            <w:rStyle w:val="Hypertextovodkaz"/>
            <w:rFonts w:asciiTheme="minorHAnsi" w:hAnsiTheme="minorHAnsi" w:cstheme="minorHAnsi"/>
          </w:rPr>
          <w:t>www.helios.eu</w:t>
        </w:r>
      </w:hyperlink>
      <w:hyperlink r:id="rId16" w:history="1"/>
      <w:r w:rsidRPr="00A55947">
        <w:t>).</w:t>
      </w:r>
    </w:p>
    <w:p w14:paraId="152A34AF" w14:textId="77777777" w:rsidR="00E27415" w:rsidRPr="00A55947" w:rsidRDefault="00E27415" w:rsidP="00A55947">
      <w:pPr>
        <w:pStyle w:val="Odstavecseseznamem"/>
        <w:numPr>
          <w:ilvl w:val="1"/>
          <w:numId w:val="38"/>
        </w:numPr>
        <w:ind w:left="567" w:hanging="567"/>
      </w:pPr>
      <w:r w:rsidRPr="00A55947">
        <w:t xml:space="preserve">Odběratel doručením této žádosti stvrzuje, že jsou mu známy podmínky, za kterých je Aplikace RCZ poskytována, tedy že se s VOP (vč. jejich přílohy č. 1) seznámil a souhlasí s jejich zněním. </w:t>
      </w:r>
    </w:p>
    <w:p w14:paraId="0F33DACB" w14:textId="77777777" w:rsidR="00E27415" w:rsidRDefault="00E27415" w:rsidP="00E27415">
      <w:pPr>
        <w:spacing w:after="120"/>
        <w:rPr>
          <w:rFonts w:asciiTheme="minorHAnsi" w:hAnsiTheme="minorHAnsi" w:cstheme="minorHAnsi"/>
          <w:b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399"/>
      </w:tblGrid>
      <w:tr w:rsidR="00E27415" w:rsidRPr="00CF31F4" w14:paraId="404F0EDE" w14:textId="77777777" w:rsidTr="00A55947">
        <w:tc>
          <w:tcPr>
            <w:tcW w:w="9526" w:type="dxa"/>
            <w:gridSpan w:val="2"/>
            <w:tcBorders>
              <w:top w:val="single" w:sz="4" w:space="0" w:color="2E74B5"/>
              <w:left w:val="single" w:sz="4" w:space="0" w:color="2E74B5"/>
              <w:right w:val="single" w:sz="4" w:space="0" w:color="2E74B5"/>
            </w:tcBorders>
            <w:shd w:val="clear" w:color="auto" w:fill="DEEAF6"/>
            <w:vAlign w:val="center"/>
          </w:tcPr>
          <w:p w14:paraId="535D6095" w14:textId="77777777" w:rsidR="00E27415" w:rsidRPr="00CF31F4" w:rsidRDefault="00E27415" w:rsidP="002820D4">
            <w:pPr>
              <w:widowControl w:val="0"/>
              <w:spacing w:before="120" w:after="120"/>
              <w:rPr>
                <w:rFonts w:cs="Calibri"/>
                <w:b/>
              </w:rPr>
            </w:pPr>
            <w:r w:rsidRPr="00CF31F4">
              <w:rPr>
                <w:rFonts w:cs="Calibri"/>
                <w:b/>
              </w:rPr>
              <w:t>Oprávněná osoba Odběratele</w:t>
            </w:r>
          </w:p>
        </w:tc>
      </w:tr>
      <w:tr w:rsidR="00552DD1" w:rsidRPr="00CF31F4" w14:paraId="3A079698" w14:textId="77777777" w:rsidTr="00A55947">
        <w:trPr>
          <w:trHeight w:hRule="exact" w:val="567"/>
        </w:trPr>
        <w:tc>
          <w:tcPr>
            <w:tcW w:w="2127" w:type="dxa"/>
            <w:tcBorders>
              <w:left w:val="single" w:sz="4" w:space="0" w:color="2E74B5"/>
            </w:tcBorders>
            <w:shd w:val="clear" w:color="auto" w:fill="auto"/>
            <w:vAlign w:val="center"/>
          </w:tcPr>
          <w:p w14:paraId="33FA3337" w14:textId="77777777" w:rsidR="00552DD1" w:rsidRPr="00CF31F4" w:rsidRDefault="00552DD1" w:rsidP="00A55947">
            <w:pPr>
              <w:widowControl w:val="0"/>
              <w:rPr>
                <w:rFonts w:cs="Calibri"/>
              </w:rPr>
            </w:pPr>
            <w:r w:rsidRPr="00CF31F4">
              <w:rPr>
                <w:rFonts w:cs="Calibri"/>
              </w:rPr>
              <w:t>Jméno a příjmení:</w:t>
            </w:r>
          </w:p>
        </w:tc>
        <w:tc>
          <w:tcPr>
            <w:tcW w:w="7399" w:type="dxa"/>
            <w:tcBorders>
              <w:right w:val="single" w:sz="4" w:space="0" w:color="2E74B5"/>
            </w:tcBorders>
            <w:shd w:val="clear" w:color="auto" w:fill="auto"/>
            <w:vAlign w:val="center"/>
          </w:tcPr>
          <w:p w14:paraId="259E03E1" w14:textId="77777777" w:rsidR="00552DD1" w:rsidRPr="00CF31F4" w:rsidRDefault="00552DD1" w:rsidP="00A55947">
            <w:pPr>
              <w:widowControl w:val="0"/>
              <w:rPr>
                <w:rFonts w:cs="Calibri"/>
              </w:rPr>
            </w:pPr>
          </w:p>
        </w:tc>
      </w:tr>
      <w:tr w:rsidR="00552DD1" w:rsidRPr="00CF31F4" w14:paraId="1B1E92F8" w14:textId="77777777" w:rsidTr="00A55947">
        <w:trPr>
          <w:trHeight w:hRule="exact" w:val="567"/>
        </w:trPr>
        <w:tc>
          <w:tcPr>
            <w:tcW w:w="2127" w:type="dxa"/>
            <w:tcBorders>
              <w:left w:val="single" w:sz="4" w:space="0" w:color="2E74B5"/>
            </w:tcBorders>
            <w:shd w:val="clear" w:color="auto" w:fill="auto"/>
            <w:vAlign w:val="center"/>
          </w:tcPr>
          <w:p w14:paraId="5029267A" w14:textId="77777777" w:rsidR="00552DD1" w:rsidRPr="00CF31F4" w:rsidRDefault="00552DD1" w:rsidP="00A55947">
            <w:pPr>
              <w:widowControl w:val="0"/>
              <w:rPr>
                <w:rFonts w:cs="Calibri"/>
              </w:rPr>
            </w:pPr>
            <w:r w:rsidRPr="00CF31F4">
              <w:rPr>
                <w:rFonts w:cs="Calibri"/>
              </w:rPr>
              <w:t>Funkce:</w:t>
            </w:r>
          </w:p>
        </w:tc>
        <w:tc>
          <w:tcPr>
            <w:tcW w:w="7399" w:type="dxa"/>
            <w:tcBorders>
              <w:right w:val="single" w:sz="4" w:space="0" w:color="2E74B5"/>
            </w:tcBorders>
            <w:shd w:val="clear" w:color="auto" w:fill="auto"/>
            <w:vAlign w:val="center"/>
          </w:tcPr>
          <w:p w14:paraId="3E77F5D4" w14:textId="77777777" w:rsidR="00552DD1" w:rsidRPr="00CF31F4" w:rsidRDefault="00552DD1" w:rsidP="00A55947">
            <w:pPr>
              <w:widowControl w:val="0"/>
              <w:rPr>
                <w:rFonts w:cs="Calibri"/>
              </w:rPr>
            </w:pPr>
          </w:p>
        </w:tc>
      </w:tr>
      <w:tr w:rsidR="00552DD1" w:rsidRPr="00CF31F4" w14:paraId="137819E6" w14:textId="77777777" w:rsidTr="00A55947">
        <w:trPr>
          <w:trHeight w:hRule="exact" w:val="567"/>
        </w:trPr>
        <w:tc>
          <w:tcPr>
            <w:tcW w:w="2127" w:type="dxa"/>
            <w:tcBorders>
              <w:left w:val="single" w:sz="4" w:space="0" w:color="2E74B5"/>
            </w:tcBorders>
            <w:shd w:val="clear" w:color="auto" w:fill="auto"/>
            <w:vAlign w:val="center"/>
          </w:tcPr>
          <w:p w14:paraId="7EF8FC79" w14:textId="77777777" w:rsidR="00552DD1" w:rsidRPr="00CF31F4" w:rsidRDefault="00552DD1" w:rsidP="00A55947">
            <w:pPr>
              <w:widowControl w:val="0"/>
              <w:rPr>
                <w:rFonts w:cs="Calibri"/>
              </w:rPr>
            </w:pPr>
            <w:r w:rsidRPr="00CF31F4">
              <w:rPr>
                <w:rFonts w:cs="Calibri"/>
              </w:rPr>
              <w:t>Datum podpisu:</w:t>
            </w:r>
          </w:p>
        </w:tc>
        <w:tc>
          <w:tcPr>
            <w:tcW w:w="7399" w:type="dxa"/>
            <w:tcBorders>
              <w:right w:val="single" w:sz="4" w:space="0" w:color="2E74B5"/>
            </w:tcBorders>
            <w:shd w:val="clear" w:color="auto" w:fill="auto"/>
            <w:vAlign w:val="center"/>
          </w:tcPr>
          <w:p w14:paraId="015CB09E" w14:textId="77777777" w:rsidR="00521A6F" w:rsidRPr="00F85AFD" w:rsidRDefault="00521A6F" w:rsidP="00A55947">
            <w:pPr>
              <w:rPr>
                <w:rFonts w:cs="Calibri"/>
              </w:rPr>
            </w:pPr>
          </w:p>
          <w:p w14:paraId="18E49014" w14:textId="3490227F" w:rsidR="00521A6F" w:rsidRPr="00F85AFD" w:rsidRDefault="00521A6F" w:rsidP="00A55947">
            <w:pPr>
              <w:ind w:firstLine="708"/>
              <w:rPr>
                <w:rFonts w:cs="Calibri"/>
              </w:rPr>
            </w:pPr>
          </w:p>
        </w:tc>
      </w:tr>
      <w:tr w:rsidR="00552DD1" w:rsidRPr="00CF31F4" w14:paraId="554CFE56" w14:textId="77777777" w:rsidTr="00A55947">
        <w:trPr>
          <w:trHeight w:val="1457"/>
        </w:trPr>
        <w:tc>
          <w:tcPr>
            <w:tcW w:w="2127" w:type="dxa"/>
            <w:tcBorders>
              <w:left w:val="single" w:sz="4" w:space="0" w:color="2E74B5"/>
              <w:bottom w:val="single" w:sz="4" w:space="0" w:color="2E74B5"/>
            </w:tcBorders>
            <w:shd w:val="clear" w:color="auto" w:fill="auto"/>
            <w:vAlign w:val="center"/>
          </w:tcPr>
          <w:p w14:paraId="01863CBD" w14:textId="77777777" w:rsidR="00552DD1" w:rsidRPr="00CF31F4" w:rsidRDefault="00552DD1" w:rsidP="002820D4">
            <w:pPr>
              <w:widowControl w:val="0"/>
              <w:spacing w:before="120" w:after="360"/>
              <w:rPr>
                <w:rFonts w:cs="Calibri"/>
              </w:rPr>
            </w:pPr>
            <w:r w:rsidRPr="00CF31F4">
              <w:rPr>
                <w:rFonts w:cs="Calibri"/>
              </w:rPr>
              <w:t>Podpis:</w:t>
            </w:r>
          </w:p>
        </w:tc>
        <w:tc>
          <w:tcPr>
            <w:tcW w:w="7399" w:type="dxa"/>
            <w:tcBorders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14:paraId="1F6087F8" w14:textId="77777777" w:rsidR="00552DD1" w:rsidRPr="00CF31F4" w:rsidRDefault="00552DD1" w:rsidP="002820D4">
            <w:pPr>
              <w:widowControl w:val="0"/>
              <w:spacing w:before="120" w:after="360"/>
              <w:rPr>
                <w:rFonts w:cs="Calibri"/>
              </w:rPr>
            </w:pPr>
          </w:p>
        </w:tc>
      </w:tr>
    </w:tbl>
    <w:p w14:paraId="7A2F653B" w14:textId="308E1BA7" w:rsidR="00E27415" w:rsidRPr="00FA2090" w:rsidRDefault="00E27415" w:rsidP="00DA0169">
      <w:pPr>
        <w:rPr>
          <w:rFonts w:asciiTheme="minorHAnsi" w:hAnsiTheme="minorHAnsi" w:cstheme="minorHAnsi"/>
        </w:rPr>
      </w:pPr>
    </w:p>
    <w:sectPr w:rsidR="00E27415" w:rsidRPr="00FA2090" w:rsidSect="00E27415">
      <w:headerReference w:type="default" r:id="rId17"/>
      <w:footerReference w:type="default" r:id="rId18"/>
      <w:pgSz w:w="11906" w:h="16838" w:code="9"/>
      <w:pgMar w:top="1843" w:right="1134" w:bottom="289" w:left="1134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7AD6F" w14:textId="77777777" w:rsidR="00CB1E21" w:rsidRDefault="00CB1E21">
      <w:r>
        <w:separator/>
      </w:r>
    </w:p>
  </w:endnote>
  <w:endnote w:type="continuationSeparator" w:id="0">
    <w:p w14:paraId="126ADCC5" w14:textId="77777777" w:rsidR="00CB1E21" w:rsidRDefault="00CB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8B18A" w14:textId="77777777" w:rsidR="00B1234D" w:rsidRDefault="00B123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ED7A1" w14:textId="77777777" w:rsidR="00754D4B" w:rsidRPr="00754D4B" w:rsidRDefault="00754D4B" w:rsidP="00754D4B">
    <w:pPr>
      <w:tabs>
        <w:tab w:val="left" w:pos="2438"/>
        <w:tab w:val="left" w:pos="5216"/>
      </w:tabs>
      <w:rPr>
        <w:sz w:val="2"/>
        <w:szCs w:val="2"/>
      </w:rPr>
    </w:pP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754D4B" w:rsidRPr="00754D4B" w14:paraId="150C1A4C" w14:textId="77777777" w:rsidTr="006C2713">
      <w:trPr>
        <w:trHeight w:val="80"/>
      </w:trPr>
      <w:tc>
        <w:tcPr>
          <w:tcW w:w="5281" w:type="dxa"/>
          <w:gridSpan w:val="2"/>
        </w:tcPr>
        <w:p w14:paraId="482313D4" w14:textId="77777777" w:rsidR="00754D4B" w:rsidRPr="00754D4B" w:rsidRDefault="00754D4B" w:rsidP="00754D4B">
          <w:pPr>
            <w:rPr>
              <w:sz w:val="26"/>
              <w:szCs w:val="26"/>
            </w:rPr>
          </w:pPr>
        </w:p>
        <w:p w14:paraId="04BC8BC7" w14:textId="105F7717" w:rsidR="00754D4B" w:rsidRPr="00754D4B" w:rsidRDefault="00754D4B" w:rsidP="00754D4B">
          <w:pPr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Název: </w:t>
          </w:r>
          <w:r w:rsidR="00B1234D">
            <w:rPr>
              <w:sz w:val="16"/>
              <w:szCs w:val="16"/>
            </w:rPr>
            <w:t>Dodatek o migraci na iNUVIO_ Domov pod Kuňkou</w:t>
          </w:r>
          <w:r w:rsidRPr="00754D4B">
            <w:rPr>
              <w:sz w:val="16"/>
              <w:szCs w:val="16"/>
            </w:rPr>
            <w:t xml:space="preserve"> </w:t>
          </w:r>
        </w:p>
        <w:p w14:paraId="504B0A03" w14:textId="53720EFF" w:rsidR="00754D4B" w:rsidRPr="00754D4B" w:rsidRDefault="00B813EB" w:rsidP="00754D4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Reference:</w:t>
          </w:r>
          <w:r w:rsidR="00111434">
            <w:rPr>
              <w:sz w:val="16"/>
              <w:szCs w:val="16"/>
            </w:rPr>
            <w:t xml:space="preserve"> </w:t>
          </w:r>
          <w:r w:rsidR="00443E9A" w:rsidRPr="00443E9A">
            <w:rPr>
              <w:sz w:val="16"/>
              <w:szCs w:val="16"/>
            </w:rPr>
            <w:t>S170</w:t>
          </w:r>
          <w:r w:rsidR="00111434">
            <w:rPr>
              <w:sz w:val="16"/>
              <w:szCs w:val="16"/>
            </w:rPr>
            <w:t>/</w:t>
          </w:r>
          <w:r w:rsidR="00521A6F">
            <w:rPr>
              <w:sz w:val="16"/>
              <w:szCs w:val="16"/>
            </w:rPr>
            <w:t>06</w:t>
          </w:r>
        </w:p>
        <w:p w14:paraId="69CC022F" w14:textId="77777777" w:rsidR="00754D4B" w:rsidRPr="00754D4B" w:rsidRDefault="00754D4B" w:rsidP="00754D4B">
          <w:pPr>
            <w:rPr>
              <w:sz w:val="16"/>
              <w:szCs w:val="16"/>
            </w:rPr>
          </w:pPr>
        </w:p>
      </w:tc>
      <w:tc>
        <w:tcPr>
          <w:tcW w:w="4497" w:type="dxa"/>
        </w:tcPr>
        <w:p w14:paraId="527CB0E5" w14:textId="77777777" w:rsidR="00754D4B" w:rsidRPr="00754D4B" w:rsidRDefault="00754D4B" w:rsidP="00754D4B">
          <w:pPr>
            <w:rPr>
              <w:sz w:val="26"/>
              <w:szCs w:val="26"/>
            </w:rPr>
          </w:pPr>
        </w:p>
        <w:p w14:paraId="149B29A5" w14:textId="4B7410E7" w:rsidR="00754D4B" w:rsidRPr="00754D4B" w:rsidRDefault="00754D4B" w:rsidP="00754D4B">
          <w:pPr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Garant: </w:t>
          </w:r>
          <w:r w:rsidR="00B1234D">
            <w:rPr>
              <w:sz w:val="16"/>
              <w:szCs w:val="16"/>
            </w:rPr>
            <w:t>Turnerová</w:t>
          </w:r>
        </w:p>
        <w:p w14:paraId="1F995A5D" w14:textId="1600886C" w:rsidR="00754D4B" w:rsidRPr="00754D4B" w:rsidRDefault="00754D4B" w:rsidP="00754D4B">
          <w:pPr>
            <w:rPr>
              <w:noProof/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Poslední aktualizace: </w:t>
          </w:r>
          <w:r w:rsidR="00B1234D">
            <w:rPr>
              <w:sz w:val="16"/>
              <w:szCs w:val="16"/>
            </w:rPr>
            <w:t>Turnerová</w:t>
          </w:r>
        </w:p>
        <w:p w14:paraId="592C56D5" w14:textId="2A65F0BD" w:rsidR="00754D4B" w:rsidRPr="00754D4B" w:rsidRDefault="00754D4B" w:rsidP="00754D4B">
          <w:pPr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Tisk: </w:t>
          </w:r>
          <w:r w:rsidR="00B1234D">
            <w:rPr>
              <w:sz w:val="16"/>
              <w:szCs w:val="16"/>
            </w:rPr>
            <w:t>Turnerová</w:t>
          </w:r>
        </w:p>
      </w:tc>
    </w:tr>
    <w:tr w:rsidR="00754D4B" w:rsidRPr="00754D4B" w14:paraId="60E58A25" w14:textId="77777777" w:rsidTr="006C2713">
      <w:tc>
        <w:tcPr>
          <w:tcW w:w="5281" w:type="dxa"/>
          <w:gridSpan w:val="2"/>
        </w:tcPr>
        <w:p w14:paraId="0C59A530" w14:textId="77777777" w:rsidR="00754D4B" w:rsidRPr="00754D4B" w:rsidRDefault="00754D4B" w:rsidP="00754D4B">
          <w:pPr>
            <w:ind w:left="200"/>
            <w:rPr>
              <w:sz w:val="16"/>
              <w:szCs w:val="16"/>
            </w:rPr>
          </w:pPr>
        </w:p>
      </w:tc>
      <w:tc>
        <w:tcPr>
          <w:tcW w:w="4497" w:type="dxa"/>
        </w:tcPr>
        <w:p w14:paraId="6622D22A" w14:textId="77777777" w:rsidR="00754D4B" w:rsidRPr="00754D4B" w:rsidRDefault="00754D4B" w:rsidP="00754D4B">
          <w:pPr>
            <w:rPr>
              <w:sz w:val="16"/>
              <w:szCs w:val="16"/>
            </w:rPr>
          </w:pPr>
        </w:p>
      </w:tc>
    </w:tr>
    <w:tr w:rsidR="00754D4B" w:rsidRPr="00754D4B" w14:paraId="2BC6C551" w14:textId="77777777" w:rsidTr="006C2713">
      <w:trPr>
        <w:trHeight w:val="185"/>
      </w:trPr>
      <w:tc>
        <w:tcPr>
          <w:tcW w:w="3832" w:type="dxa"/>
        </w:tcPr>
        <w:p w14:paraId="60F19511" w14:textId="77777777" w:rsidR="00754D4B" w:rsidRPr="00754D4B" w:rsidRDefault="00754D4B" w:rsidP="00754D4B">
          <w:pPr>
            <w:ind w:left="200"/>
            <w:rPr>
              <w:sz w:val="16"/>
              <w:szCs w:val="16"/>
            </w:rPr>
          </w:pPr>
        </w:p>
      </w:tc>
      <w:tc>
        <w:tcPr>
          <w:tcW w:w="1449" w:type="dxa"/>
        </w:tcPr>
        <w:p w14:paraId="2EF08F09" w14:textId="14648D49" w:rsidR="00754D4B" w:rsidRPr="00754D4B" w:rsidRDefault="00754D4B" w:rsidP="00754D4B">
          <w:pPr>
            <w:ind w:left="200"/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Strana: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PAGE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C014C0">
            <w:rPr>
              <w:noProof/>
              <w:sz w:val="16"/>
              <w:szCs w:val="16"/>
            </w:rPr>
            <w:t>6</w:t>
          </w:r>
          <w:r w:rsidRPr="00754D4B">
            <w:rPr>
              <w:sz w:val="16"/>
              <w:szCs w:val="16"/>
            </w:rPr>
            <w:fldChar w:fldCharType="end"/>
          </w:r>
          <w:r w:rsidRPr="00754D4B">
            <w:rPr>
              <w:sz w:val="16"/>
              <w:szCs w:val="16"/>
            </w:rPr>
            <w:t xml:space="preserve"> z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NUMPAGES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C014C0">
            <w:rPr>
              <w:noProof/>
              <w:sz w:val="16"/>
              <w:szCs w:val="16"/>
            </w:rPr>
            <w:t>7</w:t>
          </w:r>
          <w:r w:rsidRPr="00754D4B">
            <w:rPr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5DAC0849" w14:textId="77777777" w:rsidR="00754D4B" w:rsidRPr="00754D4B" w:rsidRDefault="00754D4B" w:rsidP="00754D4B">
          <w:pPr>
            <w:ind w:left="200"/>
            <w:rPr>
              <w:sz w:val="16"/>
              <w:szCs w:val="16"/>
            </w:rPr>
          </w:pPr>
        </w:p>
      </w:tc>
    </w:tr>
  </w:tbl>
  <w:p w14:paraId="7E4646D0" w14:textId="77777777" w:rsidR="004A0C7D" w:rsidRPr="00754D4B" w:rsidRDefault="004A0C7D" w:rsidP="00754D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FA58" w14:textId="77777777" w:rsidR="00B1234D" w:rsidRDefault="00B1234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6289F" w14:textId="77777777" w:rsidR="00E27415" w:rsidRPr="00CF483B" w:rsidRDefault="00E27415" w:rsidP="00CF48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4DFC0" w14:textId="77777777" w:rsidR="00CB1E21" w:rsidRDefault="00CB1E21">
      <w:r>
        <w:separator/>
      </w:r>
    </w:p>
  </w:footnote>
  <w:footnote w:type="continuationSeparator" w:id="0">
    <w:p w14:paraId="46DAD756" w14:textId="77777777" w:rsidR="00CB1E21" w:rsidRDefault="00CB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98BC7" w14:textId="77777777" w:rsidR="00B1234D" w:rsidRDefault="00B123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7383A" w14:textId="4DE3EADC" w:rsidR="00754D4B" w:rsidRPr="00B84D10" w:rsidRDefault="00754D4B" w:rsidP="00754D4B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3ABB51" wp14:editId="12D69A23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0DFAE" wp14:editId="43F7E203">
              <wp:simplePos x="0" y="0"/>
              <wp:positionH relativeFrom="column">
                <wp:posOffset>2493010</wp:posOffset>
              </wp:positionH>
              <wp:positionV relativeFrom="paragraph">
                <wp:posOffset>257810</wp:posOffset>
              </wp:positionV>
              <wp:extent cx="3491865" cy="628650"/>
              <wp:effectExtent l="0" t="317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1D419" w14:textId="77777777" w:rsidR="00754D4B" w:rsidRPr="00127D40" w:rsidRDefault="00754D4B" w:rsidP="00754D4B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r w:rsidRPr="00127D40">
                            <w:rPr>
                              <w:b/>
                              <w:i/>
                              <w:sz w:val="20"/>
                            </w:rPr>
                            <w:t>Asseco Solutions, a.s.</w:t>
                          </w:r>
                        </w:p>
                        <w:p w14:paraId="6332C4A2" w14:textId="70247D5B" w:rsidR="00754D4B" w:rsidRDefault="00E92393" w:rsidP="00754D4B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i/>
                              <w:sz w:val="20"/>
                            </w:rPr>
                          </w:pPr>
                          <w:r w:rsidRPr="00127D40">
                            <w:rPr>
                              <w:i/>
                              <w:sz w:val="20"/>
                            </w:rPr>
                            <w:t>Dodatek k</w:t>
                          </w:r>
                          <w:r w:rsidR="00127D40" w:rsidRPr="00127D40">
                            <w:rPr>
                              <w:i/>
                              <w:sz w:val="20"/>
                            </w:rPr>
                            <w:t> </w:t>
                          </w:r>
                          <w:r w:rsidR="00127D40">
                            <w:rPr>
                              <w:i/>
                              <w:sz w:val="20"/>
                            </w:rPr>
                            <w:t>l</w:t>
                          </w:r>
                          <w:r w:rsidR="00127D40" w:rsidRPr="00127D40">
                            <w:rPr>
                              <w:i/>
                              <w:sz w:val="20"/>
                            </w:rPr>
                            <w:t>icenční smlouvě a smlouvě o Maintenance</w:t>
                          </w:r>
                        </w:p>
                        <w:p w14:paraId="42EA0B83" w14:textId="1CFBA935" w:rsidR="003400B7" w:rsidRPr="00FA4861" w:rsidRDefault="003400B7" w:rsidP="00754D4B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o migraci na iNUVIO</w:t>
                          </w:r>
                        </w:p>
                        <w:p w14:paraId="2DAE56DD" w14:textId="77777777" w:rsidR="00754D4B" w:rsidRDefault="00754D4B" w:rsidP="00754D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C30DFA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96.3pt;margin-top:20.3pt;width:274.9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" stroked="f">
              <v:textbox inset="0,0,0,0">
                <w:txbxContent>
                  <w:p w14:paraId="6A01D419" w14:textId="77777777" w:rsidR="00754D4B" w:rsidRPr="00127D40" w:rsidRDefault="00754D4B" w:rsidP="00754D4B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b/>
                        <w:i/>
                        <w:sz w:val="20"/>
                      </w:rPr>
                    </w:pPr>
                    <w:r w:rsidRPr="00127D40">
                      <w:rPr>
                        <w:b/>
                        <w:i/>
                        <w:sz w:val="20"/>
                      </w:rPr>
                      <w:t>Asseco Solutions, a.s.</w:t>
                    </w:r>
                  </w:p>
                  <w:p w14:paraId="6332C4A2" w14:textId="70247D5B" w:rsidR="00754D4B" w:rsidRDefault="00E92393" w:rsidP="00754D4B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i/>
                        <w:sz w:val="20"/>
                      </w:rPr>
                    </w:pPr>
                    <w:r w:rsidRPr="00127D40">
                      <w:rPr>
                        <w:i/>
                        <w:sz w:val="20"/>
                      </w:rPr>
                      <w:t>Dodatek k</w:t>
                    </w:r>
                    <w:r w:rsidR="00127D40" w:rsidRPr="00127D40">
                      <w:rPr>
                        <w:i/>
                        <w:sz w:val="20"/>
                      </w:rPr>
                      <w:t> </w:t>
                    </w:r>
                    <w:r w:rsidR="00127D40">
                      <w:rPr>
                        <w:i/>
                        <w:sz w:val="20"/>
                      </w:rPr>
                      <w:t>l</w:t>
                    </w:r>
                    <w:r w:rsidR="00127D40" w:rsidRPr="00127D40">
                      <w:rPr>
                        <w:i/>
                        <w:sz w:val="20"/>
                      </w:rPr>
                      <w:t>icenční smlouvě a smlouvě o Maintenance</w:t>
                    </w:r>
                  </w:p>
                  <w:p w14:paraId="42EA0B83" w14:textId="1CFBA935" w:rsidR="003400B7" w:rsidRPr="00FA4861" w:rsidRDefault="003400B7" w:rsidP="00754D4B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o migraci na </w:t>
                    </w:r>
                    <w:proofErr w:type="spellStart"/>
                    <w:r>
                      <w:rPr>
                        <w:i/>
                        <w:sz w:val="20"/>
                      </w:rPr>
                      <w:t>iNUVIO</w:t>
                    </w:r>
                    <w:proofErr w:type="spellEnd"/>
                  </w:p>
                  <w:p w14:paraId="2DAE56DD" w14:textId="77777777" w:rsidR="00754D4B" w:rsidRDefault="00754D4B" w:rsidP="00754D4B"/>
                </w:txbxContent>
              </v:textbox>
            </v:shape>
          </w:pict>
        </mc:Fallback>
      </mc:AlternateContent>
    </w:r>
  </w:p>
  <w:p w14:paraId="0B44B7AE" w14:textId="77777777" w:rsidR="00754D4B" w:rsidRPr="00EB7276" w:rsidRDefault="00754D4B" w:rsidP="00754D4B">
    <w:pPr>
      <w:pStyle w:val="Zhlav"/>
    </w:pPr>
  </w:p>
  <w:p w14:paraId="2C335C5C" w14:textId="77777777" w:rsidR="00754D4B" w:rsidRDefault="00754D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0A41" w14:textId="77777777" w:rsidR="00B1234D" w:rsidRDefault="00B1234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50CD3" w14:textId="30FDCBD7" w:rsidR="00E27415" w:rsidRPr="00B84D10" w:rsidRDefault="00E27415" w:rsidP="00754D4B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4CA6FC9" wp14:editId="3AE96D72">
          <wp:simplePos x="0" y="0"/>
          <wp:positionH relativeFrom="margin">
            <wp:posOffset>0</wp:posOffset>
          </wp:positionH>
          <wp:positionV relativeFrom="page">
            <wp:posOffset>248589</wp:posOffset>
          </wp:positionV>
          <wp:extent cx="1569085" cy="36512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C9B924" w14:textId="7A8DE7AD" w:rsidR="00E27415" w:rsidRPr="00EB7276" w:rsidRDefault="00E27415" w:rsidP="00754D4B">
    <w:pPr>
      <w:pStyle w:val="Zhlav"/>
    </w:pPr>
  </w:p>
  <w:p w14:paraId="62D086A6" w14:textId="77777777" w:rsidR="00E27415" w:rsidRDefault="00E274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7761CC6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</w:abstractNum>
  <w:abstractNum w:abstractNumId="1" w15:restartNumberingAfterBreak="0">
    <w:nsid w:val="00706DE5"/>
    <w:multiLevelType w:val="hybridMultilevel"/>
    <w:tmpl w:val="3DE62A8E"/>
    <w:lvl w:ilvl="0" w:tplc="1A02FD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241E1"/>
    <w:multiLevelType w:val="hybridMultilevel"/>
    <w:tmpl w:val="4FEA4EC6"/>
    <w:lvl w:ilvl="0" w:tplc="67F463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69B3"/>
    <w:multiLevelType w:val="hybridMultilevel"/>
    <w:tmpl w:val="C8724A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1FB84062">
      <w:start w:val="1"/>
      <w:numFmt w:val="lowerLetter"/>
      <w:pStyle w:val="slovanseznam"/>
      <w:lvlText w:val="%2)"/>
      <w:lvlJc w:val="left"/>
      <w:pPr>
        <w:ind w:left="8016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5E5A38"/>
    <w:multiLevelType w:val="hybridMultilevel"/>
    <w:tmpl w:val="D9FC4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808FA"/>
    <w:multiLevelType w:val="multilevel"/>
    <w:tmpl w:val="04050025"/>
    <w:numStyleLink w:val="Styl1"/>
  </w:abstractNum>
  <w:abstractNum w:abstractNumId="6" w15:restartNumberingAfterBreak="0">
    <w:nsid w:val="29CD66C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FA7A9B"/>
    <w:multiLevelType w:val="hybridMultilevel"/>
    <w:tmpl w:val="9E628460"/>
    <w:lvl w:ilvl="0" w:tplc="67F463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70528"/>
    <w:multiLevelType w:val="hybridMultilevel"/>
    <w:tmpl w:val="0CC2AE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212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20294E"/>
    <w:multiLevelType w:val="multilevel"/>
    <w:tmpl w:val="48B81066"/>
    <w:lvl w:ilvl="0">
      <w:start w:val="1"/>
      <w:numFmt w:val="decimal"/>
      <w:pStyle w:val="Smlouvalnek"/>
      <w:suff w:val="space"/>
      <w:lvlText w:val="%1."/>
      <w:lvlJc w:val="left"/>
      <w:pPr>
        <w:ind w:left="3338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0" w:hanging="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cs="Times New Roman" w:hint="default"/>
      </w:rPr>
    </w:lvl>
  </w:abstractNum>
  <w:abstractNum w:abstractNumId="11" w15:restartNumberingAfterBreak="0">
    <w:nsid w:val="496A35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7C1604"/>
    <w:multiLevelType w:val="multilevel"/>
    <w:tmpl w:val="45DA3468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CC1F25"/>
    <w:multiLevelType w:val="hybridMultilevel"/>
    <w:tmpl w:val="04A0E4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960CB9"/>
    <w:multiLevelType w:val="hybridMultilevel"/>
    <w:tmpl w:val="A7DAF768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6332E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1A67A6E"/>
    <w:multiLevelType w:val="multilevel"/>
    <w:tmpl w:val="9FD2A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7796B20"/>
    <w:multiLevelType w:val="hybridMultilevel"/>
    <w:tmpl w:val="0F741B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F1BCF"/>
    <w:multiLevelType w:val="multilevel"/>
    <w:tmpl w:val="04050025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/>
        <w:b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/>
        <w:b w:val="0"/>
        <w:sz w:val="2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Calibri" w:hAnsi="Calibri"/>
        <w:sz w:val="22"/>
      </w:rPr>
    </w:lvl>
    <w:lvl w:ilvl="3">
      <w:start w:val="1"/>
      <w:numFmt w:val="decimal"/>
      <w:lvlText w:val="%1.%2.%3.%4"/>
      <w:lvlJc w:val="left"/>
      <w:pPr>
        <w:ind w:left="2280" w:hanging="864"/>
      </w:pPr>
      <w:rPr>
        <w:rFonts w:ascii="Calibri" w:hAnsi="Calibri"/>
        <w:sz w:val="22"/>
      </w:rPr>
    </w:lvl>
    <w:lvl w:ilvl="4">
      <w:start w:val="1"/>
      <w:numFmt w:val="decimal"/>
      <w:lvlText w:val="%1.%2.%3.%4.%5"/>
      <w:lvlJc w:val="left"/>
      <w:pPr>
        <w:ind w:left="3132" w:hanging="1008"/>
      </w:pPr>
      <w:rPr>
        <w:rFonts w:ascii="Calibri" w:hAnsi="Calibri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5906780"/>
    <w:multiLevelType w:val="hybridMultilevel"/>
    <w:tmpl w:val="EB500602"/>
    <w:lvl w:ilvl="0" w:tplc="801AD1B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E2FB4"/>
    <w:multiLevelType w:val="hybridMultilevel"/>
    <w:tmpl w:val="A6FC97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A4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F05D9E"/>
    <w:multiLevelType w:val="hybridMultilevel"/>
    <w:tmpl w:val="820478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C4F57"/>
    <w:multiLevelType w:val="multilevel"/>
    <w:tmpl w:val="C35C1D4E"/>
    <w:lvl w:ilvl="0">
      <w:start w:val="1"/>
      <w:numFmt w:val="ordinal"/>
      <w:lvlText w:val="%1"/>
      <w:lvlJc w:val="left"/>
      <w:pPr>
        <w:ind w:left="432" w:hanging="432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lvlText w:val="%1%2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1%2.%3"/>
      <w:lvlJc w:val="left"/>
      <w:pPr>
        <w:ind w:left="1588" w:hanging="102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pStyle w:val="Nadpis4"/>
      <w:lvlText w:val="%1%2.%3.%4"/>
      <w:lvlJc w:val="left"/>
      <w:pPr>
        <w:ind w:left="3175" w:hanging="158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pStyle w:val="Nadpis5"/>
      <w:lvlText w:val="%1%2.%3.%4.%5"/>
      <w:lvlJc w:val="left"/>
      <w:pPr>
        <w:ind w:left="1008" w:firstLine="2167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pStyle w:val="Nadpis6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10"/>
  </w:num>
  <w:num w:numId="5">
    <w:abstractNumId w:val="15"/>
  </w:num>
  <w:num w:numId="6">
    <w:abstractNumId w:val="12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14"/>
  </w:num>
  <w:num w:numId="12">
    <w:abstractNumId w:val="3"/>
  </w:num>
  <w:num w:numId="13">
    <w:abstractNumId w:val="3"/>
  </w:num>
  <w:num w:numId="14">
    <w:abstractNumId w:val="5"/>
  </w:num>
  <w:num w:numId="15">
    <w:abstractNumId w:val="11"/>
  </w:num>
  <w:num w:numId="16">
    <w:abstractNumId w:val="1"/>
  </w:num>
  <w:num w:numId="17">
    <w:abstractNumId w:val="1"/>
  </w:num>
  <w:num w:numId="18">
    <w:abstractNumId w:val="2"/>
  </w:num>
  <w:num w:numId="19">
    <w:abstractNumId w:val="7"/>
  </w:num>
  <w:num w:numId="20">
    <w:abstractNumId w:val="9"/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19"/>
  </w:num>
  <w:num w:numId="29">
    <w:abstractNumId w:val="17"/>
  </w:num>
  <w:num w:numId="30">
    <w:abstractNumId w:val="22"/>
  </w:num>
  <w:num w:numId="31">
    <w:abstractNumId w:val="20"/>
  </w:num>
  <w:num w:numId="32">
    <w:abstractNumId w:val="4"/>
  </w:num>
  <w:num w:numId="33">
    <w:abstractNumId w:val="8"/>
  </w:num>
  <w:num w:numId="34">
    <w:abstractNumId w:val="6"/>
  </w:num>
  <w:num w:numId="35">
    <w:abstractNumId w:val="3"/>
    <w:lvlOverride w:ilvl="0">
      <w:startOverride w:val="1"/>
    </w:lvlOverride>
  </w:num>
  <w:num w:numId="36">
    <w:abstractNumId w:val="13"/>
  </w:num>
  <w:num w:numId="37">
    <w:abstractNumId w:val="16"/>
  </w:num>
  <w:num w:numId="3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1D"/>
    <w:rsid w:val="00011D1E"/>
    <w:rsid w:val="00022973"/>
    <w:rsid w:val="00023150"/>
    <w:rsid w:val="00023C6D"/>
    <w:rsid w:val="00026BC0"/>
    <w:rsid w:val="00027D7E"/>
    <w:rsid w:val="00031A59"/>
    <w:rsid w:val="000462FC"/>
    <w:rsid w:val="00047A5E"/>
    <w:rsid w:val="000522DE"/>
    <w:rsid w:val="00054CE6"/>
    <w:rsid w:val="000552C9"/>
    <w:rsid w:val="00061490"/>
    <w:rsid w:val="00063261"/>
    <w:rsid w:val="00083146"/>
    <w:rsid w:val="00095E14"/>
    <w:rsid w:val="00097254"/>
    <w:rsid w:val="000A0382"/>
    <w:rsid w:val="000A0FCF"/>
    <w:rsid w:val="000A4738"/>
    <w:rsid w:val="000A4EE8"/>
    <w:rsid w:val="000C3921"/>
    <w:rsid w:val="000D10BE"/>
    <w:rsid w:val="000D2710"/>
    <w:rsid w:val="000D6A96"/>
    <w:rsid w:val="000D7A4B"/>
    <w:rsid w:val="000F3AF8"/>
    <w:rsid w:val="000F671A"/>
    <w:rsid w:val="00107C52"/>
    <w:rsid w:val="00111434"/>
    <w:rsid w:val="00111E1C"/>
    <w:rsid w:val="00122FA3"/>
    <w:rsid w:val="00125BFB"/>
    <w:rsid w:val="00127346"/>
    <w:rsid w:val="00127D40"/>
    <w:rsid w:val="00127F7D"/>
    <w:rsid w:val="00131441"/>
    <w:rsid w:val="0016605D"/>
    <w:rsid w:val="00175B6B"/>
    <w:rsid w:val="001763CB"/>
    <w:rsid w:val="0018489C"/>
    <w:rsid w:val="00186ACB"/>
    <w:rsid w:val="00191F40"/>
    <w:rsid w:val="001B01FC"/>
    <w:rsid w:val="001C1919"/>
    <w:rsid w:val="001C19DF"/>
    <w:rsid w:val="001C1E2B"/>
    <w:rsid w:val="001C202D"/>
    <w:rsid w:val="001C2B9C"/>
    <w:rsid w:val="001D5F15"/>
    <w:rsid w:val="001F2C3D"/>
    <w:rsid w:val="00202FDA"/>
    <w:rsid w:val="00205D84"/>
    <w:rsid w:val="00207D4C"/>
    <w:rsid w:val="00215769"/>
    <w:rsid w:val="00220543"/>
    <w:rsid w:val="00222812"/>
    <w:rsid w:val="00231520"/>
    <w:rsid w:val="0023337E"/>
    <w:rsid w:val="00241A67"/>
    <w:rsid w:val="00243E8C"/>
    <w:rsid w:val="00246536"/>
    <w:rsid w:val="002524B0"/>
    <w:rsid w:val="0025614D"/>
    <w:rsid w:val="00270FC8"/>
    <w:rsid w:val="0028233E"/>
    <w:rsid w:val="00293A8E"/>
    <w:rsid w:val="002A1BF8"/>
    <w:rsid w:val="002A4266"/>
    <w:rsid w:val="002B0CDB"/>
    <w:rsid w:val="002B1EFE"/>
    <w:rsid w:val="002C0D6A"/>
    <w:rsid w:val="002C1291"/>
    <w:rsid w:val="002C3D28"/>
    <w:rsid w:val="002D7E8E"/>
    <w:rsid w:val="002F384E"/>
    <w:rsid w:val="003100C9"/>
    <w:rsid w:val="00310CEF"/>
    <w:rsid w:val="00310CF7"/>
    <w:rsid w:val="00322A16"/>
    <w:rsid w:val="0033000A"/>
    <w:rsid w:val="003340B6"/>
    <w:rsid w:val="00334E47"/>
    <w:rsid w:val="003361CC"/>
    <w:rsid w:val="003400B7"/>
    <w:rsid w:val="0034199F"/>
    <w:rsid w:val="00344419"/>
    <w:rsid w:val="003519BD"/>
    <w:rsid w:val="00356E86"/>
    <w:rsid w:val="00366835"/>
    <w:rsid w:val="003677F6"/>
    <w:rsid w:val="003700FD"/>
    <w:rsid w:val="0038239E"/>
    <w:rsid w:val="00385211"/>
    <w:rsid w:val="003872AD"/>
    <w:rsid w:val="003A1DB0"/>
    <w:rsid w:val="003A693F"/>
    <w:rsid w:val="003B3AE1"/>
    <w:rsid w:val="003B4873"/>
    <w:rsid w:val="003B671E"/>
    <w:rsid w:val="003C18D5"/>
    <w:rsid w:val="003C33BD"/>
    <w:rsid w:val="003C48B6"/>
    <w:rsid w:val="003C5B54"/>
    <w:rsid w:val="003E3CD4"/>
    <w:rsid w:val="003E6F30"/>
    <w:rsid w:val="003F4952"/>
    <w:rsid w:val="003F592E"/>
    <w:rsid w:val="003F5C91"/>
    <w:rsid w:val="003F6648"/>
    <w:rsid w:val="0040454A"/>
    <w:rsid w:val="00411326"/>
    <w:rsid w:val="0042283E"/>
    <w:rsid w:val="0042548C"/>
    <w:rsid w:val="00425C3C"/>
    <w:rsid w:val="0043314B"/>
    <w:rsid w:val="0043425F"/>
    <w:rsid w:val="00435BD8"/>
    <w:rsid w:val="00443E9A"/>
    <w:rsid w:val="00450919"/>
    <w:rsid w:val="00451039"/>
    <w:rsid w:val="00451FB8"/>
    <w:rsid w:val="00462D3A"/>
    <w:rsid w:val="00463157"/>
    <w:rsid w:val="00467D3A"/>
    <w:rsid w:val="0047022B"/>
    <w:rsid w:val="00481C29"/>
    <w:rsid w:val="00482B52"/>
    <w:rsid w:val="004938AE"/>
    <w:rsid w:val="004A0C7D"/>
    <w:rsid w:val="004B2F69"/>
    <w:rsid w:val="004B42CB"/>
    <w:rsid w:val="004B512B"/>
    <w:rsid w:val="004B6736"/>
    <w:rsid w:val="004C3C75"/>
    <w:rsid w:val="004C6BB0"/>
    <w:rsid w:val="004C6F7A"/>
    <w:rsid w:val="004C714B"/>
    <w:rsid w:val="004D1818"/>
    <w:rsid w:val="004E0027"/>
    <w:rsid w:val="004E0801"/>
    <w:rsid w:val="004E49E8"/>
    <w:rsid w:val="004F2161"/>
    <w:rsid w:val="004F68D3"/>
    <w:rsid w:val="004F6D3D"/>
    <w:rsid w:val="004F7CD9"/>
    <w:rsid w:val="0051174B"/>
    <w:rsid w:val="00513309"/>
    <w:rsid w:val="00520742"/>
    <w:rsid w:val="00521A6F"/>
    <w:rsid w:val="00523A6B"/>
    <w:rsid w:val="00523BC8"/>
    <w:rsid w:val="0052453A"/>
    <w:rsid w:val="00527D8B"/>
    <w:rsid w:val="00527F66"/>
    <w:rsid w:val="0054057F"/>
    <w:rsid w:val="00541F99"/>
    <w:rsid w:val="00543D7A"/>
    <w:rsid w:val="00551F9E"/>
    <w:rsid w:val="00552DD1"/>
    <w:rsid w:val="00553D24"/>
    <w:rsid w:val="005571FB"/>
    <w:rsid w:val="005610C1"/>
    <w:rsid w:val="00571F83"/>
    <w:rsid w:val="00572405"/>
    <w:rsid w:val="00573317"/>
    <w:rsid w:val="00573830"/>
    <w:rsid w:val="00593D34"/>
    <w:rsid w:val="00597489"/>
    <w:rsid w:val="005A3443"/>
    <w:rsid w:val="005B0627"/>
    <w:rsid w:val="005B1A84"/>
    <w:rsid w:val="005E7095"/>
    <w:rsid w:val="005E75BF"/>
    <w:rsid w:val="005F2F67"/>
    <w:rsid w:val="005F6837"/>
    <w:rsid w:val="00607C64"/>
    <w:rsid w:val="006119FC"/>
    <w:rsid w:val="006175CB"/>
    <w:rsid w:val="00617B8D"/>
    <w:rsid w:val="00622118"/>
    <w:rsid w:val="00623D9B"/>
    <w:rsid w:val="00624006"/>
    <w:rsid w:val="00626A5A"/>
    <w:rsid w:val="00635FD5"/>
    <w:rsid w:val="00642C06"/>
    <w:rsid w:val="00647D10"/>
    <w:rsid w:val="0065732F"/>
    <w:rsid w:val="00663BDE"/>
    <w:rsid w:val="00665822"/>
    <w:rsid w:val="006728FD"/>
    <w:rsid w:val="00673A73"/>
    <w:rsid w:val="006750F0"/>
    <w:rsid w:val="0067676E"/>
    <w:rsid w:val="00677D7E"/>
    <w:rsid w:val="006815FB"/>
    <w:rsid w:val="006836F1"/>
    <w:rsid w:val="00687C48"/>
    <w:rsid w:val="00695E7E"/>
    <w:rsid w:val="006A168E"/>
    <w:rsid w:val="006A1EDF"/>
    <w:rsid w:val="006A6F40"/>
    <w:rsid w:val="006A7C8F"/>
    <w:rsid w:val="006C1D56"/>
    <w:rsid w:val="006C2713"/>
    <w:rsid w:val="006C662E"/>
    <w:rsid w:val="006D18EC"/>
    <w:rsid w:val="006F0AC9"/>
    <w:rsid w:val="006F65E0"/>
    <w:rsid w:val="006F66E7"/>
    <w:rsid w:val="007018AE"/>
    <w:rsid w:val="007123A7"/>
    <w:rsid w:val="007148C7"/>
    <w:rsid w:val="007170A6"/>
    <w:rsid w:val="00720A08"/>
    <w:rsid w:val="00721538"/>
    <w:rsid w:val="007311BC"/>
    <w:rsid w:val="0073180D"/>
    <w:rsid w:val="00742CC2"/>
    <w:rsid w:val="00745537"/>
    <w:rsid w:val="00754D4B"/>
    <w:rsid w:val="007554EC"/>
    <w:rsid w:val="00764C5D"/>
    <w:rsid w:val="00765CB0"/>
    <w:rsid w:val="00766363"/>
    <w:rsid w:val="00767B1B"/>
    <w:rsid w:val="00780752"/>
    <w:rsid w:val="007868DD"/>
    <w:rsid w:val="007875CC"/>
    <w:rsid w:val="00797CF7"/>
    <w:rsid w:val="007A157B"/>
    <w:rsid w:val="007A5AFD"/>
    <w:rsid w:val="007B1203"/>
    <w:rsid w:val="007B4737"/>
    <w:rsid w:val="007C3451"/>
    <w:rsid w:val="007C3CD5"/>
    <w:rsid w:val="007C4CAF"/>
    <w:rsid w:val="007D6D29"/>
    <w:rsid w:val="007E0D87"/>
    <w:rsid w:val="007F0BC7"/>
    <w:rsid w:val="007F4677"/>
    <w:rsid w:val="00803F0D"/>
    <w:rsid w:val="008134CF"/>
    <w:rsid w:val="00817E70"/>
    <w:rsid w:val="00820866"/>
    <w:rsid w:val="00823782"/>
    <w:rsid w:val="0082565A"/>
    <w:rsid w:val="00831E0D"/>
    <w:rsid w:val="00834971"/>
    <w:rsid w:val="00842338"/>
    <w:rsid w:val="0084277A"/>
    <w:rsid w:val="00851131"/>
    <w:rsid w:val="008661DE"/>
    <w:rsid w:val="008708B7"/>
    <w:rsid w:val="00876531"/>
    <w:rsid w:val="0088038C"/>
    <w:rsid w:val="00881DE6"/>
    <w:rsid w:val="00882BBE"/>
    <w:rsid w:val="00882CB9"/>
    <w:rsid w:val="00882DFA"/>
    <w:rsid w:val="00884CA2"/>
    <w:rsid w:val="00894224"/>
    <w:rsid w:val="008942A0"/>
    <w:rsid w:val="008A0467"/>
    <w:rsid w:val="008A5BE8"/>
    <w:rsid w:val="008B2CD5"/>
    <w:rsid w:val="008B3C81"/>
    <w:rsid w:val="008D44B7"/>
    <w:rsid w:val="008D567A"/>
    <w:rsid w:val="008D6E84"/>
    <w:rsid w:val="008D6F9B"/>
    <w:rsid w:val="008D779D"/>
    <w:rsid w:val="008E4A05"/>
    <w:rsid w:val="008E4ACC"/>
    <w:rsid w:val="008E6EBE"/>
    <w:rsid w:val="008E6EFB"/>
    <w:rsid w:val="008F00F1"/>
    <w:rsid w:val="008F4D81"/>
    <w:rsid w:val="00900F33"/>
    <w:rsid w:val="00901F63"/>
    <w:rsid w:val="00903EE8"/>
    <w:rsid w:val="00913F6D"/>
    <w:rsid w:val="00920A12"/>
    <w:rsid w:val="0092267C"/>
    <w:rsid w:val="00934B33"/>
    <w:rsid w:val="00943117"/>
    <w:rsid w:val="00944167"/>
    <w:rsid w:val="00953E0F"/>
    <w:rsid w:val="00972A5F"/>
    <w:rsid w:val="0097457B"/>
    <w:rsid w:val="009813B4"/>
    <w:rsid w:val="00983E1D"/>
    <w:rsid w:val="009864B4"/>
    <w:rsid w:val="00987769"/>
    <w:rsid w:val="00992929"/>
    <w:rsid w:val="00993E0E"/>
    <w:rsid w:val="009A27E5"/>
    <w:rsid w:val="009A53FF"/>
    <w:rsid w:val="009A5D05"/>
    <w:rsid w:val="009B1471"/>
    <w:rsid w:val="009C1C1C"/>
    <w:rsid w:val="009C1E3C"/>
    <w:rsid w:val="009C6559"/>
    <w:rsid w:val="009C7ADA"/>
    <w:rsid w:val="009D799C"/>
    <w:rsid w:val="009E14F8"/>
    <w:rsid w:val="009F07A6"/>
    <w:rsid w:val="009F76B1"/>
    <w:rsid w:val="00A02EBF"/>
    <w:rsid w:val="00A10DEA"/>
    <w:rsid w:val="00A12A4A"/>
    <w:rsid w:val="00A203ED"/>
    <w:rsid w:val="00A21D7B"/>
    <w:rsid w:val="00A266C3"/>
    <w:rsid w:val="00A30FA4"/>
    <w:rsid w:val="00A32491"/>
    <w:rsid w:val="00A3724A"/>
    <w:rsid w:val="00A37A64"/>
    <w:rsid w:val="00A440B0"/>
    <w:rsid w:val="00A542D0"/>
    <w:rsid w:val="00A55947"/>
    <w:rsid w:val="00A6318E"/>
    <w:rsid w:val="00A67492"/>
    <w:rsid w:val="00A93F66"/>
    <w:rsid w:val="00A97755"/>
    <w:rsid w:val="00AB3C29"/>
    <w:rsid w:val="00AD233A"/>
    <w:rsid w:val="00AD45E2"/>
    <w:rsid w:val="00AD5802"/>
    <w:rsid w:val="00AE4229"/>
    <w:rsid w:val="00AF47F0"/>
    <w:rsid w:val="00B01934"/>
    <w:rsid w:val="00B04055"/>
    <w:rsid w:val="00B04149"/>
    <w:rsid w:val="00B0600F"/>
    <w:rsid w:val="00B06844"/>
    <w:rsid w:val="00B1234D"/>
    <w:rsid w:val="00B12C3A"/>
    <w:rsid w:val="00B32FCE"/>
    <w:rsid w:val="00B36DF3"/>
    <w:rsid w:val="00B459B7"/>
    <w:rsid w:val="00B51974"/>
    <w:rsid w:val="00B52140"/>
    <w:rsid w:val="00B53A5F"/>
    <w:rsid w:val="00B53ADE"/>
    <w:rsid w:val="00B5557C"/>
    <w:rsid w:val="00B56892"/>
    <w:rsid w:val="00B57094"/>
    <w:rsid w:val="00B60BB4"/>
    <w:rsid w:val="00B76F52"/>
    <w:rsid w:val="00B80371"/>
    <w:rsid w:val="00B813EB"/>
    <w:rsid w:val="00B84C61"/>
    <w:rsid w:val="00B907A2"/>
    <w:rsid w:val="00B92A08"/>
    <w:rsid w:val="00B96773"/>
    <w:rsid w:val="00BA4CB3"/>
    <w:rsid w:val="00BB1D18"/>
    <w:rsid w:val="00BB37B4"/>
    <w:rsid w:val="00BB37F5"/>
    <w:rsid w:val="00BC1561"/>
    <w:rsid w:val="00BD4231"/>
    <w:rsid w:val="00C014C0"/>
    <w:rsid w:val="00C01D17"/>
    <w:rsid w:val="00C243EB"/>
    <w:rsid w:val="00C34BCD"/>
    <w:rsid w:val="00C36FC0"/>
    <w:rsid w:val="00C45684"/>
    <w:rsid w:val="00C4595A"/>
    <w:rsid w:val="00C502D3"/>
    <w:rsid w:val="00C56EE5"/>
    <w:rsid w:val="00C6178A"/>
    <w:rsid w:val="00C64400"/>
    <w:rsid w:val="00C64FD4"/>
    <w:rsid w:val="00C7172B"/>
    <w:rsid w:val="00C73CC6"/>
    <w:rsid w:val="00C76A91"/>
    <w:rsid w:val="00C83D2A"/>
    <w:rsid w:val="00C84B70"/>
    <w:rsid w:val="00C87162"/>
    <w:rsid w:val="00C8738B"/>
    <w:rsid w:val="00C87BE8"/>
    <w:rsid w:val="00C92E11"/>
    <w:rsid w:val="00C931E9"/>
    <w:rsid w:val="00C9371A"/>
    <w:rsid w:val="00C944CA"/>
    <w:rsid w:val="00C94E1E"/>
    <w:rsid w:val="00C978C8"/>
    <w:rsid w:val="00CA13B5"/>
    <w:rsid w:val="00CA33B9"/>
    <w:rsid w:val="00CA541D"/>
    <w:rsid w:val="00CB122F"/>
    <w:rsid w:val="00CB1E21"/>
    <w:rsid w:val="00CB4B92"/>
    <w:rsid w:val="00CB546C"/>
    <w:rsid w:val="00CB5777"/>
    <w:rsid w:val="00CC6D0D"/>
    <w:rsid w:val="00CC7413"/>
    <w:rsid w:val="00CC744C"/>
    <w:rsid w:val="00CD20D3"/>
    <w:rsid w:val="00CF483B"/>
    <w:rsid w:val="00D03076"/>
    <w:rsid w:val="00D109F5"/>
    <w:rsid w:val="00D14AED"/>
    <w:rsid w:val="00D22A21"/>
    <w:rsid w:val="00D3656D"/>
    <w:rsid w:val="00D406AA"/>
    <w:rsid w:val="00D41B4F"/>
    <w:rsid w:val="00D41EE4"/>
    <w:rsid w:val="00D44AEA"/>
    <w:rsid w:val="00D4608C"/>
    <w:rsid w:val="00D50F08"/>
    <w:rsid w:val="00D51AAC"/>
    <w:rsid w:val="00D57166"/>
    <w:rsid w:val="00D60EAF"/>
    <w:rsid w:val="00D645CD"/>
    <w:rsid w:val="00D65C2C"/>
    <w:rsid w:val="00D760FC"/>
    <w:rsid w:val="00D822AC"/>
    <w:rsid w:val="00D84694"/>
    <w:rsid w:val="00D87AF9"/>
    <w:rsid w:val="00D87B80"/>
    <w:rsid w:val="00D94DC7"/>
    <w:rsid w:val="00DA0169"/>
    <w:rsid w:val="00DA0F93"/>
    <w:rsid w:val="00DA22E0"/>
    <w:rsid w:val="00DA4DE0"/>
    <w:rsid w:val="00DD4379"/>
    <w:rsid w:val="00DF404A"/>
    <w:rsid w:val="00DF7AC5"/>
    <w:rsid w:val="00E050AF"/>
    <w:rsid w:val="00E064FA"/>
    <w:rsid w:val="00E06EE4"/>
    <w:rsid w:val="00E1018B"/>
    <w:rsid w:val="00E104F8"/>
    <w:rsid w:val="00E12F91"/>
    <w:rsid w:val="00E14117"/>
    <w:rsid w:val="00E14491"/>
    <w:rsid w:val="00E14751"/>
    <w:rsid w:val="00E17FAB"/>
    <w:rsid w:val="00E272BA"/>
    <w:rsid w:val="00E27415"/>
    <w:rsid w:val="00E31644"/>
    <w:rsid w:val="00E35236"/>
    <w:rsid w:val="00E4523C"/>
    <w:rsid w:val="00E6452F"/>
    <w:rsid w:val="00E6730D"/>
    <w:rsid w:val="00E73C14"/>
    <w:rsid w:val="00E83D8B"/>
    <w:rsid w:val="00E92393"/>
    <w:rsid w:val="00EA2F62"/>
    <w:rsid w:val="00EA488F"/>
    <w:rsid w:val="00EA797B"/>
    <w:rsid w:val="00EB4B57"/>
    <w:rsid w:val="00EC5011"/>
    <w:rsid w:val="00ED71DB"/>
    <w:rsid w:val="00EE1DC0"/>
    <w:rsid w:val="00EE5233"/>
    <w:rsid w:val="00EF6CE2"/>
    <w:rsid w:val="00EF7CB4"/>
    <w:rsid w:val="00F10315"/>
    <w:rsid w:val="00F17089"/>
    <w:rsid w:val="00F20750"/>
    <w:rsid w:val="00F2243B"/>
    <w:rsid w:val="00F23775"/>
    <w:rsid w:val="00F40399"/>
    <w:rsid w:val="00F42060"/>
    <w:rsid w:val="00F47415"/>
    <w:rsid w:val="00F56D33"/>
    <w:rsid w:val="00F57AEF"/>
    <w:rsid w:val="00F62C7B"/>
    <w:rsid w:val="00F66D94"/>
    <w:rsid w:val="00F7449D"/>
    <w:rsid w:val="00F8388C"/>
    <w:rsid w:val="00F84C96"/>
    <w:rsid w:val="00F85AFD"/>
    <w:rsid w:val="00FA2090"/>
    <w:rsid w:val="00FB4209"/>
    <w:rsid w:val="00FC1752"/>
    <w:rsid w:val="00FC4BA9"/>
    <w:rsid w:val="00FD64F8"/>
    <w:rsid w:val="00FE204B"/>
    <w:rsid w:val="00FF2CFB"/>
    <w:rsid w:val="00FF53D7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8AF6C"/>
  <w15:docId w15:val="{0381DFB6-6BA2-4E45-BA9A-CC151CB1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3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_Smlouvy"/>
    <w:qFormat/>
    <w:rsid w:val="002D7E8E"/>
    <w:pPr>
      <w:jc w:val="both"/>
    </w:pPr>
  </w:style>
  <w:style w:type="paragraph" w:styleId="Nadpis1">
    <w:name w:val="heading 1"/>
    <w:aliases w:val="Nadpis 1_Smlouvy"/>
    <w:basedOn w:val="Normln"/>
    <w:next w:val="Normln"/>
    <w:uiPriority w:val="2"/>
    <w:qFormat/>
    <w:rsid w:val="0042548C"/>
    <w:pPr>
      <w:numPr>
        <w:numId w:val="6"/>
      </w:numPr>
      <w:spacing w:after="120"/>
      <w:jc w:val="center"/>
      <w:outlineLvl w:val="0"/>
    </w:pPr>
    <w:rPr>
      <w:rFonts w:asciiTheme="minorHAnsi" w:hAnsiTheme="minorHAnsi" w:cstheme="minorHAnsi"/>
      <w:b/>
    </w:rPr>
  </w:style>
  <w:style w:type="paragraph" w:styleId="Nadpis2">
    <w:name w:val="heading 2"/>
    <w:aliases w:val="Nadpis 2_Smlouvy"/>
    <w:basedOn w:val="Normln"/>
    <w:next w:val="Normln"/>
    <w:uiPriority w:val="3"/>
    <w:qFormat/>
    <w:rsid w:val="00FA2090"/>
    <w:pPr>
      <w:numPr>
        <w:ilvl w:val="1"/>
        <w:numId w:val="6"/>
      </w:numPr>
      <w:spacing w:after="120"/>
      <w:ind w:left="540" w:hanging="540"/>
      <w:outlineLvl w:val="1"/>
    </w:pPr>
    <w:rPr>
      <w:rFonts w:asciiTheme="minorHAnsi" w:hAnsiTheme="minorHAnsi" w:cstheme="minorHAnsi"/>
    </w:rPr>
  </w:style>
  <w:style w:type="paragraph" w:styleId="Nadpis3">
    <w:name w:val="heading 3"/>
    <w:aliases w:val="Nadpis 3_Smlouvy,sp_Nadpis 3,F3"/>
    <w:basedOn w:val="Normln"/>
    <w:next w:val="Normln"/>
    <w:link w:val="Nadpis3Char"/>
    <w:uiPriority w:val="4"/>
    <w:qFormat/>
    <w:rsid w:val="00FA2090"/>
    <w:pPr>
      <w:numPr>
        <w:ilvl w:val="2"/>
        <w:numId w:val="6"/>
      </w:numPr>
      <w:spacing w:after="60"/>
      <w:ind w:left="1418" w:hanging="851"/>
      <w:outlineLvl w:val="2"/>
    </w:pPr>
    <w:rPr>
      <w:rFonts w:asciiTheme="minorHAnsi" w:hAnsiTheme="minorHAnsi" w:cstheme="minorHAnsi"/>
    </w:rPr>
  </w:style>
  <w:style w:type="paragraph" w:styleId="Nadpis4">
    <w:name w:val="heading 4"/>
    <w:aliases w:val="Nadpis 4_Smlouvy"/>
    <w:basedOn w:val="Normln"/>
    <w:next w:val="Normln"/>
    <w:link w:val="Nadpis4Char"/>
    <w:uiPriority w:val="5"/>
    <w:qFormat/>
    <w:rsid w:val="00CC7413"/>
    <w:pPr>
      <w:numPr>
        <w:ilvl w:val="3"/>
        <w:numId w:val="1"/>
      </w:numPr>
      <w:spacing w:after="120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nhideWhenUsed/>
    <w:rsid w:val="00C7172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C7172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C7172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C7172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172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5"/>
    <w:semiHidden/>
  </w:style>
  <w:style w:type="paragraph" w:customStyle="1" w:styleId="Zkladntext21">
    <w:name w:val="Základní text 21"/>
    <w:basedOn w:val="Normln"/>
    <w:uiPriority w:val="9"/>
    <w:pPr>
      <w:ind w:firstLine="708"/>
    </w:pPr>
    <w:rPr>
      <w:sz w:val="24"/>
      <w:szCs w:val="20"/>
    </w:rPr>
  </w:style>
  <w:style w:type="paragraph" w:styleId="Zhlav">
    <w:name w:val="header"/>
    <w:basedOn w:val="Normln"/>
    <w:uiPriority w:val="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"/>
    <w:rPr>
      <w:rFonts w:ascii="Book Antiqua" w:hAnsi="Book Antiqua"/>
      <w:sz w:val="22"/>
      <w:szCs w:val="24"/>
    </w:rPr>
  </w:style>
  <w:style w:type="paragraph" w:styleId="Zpat">
    <w:name w:val="footer"/>
    <w:basedOn w:val="Normln"/>
    <w:uiPriority w:val="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"/>
    <w:rPr>
      <w:rFonts w:ascii="Book Antiqua" w:hAnsi="Book Antiqua"/>
      <w:sz w:val="22"/>
      <w:szCs w:val="24"/>
    </w:rPr>
  </w:style>
  <w:style w:type="paragraph" w:styleId="Odstavecseseznamem">
    <w:name w:val="List Paragraph"/>
    <w:basedOn w:val="Normln"/>
    <w:qFormat/>
    <w:rsid w:val="008708B7"/>
    <w:pPr>
      <w:ind w:left="720"/>
    </w:pPr>
    <w:rPr>
      <w:rFonts w:eastAsia="Calibr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109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9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9F5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9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9F5"/>
    <w:rPr>
      <w:rFonts w:ascii="Book Antiqua" w:hAnsi="Book Antiqua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9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9F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6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aliases w:val="Nadpis 3_Smlouvy Char,sp_Nadpis 3 Char,F3 Char"/>
    <w:basedOn w:val="Standardnpsmoodstavce"/>
    <w:link w:val="Nadpis3"/>
    <w:uiPriority w:val="4"/>
    <w:rsid w:val="00FA2090"/>
    <w:rPr>
      <w:rFonts w:asciiTheme="minorHAnsi" w:hAnsiTheme="minorHAnsi" w:cstheme="minorHAnsi"/>
    </w:rPr>
  </w:style>
  <w:style w:type="character" w:customStyle="1" w:styleId="Nadpis4Char">
    <w:name w:val="Nadpis 4 Char"/>
    <w:aliases w:val="Nadpis 4_Smlouvy Char"/>
    <w:basedOn w:val="Standardnpsmoodstavce"/>
    <w:link w:val="Nadpis4"/>
    <w:uiPriority w:val="5"/>
    <w:rsid w:val="00CC7413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172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17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17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17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17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6A6F40"/>
    <w:pPr>
      <w:numPr>
        <w:numId w:val="2"/>
      </w:numPr>
    </w:pPr>
  </w:style>
  <w:style w:type="paragraph" w:styleId="slovanseznam">
    <w:name w:val="List Number"/>
    <w:aliases w:val="abc) seznam"/>
    <w:basedOn w:val="Smlouvaodstavec"/>
    <w:uiPriority w:val="1"/>
    <w:qFormat/>
    <w:rsid w:val="00E064FA"/>
    <w:pPr>
      <w:numPr>
        <w:ilvl w:val="1"/>
        <w:numId w:val="12"/>
      </w:numPr>
      <w:spacing w:after="120"/>
      <w:ind w:left="1276" w:hanging="357"/>
    </w:pPr>
    <w:rPr>
      <w:rFonts w:ascii="Calibri" w:hAnsi="Calibri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5"/>
    <w:semiHidden/>
    <w:rsid w:val="00C64400"/>
    <w:rPr>
      <w:rFonts w:ascii="Calibri" w:hAnsi="Calibri"/>
      <w:sz w:val="22"/>
      <w:szCs w:val="24"/>
    </w:rPr>
  </w:style>
  <w:style w:type="character" w:styleId="Odkaznavysvtlivky">
    <w:name w:val="endnote reference"/>
    <w:basedOn w:val="Standardnpsmoodstavce"/>
    <w:unhideWhenUsed/>
    <w:rsid w:val="00CC7413"/>
    <w:rPr>
      <w:vertAlign w:val="superscript"/>
    </w:rPr>
  </w:style>
  <w:style w:type="paragraph" w:customStyle="1" w:styleId="Smlouvalnek">
    <w:name w:val="Smlouva_článek"/>
    <w:basedOn w:val="Normln"/>
    <w:next w:val="Smlouvaodstavec"/>
    <w:rsid w:val="00F2243B"/>
    <w:pPr>
      <w:numPr>
        <w:numId w:val="4"/>
      </w:numPr>
      <w:spacing w:after="180"/>
      <w:jc w:val="center"/>
    </w:pPr>
    <w:rPr>
      <w:rFonts w:ascii="Arial" w:eastAsia="Calibri" w:hAnsi="Arial"/>
      <w:b/>
      <w:sz w:val="20"/>
      <w:szCs w:val="24"/>
    </w:rPr>
  </w:style>
  <w:style w:type="paragraph" w:customStyle="1" w:styleId="Smlouvaodstavec">
    <w:name w:val="Smlouva_odstavec"/>
    <w:basedOn w:val="Normln"/>
    <w:link w:val="SmlouvaodstavecChar"/>
    <w:autoRedefine/>
    <w:rsid w:val="008D6F9B"/>
    <w:pPr>
      <w:spacing w:after="40"/>
      <w:ind w:left="1843"/>
    </w:pPr>
    <w:rPr>
      <w:rFonts w:ascii="Arial" w:eastAsia="Calibri" w:hAnsi="Arial"/>
      <w:sz w:val="20"/>
      <w:szCs w:val="24"/>
    </w:rPr>
  </w:style>
  <w:style w:type="paragraph" w:styleId="Textvbloku">
    <w:name w:val="Block Text"/>
    <w:basedOn w:val="Normln"/>
    <w:rsid w:val="008F00F1"/>
    <w:pPr>
      <w:spacing w:after="120"/>
      <w:ind w:left="900" w:right="1440" w:hanging="360"/>
      <w:jc w:val="left"/>
    </w:pPr>
    <w:rPr>
      <w:rFonts w:ascii="Arial" w:hAnsi="Arial"/>
      <w:sz w:val="20"/>
      <w:szCs w:val="20"/>
    </w:rPr>
  </w:style>
  <w:style w:type="character" w:styleId="UkzkaHTML">
    <w:name w:val="HTML Sample"/>
    <w:rsid w:val="008F00F1"/>
    <w:rPr>
      <w:rFonts w:ascii="Courier New" w:hAnsi="Courier New" w:cs="Courier New"/>
    </w:rPr>
  </w:style>
  <w:style w:type="character" w:styleId="Hypertextovodkaz">
    <w:name w:val="Hyperlink"/>
    <w:semiHidden/>
    <w:rsid w:val="00D60EAF"/>
    <w:rPr>
      <w:rFonts w:ascii="Verdana" w:hAnsi="Verdana"/>
      <w:color w:val="0000FF"/>
      <w:u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D60E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51039"/>
  </w:style>
  <w:style w:type="paragraph" w:customStyle="1" w:styleId="Identifikace">
    <w:name w:val="Identifikace"/>
    <w:basedOn w:val="Normln"/>
    <w:rsid w:val="00E92393"/>
    <w:rPr>
      <w:rFonts w:ascii="Arial" w:hAnsi="Arial"/>
      <w:szCs w:val="20"/>
    </w:rPr>
  </w:style>
  <w:style w:type="character" w:customStyle="1" w:styleId="SmlouvaodstavecChar">
    <w:name w:val="Smlouva_odstavec Char"/>
    <w:link w:val="Smlouvaodstavec"/>
    <w:locked/>
    <w:rsid w:val="008D6F9B"/>
    <w:rPr>
      <w:rFonts w:ascii="Arial" w:eastAsia="Calibri" w:hAnsi="Arial"/>
      <w:sz w:val="20"/>
      <w:szCs w:val="24"/>
    </w:rPr>
  </w:style>
  <w:style w:type="character" w:styleId="Zdraznnintenzivn">
    <w:name w:val="Intense Emphasis"/>
    <w:uiPriority w:val="21"/>
    <w:qFormat/>
    <w:rsid w:val="001C19DF"/>
    <w:rPr>
      <w:b/>
      <w:color w:val="FF0000"/>
    </w:rPr>
  </w:style>
  <w:style w:type="paragraph" w:customStyle="1" w:styleId="Cena">
    <w:name w:val="Cena"/>
    <w:basedOn w:val="Normln"/>
    <w:autoRedefine/>
    <w:uiPriority w:val="99"/>
    <w:semiHidden/>
    <w:rsid w:val="00C73CC6"/>
    <w:pPr>
      <w:tabs>
        <w:tab w:val="right" w:pos="8789"/>
      </w:tabs>
      <w:jc w:val="left"/>
    </w:pPr>
    <w:rPr>
      <w:rFonts w:ascii="Verdana" w:hAnsi="Verdana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1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os.eu/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helios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helios.e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2407-D8FA-49AA-85AA-9AB0A574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1392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externí spolupráci</vt:lpstr>
    </vt:vector>
  </TitlesOfParts>
  <Company>LCS International, a.s.</Company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externí spolupráci</dc:title>
  <dc:subject/>
  <dc:creator>Jiří Rousek</dc:creator>
  <cp:keywords/>
  <dc:description/>
  <cp:lastModifiedBy>EKONOM</cp:lastModifiedBy>
  <cp:revision>2</cp:revision>
  <cp:lastPrinted>2016-09-08T10:25:00Z</cp:lastPrinted>
  <dcterms:created xsi:type="dcterms:W3CDTF">2020-10-08T04:57:00Z</dcterms:created>
  <dcterms:modified xsi:type="dcterms:W3CDTF">2020-10-08T04:57:00Z</dcterms:modified>
</cp:coreProperties>
</file>