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3305" w14:textId="77777777" w:rsidR="00515503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 xml:space="preserve">Smlouva o </w:t>
      </w:r>
      <w:r w:rsidR="001559AF">
        <w:rPr>
          <w:rFonts w:cs="Tahoma"/>
          <w:b/>
          <w:szCs w:val="22"/>
        </w:rPr>
        <w:t>dílo</w:t>
      </w:r>
    </w:p>
    <w:p w14:paraId="14AD2F46" w14:textId="77777777" w:rsidR="00515503" w:rsidRDefault="00515503" w:rsidP="004C09A1">
      <w:pPr>
        <w:pStyle w:val="Zkladntext"/>
        <w:spacing w:line="240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uzavřená v souladu s ustanovením § </w:t>
      </w:r>
      <w:r w:rsidR="001559AF">
        <w:rPr>
          <w:rFonts w:cs="Tahoma"/>
          <w:szCs w:val="22"/>
        </w:rPr>
        <w:t>2586 a násl.</w:t>
      </w:r>
      <w:r w:rsidRPr="001617CE">
        <w:rPr>
          <w:rFonts w:cs="Tahoma"/>
          <w:szCs w:val="22"/>
        </w:rPr>
        <w:t xml:space="preserve"> zákona č. 89/2012 Sb., občanský zákoník, ve znění pozdějších předpisů (dále jen „občanský zákoník“).</w:t>
      </w:r>
    </w:p>
    <w:p w14:paraId="52FB3C7D" w14:textId="77777777" w:rsidR="00515503" w:rsidRDefault="00515503" w:rsidP="004C09A1">
      <w:pPr>
        <w:pStyle w:val="Zkladntext"/>
        <w:spacing w:line="240" w:lineRule="auto"/>
        <w:jc w:val="center"/>
        <w:rPr>
          <w:rFonts w:cs="Tahoma"/>
          <w:szCs w:val="22"/>
        </w:rPr>
      </w:pPr>
    </w:p>
    <w:p w14:paraId="0B4C59C3" w14:textId="77777777" w:rsidR="00515503" w:rsidRPr="001617CE" w:rsidRDefault="00515503" w:rsidP="004C09A1">
      <w:pPr>
        <w:pStyle w:val="Zkladntext"/>
        <w:spacing w:line="240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14:paraId="0B1C32DC" w14:textId="77777777" w:rsidR="00515503" w:rsidRPr="00BF59FB" w:rsidRDefault="00515503" w:rsidP="004C09A1">
      <w:pPr>
        <w:pStyle w:val="Zkladntext"/>
        <w:spacing w:line="240" w:lineRule="auto"/>
        <w:jc w:val="both"/>
        <w:rPr>
          <w:rFonts w:cs="Tahoma"/>
          <w:b/>
          <w:szCs w:val="22"/>
        </w:rPr>
      </w:pPr>
    </w:p>
    <w:p w14:paraId="53D7CB0E" w14:textId="77777777" w:rsidR="00515503" w:rsidRPr="001617CE" w:rsidRDefault="00515503" w:rsidP="004C09A1">
      <w:pPr>
        <w:spacing w:after="0" w:line="240" w:lineRule="auto"/>
        <w:jc w:val="both"/>
        <w:rPr>
          <w:szCs w:val="22"/>
        </w:rPr>
      </w:pPr>
      <w:r w:rsidRPr="00515503">
        <w:rPr>
          <w:b/>
          <w:bCs/>
          <w:szCs w:val="22"/>
        </w:rPr>
        <w:t>Česká republika – Ministerstvo průmyslu a obchodu</w:t>
      </w:r>
      <w:r w:rsidRPr="001617CE">
        <w:rPr>
          <w:szCs w:val="22"/>
        </w:rPr>
        <w:t xml:space="preserve">, </w:t>
      </w:r>
    </w:p>
    <w:p w14:paraId="1895CD94" w14:textId="77777777" w:rsidR="00515503" w:rsidRPr="001617CE" w:rsidRDefault="00515503" w:rsidP="004C09A1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Na Františku 32, 110 15 Praha 1</w:t>
      </w:r>
    </w:p>
    <w:p w14:paraId="45FC530C" w14:textId="77777777" w:rsidR="00515503" w:rsidRPr="00B0617B" w:rsidRDefault="00BA4249" w:rsidP="004C09A1">
      <w:pPr>
        <w:spacing w:after="0" w:line="240" w:lineRule="auto"/>
        <w:jc w:val="both"/>
        <w:rPr>
          <w:szCs w:val="22"/>
        </w:rPr>
      </w:pPr>
      <w:r w:rsidRPr="00BA4249">
        <w:rPr>
          <w:szCs w:val="22"/>
        </w:rPr>
        <w:t xml:space="preserve">zastoupená Ing. Silvanou Jirotkovou, náměstkyní ministra </w:t>
      </w:r>
    </w:p>
    <w:p w14:paraId="7C0ADA9B" w14:textId="77777777" w:rsidR="00515503" w:rsidRPr="001617CE" w:rsidRDefault="00515503" w:rsidP="004C09A1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IČ:47609109</w:t>
      </w:r>
    </w:p>
    <w:p w14:paraId="4771780D" w14:textId="77777777" w:rsidR="00515503" w:rsidRPr="001617CE" w:rsidRDefault="00515503" w:rsidP="004C09A1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14:paraId="67175B6B" w14:textId="77777777" w:rsidR="00515503" w:rsidRPr="00BD5CC6" w:rsidRDefault="00515503" w:rsidP="004C09A1">
      <w:pPr>
        <w:spacing w:after="0" w:line="240" w:lineRule="auto"/>
        <w:jc w:val="both"/>
        <w:rPr>
          <w:szCs w:val="22"/>
        </w:rPr>
      </w:pPr>
      <w:r w:rsidRPr="00BD5CC6">
        <w:rPr>
          <w:szCs w:val="22"/>
        </w:rPr>
        <w:t>Bankovní spojení: Česká národní banka, pobočka Praha</w:t>
      </w:r>
    </w:p>
    <w:p w14:paraId="061B09C4" w14:textId="77777777" w:rsidR="00515503" w:rsidRPr="001617CE" w:rsidRDefault="00515503" w:rsidP="004C09A1">
      <w:pPr>
        <w:pStyle w:val="Zkladntext"/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č.</w:t>
      </w:r>
      <w:r>
        <w:rPr>
          <w:szCs w:val="22"/>
        </w:rPr>
        <w:t xml:space="preserve"> </w:t>
      </w:r>
      <w:r w:rsidRPr="001617CE">
        <w:rPr>
          <w:szCs w:val="22"/>
        </w:rPr>
        <w:t>ú.: 1525001/0710</w:t>
      </w:r>
    </w:p>
    <w:p w14:paraId="56525B46" w14:textId="77777777" w:rsidR="00515503" w:rsidRPr="001617CE" w:rsidRDefault="00515503" w:rsidP="004C09A1">
      <w:pPr>
        <w:pStyle w:val="Zkladntext"/>
        <w:spacing w:line="240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14:paraId="308479AD" w14:textId="77777777" w:rsidR="00515503" w:rsidRDefault="00515503" w:rsidP="004C09A1">
      <w:pPr>
        <w:pStyle w:val="Zkladntext"/>
        <w:spacing w:line="24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a</w:t>
      </w:r>
    </w:p>
    <w:p w14:paraId="4C7A4FC8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-Bold" w:eastAsiaTheme="minorHAnsi" w:hAnsi="Calibri-Bold" w:cs="Calibri-Bold"/>
          <w:b/>
          <w:bCs/>
          <w:szCs w:val="22"/>
          <w:lang w:eastAsia="en-US"/>
        </w:rPr>
      </w:pPr>
      <w:r>
        <w:rPr>
          <w:rFonts w:ascii="Calibri-Bold" w:eastAsiaTheme="minorHAnsi" w:hAnsi="Calibri-Bold" w:cs="Calibri-Bold"/>
          <w:b/>
          <w:bCs/>
          <w:szCs w:val="22"/>
          <w:lang w:eastAsia="en-US"/>
        </w:rPr>
        <w:t>Asociace společenské odpovědnosti</w:t>
      </w:r>
    </w:p>
    <w:p w14:paraId="0B539083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Drtinova 557/10, 150 00 Praha 5</w:t>
      </w:r>
    </w:p>
    <w:p w14:paraId="1FDBB7CD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zastoupená Ing. Lucií Mádlovou, Ph.D., výkonnou ředitelkou společnosti</w:t>
      </w:r>
    </w:p>
    <w:p w14:paraId="4B26EE84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IČ: 01467115</w:t>
      </w:r>
    </w:p>
    <w:p w14:paraId="2F991CE3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DIČ: CZ01467115</w:t>
      </w:r>
    </w:p>
    <w:p w14:paraId="1FF60FA0" w14:textId="7777777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zapsaná u Městského soudu v Praze, 1565 O</w:t>
      </w:r>
    </w:p>
    <w:p w14:paraId="3DC23AD3" w14:textId="7C19B847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 xml:space="preserve">Bankovní spojení: </w:t>
      </w:r>
      <w:r w:rsidR="00CB654E">
        <w:rPr>
          <w:rFonts w:ascii="Calibri" w:eastAsiaTheme="minorHAnsi" w:hAnsi="Calibri" w:cs="Calibri"/>
          <w:szCs w:val="22"/>
          <w:lang w:eastAsia="en-US"/>
        </w:rPr>
        <w:t>XXX</w:t>
      </w:r>
    </w:p>
    <w:p w14:paraId="5F57985A" w14:textId="53E8EB38" w:rsidR="007918CF" w:rsidRDefault="007918CF" w:rsidP="007918CF">
      <w:pPr>
        <w:overflowPunct/>
        <w:spacing w:after="0" w:line="240" w:lineRule="auto"/>
        <w:textAlignment w:val="auto"/>
        <w:rPr>
          <w:rFonts w:ascii="Calibri" w:eastAsiaTheme="minorHAnsi" w:hAnsi="Calibri" w:cs="Calibri"/>
          <w:szCs w:val="22"/>
          <w:lang w:eastAsia="en-US"/>
        </w:rPr>
      </w:pPr>
      <w:proofErr w:type="spellStart"/>
      <w:r>
        <w:rPr>
          <w:rFonts w:ascii="Calibri" w:eastAsiaTheme="minorHAnsi" w:hAnsi="Calibri" w:cs="Calibri"/>
          <w:szCs w:val="22"/>
          <w:lang w:eastAsia="en-US"/>
        </w:rPr>
        <w:t>č.ú</w:t>
      </w:r>
      <w:proofErr w:type="spellEnd"/>
      <w:r>
        <w:rPr>
          <w:rFonts w:ascii="Calibri" w:eastAsiaTheme="minorHAnsi" w:hAnsi="Calibri" w:cs="Calibri"/>
          <w:szCs w:val="22"/>
          <w:lang w:eastAsia="en-US"/>
        </w:rPr>
        <w:t xml:space="preserve">.: </w:t>
      </w:r>
      <w:r w:rsidR="00CB654E">
        <w:rPr>
          <w:rFonts w:ascii="Calibri" w:eastAsiaTheme="minorHAnsi" w:hAnsi="Calibri" w:cs="Calibri"/>
          <w:szCs w:val="22"/>
          <w:lang w:eastAsia="en-US"/>
        </w:rPr>
        <w:t>XXX</w:t>
      </w:r>
    </w:p>
    <w:p w14:paraId="43E33E44" w14:textId="77777777" w:rsidR="007918CF" w:rsidRDefault="007918CF" w:rsidP="007918CF">
      <w:pPr>
        <w:spacing w:after="120" w:line="240" w:lineRule="auto"/>
        <w:jc w:val="both"/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>(dále jen „Dodavatel“)</w:t>
      </w:r>
    </w:p>
    <w:p w14:paraId="24EFC8BB" w14:textId="7FD88826" w:rsidR="00515503" w:rsidRPr="00A620DC" w:rsidRDefault="00515503" w:rsidP="007918CF">
      <w:pPr>
        <w:spacing w:after="120" w:line="240" w:lineRule="auto"/>
        <w:jc w:val="both"/>
        <w:rPr>
          <w:rFonts w:cstheme="minorHAnsi"/>
          <w:szCs w:val="22"/>
        </w:rPr>
      </w:pPr>
      <w:r w:rsidRPr="00A620DC">
        <w:rPr>
          <w:rFonts w:cstheme="minorHAnsi"/>
          <w:szCs w:val="22"/>
        </w:rPr>
        <w:t xml:space="preserve">smlouvu o </w:t>
      </w:r>
      <w:r w:rsidR="001559AF" w:rsidRPr="00A620DC">
        <w:rPr>
          <w:rFonts w:cstheme="minorHAnsi"/>
          <w:szCs w:val="22"/>
        </w:rPr>
        <w:t>dílo</w:t>
      </w:r>
      <w:r w:rsidRPr="00A620DC">
        <w:rPr>
          <w:rFonts w:cstheme="minorHAnsi"/>
          <w:szCs w:val="22"/>
        </w:rPr>
        <w:t xml:space="preserve"> </w:t>
      </w:r>
      <w:r w:rsidR="009B1EA1">
        <w:rPr>
          <w:rFonts w:cstheme="minorHAnsi"/>
          <w:szCs w:val="22"/>
        </w:rPr>
        <w:t xml:space="preserve">pro vydání </w:t>
      </w:r>
      <w:r w:rsidR="009B1EA1" w:rsidRPr="009B1EA1">
        <w:rPr>
          <w:rFonts w:cstheme="minorHAnsi"/>
          <w:b/>
          <w:szCs w:val="22"/>
        </w:rPr>
        <w:t>Brožury Cen SDGs 2020</w:t>
      </w:r>
      <w:r w:rsidR="009B1EA1">
        <w:rPr>
          <w:rFonts w:cstheme="minorHAnsi"/>
          <w:szCs w:val="22"/>
        </w:rPr>
        <w:t xml:space="preserve"> (dále jen „Smlouva“) následujícího znění:</w:t>
      </w:r>
    </w:p>
    <w:p w14:paraId="1DF46F80" w14:textId="77777777" w:rsidR="00515503" w:rsidRPr="001617CE" w:rsidRDefault="00515503" w:rsidP="004C09A1">
      <w:pPr>
        <w:pStyle w:val="Zkladntext"/>
        <w:spacing w:line="240" w:lineRule="auto"/>
        <w:ind w:left="3540" w:firstLine="708"/>
        <w:jc w:val="both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14:paraId="45663281" w14:textId="77777777" w:rsidR="00515503" w:rsidRPr="003D2AD8" w:rsidRDefault="00515503" w:rsidP="004C09A1">
      <w:pPr>
        <w:pStyle w:val="Zkladntext"/>
        <w:spacing w:line="240" w:lineRule="auto"/>
        <w:jc w:val="center"/>
        <w:rPr>
          <w:rFonts w:cstheme="minorHAnsi"/>
          <w:b/>
          <w:szCs w:val="22"/>
        </w:rPr>
      </w:pPr>
      <w:r w:rsidRPr="003D2AD8">
        <w:rPr>
          <w:rFonts w:cstheme="minorHAnsi"/>
          <w:b/>
          <w:szCs w:val="22"/>
        </w:rPr>
        <w:t>Preambule</w:t>
      </w:r>
    </w:p>
    <w:p w14:paraId="7CAC50C2" w14:textId="77777777" w:rsidR="002339CC" w:rsidRPr="003D2AD8" w:rsidRDefault="002339CC" w:rsidP="004C09A1">
      <w:pPr>
        <w:pStyle w:val="Zkladntext"/>
        <w:spacing w:after="0" w:line="240" w:lineRule="auto"/>
        <w:jc w:val="both"/>
        <w:rPr>
          <w:rFonts w:cstheme="minorHAnsi"/>
          <w:bCs/>
          <w:szCs w:val="22"/>
        </w:rPr>
      </w:pPr>
      <w:r w:rsidRPr="003D2AD8">
        <w:rPr>
          <w:rFonts w:cstheme="minorHAnsi"/>
          <w:szCs w:val="22"/>
        </w:rPr>
        <w:t>Záměrem projektu Ceny SDGs je motivovat firmy, neziskové organizace, veřejné instituce i širokou veřejnost, aby začlenily SDGs do svých každodenních aktivit a pomohly tak Česku k udržitelnější budoucnosti. Součástí projektu Cen SDGs je tradičně i sdílení dobré praxe v podobě publikace - Brožury Cen SDGs. Brožura obsahuje základní shrnutí ročníku, představení vítězných projektů ze všech kategorií a také inspirativní medailonky všech semifinálových projektů. Brožura je vždy distribuována v tištěné podobě na konferencích se zaměřením na udržitelný rozvoj a je dostupná i online volně ke stažení.</w:t>
      </w:r>
    </w:p>
    <w:p w14:paraId="79A310C5" w14:textId="77777777" w:rsidR="002339CC" w:rsidRPr="003D2AD8" w:rsidRDefault="002339CC" w:rsidP="004C09A1">
      <w:pPr>
        <w:pStyle w:val="Zkladntext"/>
        <w:spacing w:after="0" w:line="240" w:lineRule="auto"/>
        <w:jc w:val="both"/>
        <w:rPr>
          <w:rFonts w:cstheme="minorHAnsi"/>
          <w:szCs w:val="22"/>
        </w:rPr>
      </w:pPr>
    </w:p>
    <w:p w14:paraId="7FC73DCA" w14:textId="77777777" w:rsidR="002339CC" w:rsidRPr="003D2AD8" w:rsidRDefault="002339CC" w:rsidP="004C09A1">
      <w:pPr>
        <w:pStyle w:val="Zkladntext"/>
        <w:spacing w:after="0" w:line="240" w:lineRule="auto"/>
        <w:jc w:val="both"/>
        <w:rPr>
          <w:rFonts w:cstheme="minorHAnsi"/>
          <w:szCs w:val="22"/>
        </w:rPr>
      </w:pPr>
      <w:r w:rsidRPr="003D2AD8">
        <w:rPr>
          <w:rFonts w:cstheme="minorHAnsi"/>
          <w:szCs w:val="22"/>
        </w:rPr>
        <w:t>V rámci Brožury Cen SDGs budou představeny projekty s tématy jako čisté energie, odpovědná výroba a spotřeba, oběhové hospodaření a další. To vše v kontextu zvyšování konkurenceschopnosti českých firem, jež je jednou z priorit Rady kvality ČR.</w:t>
      </w:r>
      <w:r w:rsidR="009B1EA1" w:rsidRPr="003D2AD8">
        <w:rPr>
          <w:rFonts w:cstheme="minorHAnsi"/>
          <w:szCs w:val="22"/>
        </w:rPr>
        <w:t xml:space="preserve"> Za obsahovou stránku brožury je odpovědná Asociace společenské odpovědnosti.</w:t>
      </w:r>
    </w:p>
    <w:p w14:paraId="199A61B3" w14:textId="77777777" w:rsidR="002339CC" w:rsidRDefault="002339CC" w:rsidP="004C09A1">
      <w:pPr>
        <w:pStyle w:val="Zkladntext"/>
        <w:spacing w:after="0" w:line="240" w:lineRule="auto"/>
        <w:jc w:val="both"/>
        <w:rPr>
          <w:rFonts w:ascii="Arial" w:hAnsi="Arial" w:cs="Arial"/>
          <w:szCs w:val="22"/>
        </w:rPr>
      </w:pPr>
    </w:p>
    <w:p w14:paraId="52A2D87B" w14:textId="77777777" w:rsidR="00515503" w:rsidRDefault="00515503" w:rsidP="003D2AD8">
      <w:pPr>
        <w:pStyle w:val="Zkladntext"/>
        <w:spacing w:line="240" w:lineRule="auto"/>
        <w:rPr>
          <w:rFonts w:cs="Tahoma"/>
          <w:b/>
          <w:szCs w:val="22"/>
        </w:rPr>
      </w:pPr>
      <w:r w:rsidRPr="007F020C">
        <w:rPr>
          <w:rFonts w:cs="Tahoma"/>
          <w:szCs w:val="22"/>
        </w:rPr>
        <w:t xml:space="preserve">S ohledem na výše uvedené se Dodavatel a Partner dohodli na uzavření této smlouvy o </w:t>
      </w:r>
      <w:r w:rsidR="009B1EA1">
        <w:rPr>
          <w:rFonts w:cs="Tahoma"/>
          <w:szCs w:val="22"/>
        </w:rPr>
        <w:t>díl</w:t>
      </w:r>
      <w:r w:rsidR="00AE7A4F">
        <w:rPr>
          <w:rFonts w:cs="Tahoma"/>
          <w:szCs w:val="22"/>
        </w:rPr>
        <w:t>o</w:t>
      </w:r>
      <w:r w:rsidR="009B1EA1">
        <w:rPr>
          <w:rFonts w:cs="Tahoma"/>
          <w:szCs w:val="22"/>
        </w:rPr>
        <w:t>.</w:t>
      </w:r>
    </w:p>
    <w:p w14:paraId="4C57D953" w14:textId="77777777" w:rsidR="00515503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14:paraId="61391B8B" w14:textId="77777777" w:rsidR="00233A4F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14:paraId="66E28DE4" w14:textId="48F8F35E" w:rsidR="004E4149" w:rsidRPr="00233A4F" w:rsidRDefault="001559AF" w:rsidP="004C09A1">
      <w:pPr>
        <w:pStyle w:val="Zkladntext"/>
        <w:spacing w:line="240" w:lineRule="auto"/>
        <w:jc w:val="both"/>
        <w:rPr>
          <w:rFonts w:cs="Tahoma"/>
          <w:b/>
          <w:szCs w:val="22"/>
        </w:rPr>
      </w:pPr>
      <w:r>
        <w:t xml:space="preserve">Předmětem Smlouvy je </w:t>
      </w:r>
      <w:r w:rsidR="002339CC">
        <w:rPr>
          <w:rFonts w:cs="Tahoma"/>
          <w:szCs w:val="22"/>
        </w:rPr>
        <w:t>kompletní příprava, realizace, grafický návrh a tisk</w:t>
      </w:r>
      <w:r w:rsidR="00062B3D">
        <w:rPr>
          <w:rFonts w:cs="Tahoma"/>
          <w:szCs w:val="22"/>
        </w:rPr>
        <w:t xml:space="preserve"> 400 kusů</w:t>
      </w:r>
      <w:r w:rsidR="002339CC">
        <w:rPr>
          <w:rFonts w:cs="Tahoma"/>
          <w:szCs w:val="22"/>
        </w:rPr>
        <w:t xml:space="preserve"> Brožury </w:t>
      </w:r>
      <w:r w:rsidR="009B1EA1">
        <w:rPr>
          <w:rFonts w:cs="Tahoma"/>
          <w:szCs w:val="22"/>
        </w:rPr>
        <w:t>Cen SDGs 2020</w:t>
      </w:r>
      <w:r w:rsidR="00062B3D">
        <w:rPr>
          <w:rFonts w:cs="Tahoma"/>
          <w:szCs w:val="22"/>
        </w:rPr>
        <w:t xml:space="preserve"> ve formátu A5 o rozsahu 40-50 normostran textu</w:t>
      </w:r>
      <w:r w:rsidR="004E4149">
        <w:rPr>
          <w:szCs w:val="22"/>
        </w:rPr>
        <w:t xml:space="preserve"> </w:t>
      </w:r>
      <w:r w:rsidR="004E4149" w:rsidRPr="00515503">
        <w:rPr>
          <w:szCs w:val="22"/>
        </w:rPr>
        <w:t>(dále jen „</w:t>
      </w:r>
      <w:r w:rsidR="002339CC">
        <w:rPr>
          <w:b/>
          <w:bCs/>
          <w:szCs w:val="22"/>
        </w:rPr>
        <w:t>brožura</w:t>
      </w:r>
      <w:r w:rsidR="004E4149" w:rsidRPr="00515503">
        <w:rPr>
          <w:szCs w:val="22"/>
        </w:rPr>
        <w:t>“).</w:t>
      </w:r>
    </w:p>
    <w:p w14:paraId="1C6A6156" w14:textId="77777777" w:rsidR="004C09A1" w:rsidRDefault="004C09A1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</w:p>
    <w:p w14:paraId="3824DD3C" w14:textId="77777777" w:rsidR="00515503" w:rsidRPr="00EA531C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14:paraId="79481B17" w14:textId="77777777" w:rsidR="00515503" w:rsidRPr="00AE7A4F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AE7A4F">
        <w:rPr>
          <w:rFonts w:cs="Tahoma"/>
          <w:b/>
          <w:szCs w:val="22"/>
        </w:rPr>
        <w:t>Závazky smluvních stran</w:t>
      </w:r>
      <w:r w:rsidR="001559AF" w:rsidRPr="00AE7A4F">
        <w:rPr>
          <w:rFonts w:cs="Tahoma"/>
          <w:b/>
          <w:szCs w:val="22"/>
        </w:rPr>
        <w:t>, způsob plnění</w:t>
      </w:r>
      <w:r w:rsidR="004E4149" w:rsidRPr="00AE7A4F">
        <w:rPr>
          <w:rFonts w:cs="Tahoma"/>
          <w:b/>
          <w:szCs w:val="22"/>
        </w:rPr>
        <w:t xml:space="preserve"> a termíny</w:t>
      </w:r>
    </w:p>
    <w:p w14:paraId="43D65AA3" w14:textId="67609EF7" w:rsidR="00FE491C" w:rsidRPr="00EA746C" w:rsidRDefault="00515503" w:rsidP="00FA3335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20" w:line="240" w:lineRule="auto"/>
        <w:ind w:left="284" w:hanging="284"/>
        <w:contextualSpacing w:val="0"/>
        <w:jc w:val="both"/>
        <w:textAlignment w:val="auto"/>
        <w:rPr>
          <w:rFonts w:eastAsiaTheme="minorHAnsi" w:cstheme="minorBidi"/>
          <w:szCs w:val="22"/>
          <w:lang w:eastAsia="en-US"/>
        </w:rPr>
      </w:pPr>
      <w:r w:rsidRPr="00AE7A4F">
        <w:t xml:space="preserve">Dodavatel se zavazuje </w:t>
      </w:r>
      <w:r w:rsidR="001559AF" w:rsidRPr="00AE7A4F">
        <w:t>zpracovat</w:t>
      </w:r>
      <w:r w:rsidR="00BE5CA5" w:rsidRPr="00AE7A4F">
        <w:rPr>
          <w:szCs w:val="22"/>
        </w:rPr>
        <w:t xml:space="preserve"> </w:t>
      </w:r>
      <w:r w:rsidR="00FE491C">
        <w:rPr>
          <w:szCs w:val="22"/>
        </w:rPr>
        <w:t xml:space="preserve">a vytisknout </w:t>
      </w:r>
      <w:r w:rsidR="002339CC" w:rsidRPr="00AE7A4F">
        <w:rPr>
          <w:szCs w:val="22"/>
        </w:rPr>
        <w:t>brožuru</w:t>
      </w:r>
      <w:r w:rsidR="00BE5CA5" w:rsidRPr="00AE7A4F">
        <w:t xml:space="preserve"> </w:t>
      </w:r>
      <w:r w:rsidRPr="00AE7A4F">
        <w:t>v</w:t>
      </w:r>
      <w:r w:rsidR="00F07CE9" w:rsidRPr="00AE7A4F">
        <w:t> </w:t>
      </w:r>
      <w:r w:rsidRPr="00AE7A4F">
        <w:t>rozsahu</w:t>
      </w:r>
      <w:r w:rsidR="00F07CE9" w:rsidRPr="00AE7A4F">
        <w:t xml:space="preserve"> minimálně </w:t>
      </w:r>
      <w:r w:rsidR="00BB1616">
        <w:t>40 normostran</w:t>
      </w:r>
      <w:r w:rsidR="0055390C" w:rsidRPr="00AE7A4F">
        <w:t xml:space="preserve"> </w:t>
      </w:r>
      <w:r w:rsidR="00BB1616">
        <w:t xml:space="preserve">textu </w:t>
      </w:r>
      <w:r w:rsidR="002339CC" w:rsidRPr="00AE7A4F">
        <w:t xml:space="preserve">a veřejně ji vystavit na webových stránkách Asociace společenské odpovědnosti, dále pak dodat </w:t>
      </w:r>
      <w:r w:rsidR="009B1EA1" w:rsidRPr="00AE7A4F">
        <w:t xml:space="preserve">ji </w:t>
      </w:r>
      <w:r w:rsidR="002339CC" w:rsidRPr="00AE7A4F">
        <w:t xml:space="preserve">v tištěné podobě </w:t>
      </w:r>
      <w:r w:rsidR="009B1EA1" w:rsidRPr="00AE7A4F">
        <w:t>účastníkům</w:t>
      </w:r>
      <w:r w:rsidR="002339CC" w:rsidRPr="00AE7A4F">
        <w:t xml:space="preserve"> slavnostního předávání Cen SDGs </w:t>
      </w:r>
      <w:r w:rsidR="001559AF" w:rsidRPr="00AE7A4F">
        <w:t>v</w:t>
      </w:r>
      <w:r w:rsidR="004E4149" w:rsidRPr="00AE7A4F">
        <w:t xml:space="preserve"> termínu</w:t>
      </w:r>
      <w:r w:rsidR="001559AF" w:rsidRPr="00AE7A4F">
        <w:t xml:space="preserve"> do </w:t>
      </w:r>
      <w:r w:rsidR="00571558" w:rsidRPr="00AE7A4F">
        <w:rPr>
          <w:rFonts w:cstheme="minorHAnsi"/>
          <w:bCs/>
          <w:szCs w:val="22"/>
        </w:rPr>
        <w:t xml:space="preserve">30. září 2020 </w:t>
      </w:r>
      <w:r w:rsidR="00B66AFE" w:rsidRPr="00AE7A4F">
        <w:rPr>
          <w:rFonts w:cs="Tahoma"/>
          <w:szCs w:val="22"/>
        </w:rPr>
        <w:t xml:space="preserve">a </w:t>
      </w:r>
      <w:r w:rsidR="00B66AFE" w:rsidRPr="00AE7A4F">
        <w:t>umožnit osobě zmocněné k jednání za Partnera dle článku IX. této Smlouvy soustavné sledování provádění výstupů a respektovat jí navržená opatření na odstranění vad a nedostatků.</w:t>
      </w:r>
      <w:r w:rsidR="00FE491C">
        <w:t xml:space="preserve"> </w:t>
      </w:r>
    </w:p>
    <w:p w14:paraId="77D0E7F1" w14:textId="56E89FDD" w:rsidR="007C6CA6" w:rsidRPr="00FA3335" w:rsidRDefault="00515503" w:rsidP="00FA3335">
      <w:pPr>
        <w:pStyle w:val="Odstavecseseznamem"/>
        <w:numPr>
          <w:ilvl w:val="0"/>
          <w:numId w:val="27"/>
        </w:numPr>
        <w:tabs>
          <w:tab w:val="left" w:pos="284"/>
        </w:tabs>
        <w:overflowPunct/>
        <w:autoSpaceDE/>
        <w:autoSpaceDN/>
        <w:adjustRightInd/>
        <w:spacing w:after="240" w:line="240" w:lineRule="auto"/>
        <w:ind w:left="284" w:hanging="284"/>
        <w:jc w:val="both"/>
        <w:textAlignment w:val="auto"/>
        <w:rPr>
          <w:rFonts w:cs="Tahoma"/>
          <w:szCs w:val="22"/>
          <w:u w:val="single"/>
        </w:rPr>
      </w:pPr>
      <w:r w:rsidRPr="00FE491C">
        <w:rPr>
          <w:rFonts w:cs="Tahoma"/>
          <w:szCs w:val="22"/>
        </w:rPr>
        <w:t xml:space="preserve">Dodavatel se dále zavazuje </w:t>
      </w:r>
      <w:r w:rsidR="00373847" w:rsidRPr="00FE491C">
        <w:rPr>
          <w:rFonts w:cs="Tahoma"/>
          <w:szCs w:val="22"/>
        </w:rPr>
        <w:t>v</w:t>
      </w:r>
      <w:r w:rsidR="00A563D3" w:rsidRPr="00FE491C">
        <w:rPr>
          <w:rFonts w:cs="Tahoma"/>
          <w:szCs w:val="22"/>
        </w:rPr>
        <w:t> </w:t>
      </w:r>
      <w:r w:rsidR="002339CC" w:rsidRPr="00FE491C">
        <w:rPr>
          <w:rFonts w:cs="Tahoma"/>
          <w:szCs w:val="22"/>
        </w:rPr>
        <w:t>brožuře</w:t>
      </w:r>
      <w:r w:rsidR="00A563D3" w:rsidRPr="00FE491C">
        <w:rPr>
          <w:rFonts w:cs="Tahoma"/>
          <w:szCs w:val="22"/>
        </w:rPr>
        <w:t xml:space="preserve"> </w:t>
      </w:r>
      <w:r w:rsidRPr="00FE491C">
        <w:rPr>
          <w:rFonts w:cs="Tahoma"/>
          <w:szCs w:val="22"/>
        </w:rPr>
        <w:t xml:space="preserve">uvést </w:t>
      </w:r>
      <w:r w:rsidR="00A53466" w:rsidRPr="00FE491C">
        <w:rPr>
          <w:rFonts w:cs="Tahoma"/>
          <w:szCs w:val="22"/>
        </w:rPr>
        <w:t xml:space="preserve">oficiální logo Rady kvality </w:t>
      </w:r>
      <w:r w:rsidRPr="00FE491C">
        <w:rPr>
          <w:rFonts w:cs="Tahoma"/>
          <w:szCs w:val="22"/>
        </w:rPr>
        <w:t>České republiky</w:t>
      </w:r>
      <w:r w:rsidR="009446EE" w:rsidRPr="00FE491C">
        <w:rPr>
          <w:rFonts w:cs="Tahoma"/>
          <w:szCs w:val="22"/>
        </w:rPr>
        <w:t>, oficiální portál společenské odpovědnosti a kvality České republiky</w:t>
      </w:r>
      <w:r w:rsidR="00161A35" w:rsidRPr="00FE491C">
        <w:rPr>
          <w:rFonts w:cs="Tahoma"/>
          <w:szCs w:val="22"/>
        </w:rPr>
        <w:t xml:space="preserve"> </w:t>
      </w:r>
      <w:hyperlink r:id="rId11" w:history="1">
        <w:r w:rsidR="00225E8A" w:rsidRPr="00FE491C">
          <w:rPr>
            <w:rStyle w:val="Hypertextovodkaz"/>
            <w:rFonts w:cs="Tahoma"/>
            <w:szCs w:val="22"/>
          </w:rPr>
          <w:t>www.narodniportal.cz</w:t>
        </w:r>
      </w:hyperlink>
      <w:r w:rsidR="00225E8A" w:rsidRPr="00FE491C">
        <w:rPr>
          <w:rFonts w:cs="Tahoma"/>
          <w:szCs w:val="22"/>
        </w:rPr>
        <w:t xml:space="preserve"> </w:t>
      </w:r>
      <w:r w:rsidR="00161A35" w:rsidRPr="00FE491C">
        <w:rPr>
          <w:rFonts w:cs="Tahoma"/>
          <w:szCs w:val="22"/>
        </w:rPr>
        <w:t>a současně také větu, že „</w:t>
      </w:r>
      <w:r w:rsidR="002339CC" w:rsidRPr="00FE491C">
        <w:rPr>
          <w:rFonts w:cs="Tahoma"/>
          <w:szCs w:val="22"/>
        </w:rPr>
        <w:t xml:space="preserve">Brožura </w:t>
      </w:r>
      <w:r w:rsidR="004C5ACF" w:rsidRPr="00FE491C">
        <w:rPr>
          <w:rFonts w:cs="Tahoma"/>
          <w:szCs w:val="22"/>
        </w:rPr>
        <w:t xml:space="preserve">byla </w:t>
      </w:r>
      <w:r w:rsidR="00D92CA8" w:rsidRPr="00FE491C">
        <w:rPr>
          <w:rFonts w:cs="Tahoma"/>
          <w:szCs w:val="22"/>
        </w:rPr>
        <w:t>vytvořena</w:t>
      </w:r>
      <w:r w:rsidR="004C5ACF" w:rsidRPr="00FE491C">
        <w:rPr>
          <w:rFonts w:cs="Tahoma"/>
          <w:szCs w:val="22"/>
        </w:rPr>
        <w:t xml:space="preserve"> za finanční podpory Rady kvality České republiky</w:t>
      </w:r>
      <w:r w:rsidR="00225E8A" w:rsidRPr="00FE491C">
        <w:rPr>
          <w:rFonts w:cs="Tahoma"/>
          <w:szCs w:val="22"/>
        </w:rPr>
        <w:t>“</w:t>
      </w:r>
      <w:r w:rsidR="004C5ACF" w:rsidRPr="00FE491C">
        <w:rPr>
          <w:rFonts w:cs="Tahoma"/>
          <w:szCs w:val="22"/>
        </w:rPr>
        <w:t>.</w:t>
      </w:r>
      <w:r w:rsidR="00A563D3" w:rsidRPr="00FE491C">
        <w:rPr>
          <w:rFonts w:cs="Tahoma"/>
          <w:szCs w:val="22"/>
        </w:rPr>
        <w:t xml:space="preserve"> </w:t>
      </w:r>
      <w:r w:rsidR="00B509ED" w:rsidRPr="00FE491C">
        <w:rPr>
          <w:rFonts w:cs="Tahoma"/>
          <w:szCs w:val="22"/>
        </w:rPr>
        <w:t>S</w:t>
      </w:r>
      <w:r w:rsidRPr="00FE491C">
        <w:rPr>
          <w:rFonts w:cstheme="minorHAnsi"/>
          <w:bCs/>
          <w:szCs w:val="22"/>
        </w:rPr>
        <w:t xml:space="preserve">plnění tohoto závazku </w:t>
      </w:r>
      <w:r w:rsidR="00B509ED" w:rsidRPr="00FE491C">
        <w:rPr>
          <w:rFonts w:cstheme="minorHAnsi"/>
          <w:bCs/>
          <w:szCs w:val="22"/>
        </w:rPr>
        <w:t xml:space="preserve">dodavatel </w:t>
      </w:r>
      <w:r w:rsidRPr="00FE491C">
        <w:rPr>
          <w:rFonts w:cstheme="minorHAnsi"/>
          <w:bCs/>
          <w:szCs w:val="22"/>
        </w:rPr>
        <w:t xml:space="preserve">doloží tak, že Partnerovi nejpozději </w:t>
      </w:r>
      <w:r w:rsidR="00B509ED" w:rsidRPr="00FE491C">
        <w:rPr>
          <w:rFonts w:cstheme="minorHAnsi"/>
          <w:bCs/>
          <w:szCs w:val="22"/>
        </w:rPr>
        <w:t xml:space="preserve">do </w:t>
      </w:r>
      <w:r w:rsidRPr="00FE491C">
        <w:rPr>
          <w:rFonts w:cstheme="minorHAnsi"/>
          <w:bCs/>
          <w:szCs w:val="22"/>
        </w:rPr>
        <w:t xml:space="preserve">30. září 2020 doručí </w:t>
      </w:r>
      <w:r w:rsidR="00B61ED5" w:rsidRPr="00FE491C">
        <w:rPr>
          <w:rFonts w:cstheme="minorHAnsi"/>
          <w:bCs/>
          <w:szCs w:val="22"/>
        </w:rPr>
        <w:t xml:space="preserve">1x </w:t>
      </w:r>
      <w:r w:rsidR="005519AA" w:rsidRPr="00B52093">
        <w:rPr>
          <w:rFonts w:cstheme="minorHAnsi"/>
          <w:bCs/>
          <w:szCs w:val="22"/>
        </w:rPr>
        <w:t xml:space="preserve">výtisk </w:t>
      </w:r>
      <w:r w:rsidR="009E2C7B" w:rsidRPr="00B52093">
        <w:rPr>
          <w:rFonts w:cstheme="minorHAnsi"/>
          <w:bCs/>
          <w:szCs w:val="22"/>
        </w:rPr>
        <w:t xml:space="preserve">konečného znění </w:t>
      </w:r>
      <w:r w:rsidR="00B61ED5" w:rsidRPr="006C3FDA">
        <w:rPr>
          <w:rFonts w:cstheme="minorHAnsi"/>
          <w:bCs/>
          <w:szCs w:val="22"/>
        </w:rPr>
        <w:t xml:space="preserve">předmětné </w:t>
      </w:r>
      <w:r w:rsidR="001905F9" w:rsidRPr="006C3FDA">
        <w:rPr>
          <w:rFonts w:cstheme="minorHAnsi"/>
          <w:bCs/>
          <w:szCs w:val="22"/>
        </w:rPr>
        <w:t>brožury</w:t>
      </w:r>
      <w:r w:rsidR="00B61ED5" w:rsidRPr="006C3FDA">
        <w:rPr>
          <w:rFonts w:cstheme="minorHAnsi"/>
          <w:bCs/>
          <w:szCs w:val="22"/>
        </w:rPr>
        <w:t xml:space="preserve"> </w:t>
      </w:r>
      <w:r w:rsidR="00CC1B98" w:rsidRPr="006C3FDA">
        <w:rPr>
          <w:rFonts w:cstheme="minorHAnsi"/>
          <w:bCs/>
          <w:szCs w:val="22"/>
        </w:rPr>
        <w:t xml:space="preserve">a Sekretariátu </w:t>
      </w:r>
      <w:r w:rsidR="00CC1B98" w:rsidRPr="006C3FDA">
        <w:rPr>
          <w:rFonts w:cs="Tahoma"/>
          <w:szCs w:val="22"/>
        </w:rPr>
        <w:t>Rady kvality České republiky</w:t>
      </w:r>
      <w:r w:rsidR="00CC1B98" w:rsidRPr="00FB1646">
        <w:rPr>
          <w:rFonts w:cstheme="minorHAnsi"/>
          <w:bCs/>
          <w:szCs w:val="22"/>
        </w:rPr>
        <w:t xml:space="preserve"> </w:t>
      </w:r>
      <w:r w:rsidR="00F746BE" w:rsidRPr="00FB1646">
        <w:rPr>
          <w:rFonts w:cstheme="minorHAnsi"/>
          <w:bCs/>
          <w:szCs w:val="22"/>
        </w:rPr>
        <w:t>pak i</w:t>
      </w:r>
      <w:r w:rsidR="00CC1B98" w:rsidRPr="000E6B5A">
        <w:rPr>
          <w:rFonts w:cstheme="minorHAnsi"/>
          <w:bCs/>
          <w:szCs w:val="22"/>
        </w:rPr>
        <w:t xml:space="preserve"> </w:t>
      </w:r>
      <w:r w:rsidR="00CB29CD" w:rsidRPr="000E6B5A">
        <w:rPr>
          <w:rFonts w:cstheme="minorHAnsi"/>
          <w:bCs/>
          <w:szCs w:val="22"/>
        </w:rPr>
        <w:t xml:space="preserve">odkaz </w:t>
      </w:r>
      <w:r w:rsidR="00730980" w:rsidRPr="000E6B5A">
        <w:rPr>
          <w:rFonts w:cstheme="minorHAnsi"/>
          <w:bCs/>
          <w:szCs w:val="22"/>
        </w:rPr>
        <w:t xml:space="preserve">na </w:t>
      </w:r>
      <w:r w:rsidR="00CB29CD" w:rsidRPr="000E6B5A">
        <w:rPr>
          <w:rFonts w:cstheme="minorHAnsi"/>
          <w:bCs/>
          <w:szCs w:val="22"/>
        </w:rPr>
        <w:t>adresu</w:t>
      </w:r>
      <w:r w:rsidR="000B1BE9" w:rsidRPr="00FA3335">
        <w:rPr>
          <w:rFonts w:cstheme="minorHAnsi"/>
          <w:bCs/>
          <w:szCs w:val="22"/>
        </w:rPr>
        <w:t xml:space="preserve">, kde byla předmětná </w:t>
      </w:r>
      <w:r w:rsidR="001905F9" w:rsidRPr="00FA3335">
        <w:rPr>
          <w:rFonts w:cstheme="minorHAnsi"/>
          <w:bCs/>
          <w:szCs w:val="22"/>
        </w:rPr>
        <w:t>brožura</w:t>
      </w:r>
      <w:r w:rsidR="00785D9E" w:rsidRPr="00FA3335">
        <w:rPr>
          <w:rFonts w:cstheme="minorHAnsi"/>
          <w:bCs/>
          <w:szCs w:val="22"/>
        </w:rPr>
        <w:t xml:space="preserve"> (s možností si ji stáhnout)</w:t>
      </w:r>
      <w:r w:rsidR="000B1BE9" w:rsidRPr="00FA3335">
        <w:rPr>
          <w:rFonts w:cstheme="minorHAnsi"/>
          <w:bCs/>
          <w:szCs w:val="22"/>
        </w:rPr>
        <w:t xml:space="preserve"> </w:t>
      </w:r>
      <w:r w:rsidR="00730980" w:rsidRPr="00FA3335">
        <w:rPr>
          <w:rFonts w:cstheme="minorHAnsi"/>
          <w:bCs/>
          <w:szCs w:val="22"/>
        </w:rPr>
        <w:t>uveřejněn</w:t>
      </w:r>
      <w:r w:rsidR="000B1BE9" w:rsidRPr="00FA3335">
        <w:rPr>
          <w:rFonts w:cstheme="minorHAnsi"/>
          <w:bCs/>
          <w:szCs w:val="22"/>
        </w:rPr>
        <w:t>a.</w:t>
      </w:r>
    </w:p>
    <w:p w14:paraId="245F07C8" w14:textId="36BE0729" w:rsidR="00A563D3" w:rsidRPr="00FE491C" w:rsidRDefault="0095486F" w:rsidP="00FA3335">
      <w:pPr>
        <w:pStyle w:val="Odstavecseseznamem"/>
        <w:numPr>
          <w:ilvl w:val="0"/>
          <w:numId w:val="27"/>
        </w:numPr>
        <w:tabs>
          <w:tab w:val="left" w:pos="284"/>
        </w:tabs>
        <w:overflowPunct/>
        <w:autoSpaceDE/>
        <w:autoSpaceDN/>
        <w:adjustRightInd/>
        <w:spacing w:after="240" w:line="240" w:lineRule="auto"/>
        <w:ind w:left="284" w:hanging="284"/>
        <w:jc w:val="both"/>
        <w:textAlignment w:val="auto"/>
        <w:rPr>
          <w:rFonts w:cs="Tahoma"/>
          <w:szCs w:val="22"/>
          <w:u w:val="single"/>
        </w:rPr>
      </w:pPr>
      <w:r w:rsidRPr="00FE491C">
        <w:rPr>
          <w:rFonts w:cs="Tahoma"/>
          <w:szCs w:val="22"/>
        </w:rPr>
        <w:t>Partner se zavazuje</w:t>
      </w:r>
      <w:r w:rsidRPr="00AE7A4F">
        <w:t xml:space="preserve"> dílo převzít a zaplatit za něj Dodavateli cenu, která je sjednána v</w:t>
      </w:r>
      <w:r w:rsidR="004C09A1" w:rsidRPr="00AE7A4F">
        <w:t> </w:t>
      </w:r>
      <w:r w:rsidRPr="00AE7A4F">
        <w:t xml:space="preserve">článku IV. </w:t>
      </w:r>
      <w:r w:rsidR="004C09A1" w:rsidRPr="00AE7A4F">
        <w:t>O</w:t>
      </w:r>
      <w:r w:rsidRPr="00AE7A4F">
        <w:t>dst. 1 této Smlouvy, pokud Dodavatel splní svou povinnost řádně a včas dle podmínek uvedených v</w:t>
      </w:r>
      <w:r w:rsidR="004C09A1" w:rsidRPr="00AE7A4F">
        <w:t> </w:t>
      </w:r>
      <w:r w:rsidRPr="00AE7A4F">
        <w:t>této Smlouvě.</w:t>
      </w:r>
    </w:p>
    <w:p w14:paraId="6CBA479D" w14:textId="19EFF0F3" w:rsidR="00A563D3" w:rsidRPr="00FE491C" w:rsidRDefault="0095486F" w:rsidP="00FA3335">
      <w:pPr>
        <w:pStyle w:val="Odstavecseseznamem"/>
        <w:numPr>
          <w:ilvl w:val="0"/>
          <w:numId w:val="27"/>
        </w:numPr>
        <w:tabs>
          <w:tab w:val="left" w:pos="284"/>
        </w:tabs>
        <w:overflowPunct/>
        <w:autoSpaceDE/>
        <w:autoSpaceDN/>
        <w:adjustRightInd/>
        <w:spacing w:after="240" w:line="240" w:lineRule="auto"/>
        <w:ind w:left="284" w:hanging="284"/>
        <w:jc w:val="both"/>
        <w:textAlignment w:val="auto"/>
        <w:rPr>
          <w:rFonts w:cs="Tahoma"/>
          <w:szCs w:val="22"/>
          <w:u w:val="single"/>
        </w:rPr>
      </w:pPr>
      <w:r w:rsidRPr="00FE491C">
        <w:rPr>
          <w:rFonts w:cs="Tahoma"/>
        </w:rPr>
        <w:t xml:space="preserve">Smluvní strany se zavazují poskytovat si vzájemně </w:t>
      </w:r>
      <w:r w:rsidRPr="00AE7A4F">
        <w:t>součinnost po celou dobu plnění předmětu Smlouvy. Partner se zavazuje předávat Dodavateli informace a pokyny a na jeho písemné vyžádání jím konkretizované materiály potřebné k</w:t>
      </w:r>
      <w:r w:rsidR="004C09A1" w:rsidRPr="00AE7A4F">
        <w:t> </w:t>
      </w:r>
      <w:r w:rsidRPr="00AE7A4F">
        <w:t>zajištění předmětu Smlouvy, pokud je má k</w:t>
      </w:r>
      <w:r w:rsidR="004C09A1" w:rsidRPr="00AE7A4F">
        <w:t> </w:t>
      </w:r>
      <w:r w:rsidRPr="00AE7A4F">
        <w:t>dispozici, pokud je zhotovitel nemůže získat jiným způsobem a zákonné důvody nebrání jejich poskytnutí.</w:t>
      </w:r>
    </w:p>
    <w:p w14:paraId="415A4892" w14:textId="33BA3215" w:rsidR="00A563D3" w:rsidRPr="00FE491C" w:rsidRDefault="0095486F" w:rsidP="00FA3335">
      <w:pPr>
        <w:pStyle w:val="Odstavecseseznamem"/>
        <w:numPr>
          <w:ilvl w:val="0"/>
          <w:numId w:val="27"/>
        </w:numPr>
        <w:tabs>
          <w:tab w:val="left" w:pos="284"/>
        </w:tabs>
        <w:overflowPunct/>
        <w:autoSpaceDE/>
        <w:autoSpaceDN/>
        <w:adjustRightInd/>
        <w:spacing w:after="240" w:line="240" w:lineRule="auto"/>
        <w:ind w:left="284" w:hanging="284"/>
        <w:jc w:val="both"/>
        <w:textAlignment w:val="auto"/>
        <w:rPr>
          <w:rFonts w:cs="Tahoma"/>
          <w:szCs w:val="22"/>
          <w:u w:val="single"/>
        </w:rPr>
      </w:pPr>
      <w:r w:rsidRPr="00AE7A4F">
        <w:t xml:space="preserve">Po převzetí </w:t>
      </w:r>
      <w:r w:rsidR="001905F9" w:rsidRPr="00AE7A4F">
        <w:t xml:space="preserve">brožury </w:t>
      </w:r>
      <w:r w:rsidRPr="00AE7A4F">
        <w:t>v</w:t>
      </w:r>
      <w:r w:rsidR="004C09A1" w:rsidRPr="00AE7A4F">
        <w:t> </w:t>
      </w:r>
      <w:r w:rsidRPr="00AE7A4F">
        <w:t>termínu sjednaném v</w:t>
      </w:r>
      <w:r w:rsidR="004C09A1" w:rsidRPr="00AE7A4F">
        <w:t> </w:t>
      </w:r>
      <w:r w:rsidRPr="00AE7A4F">
        <w:t>tomto článku Partner provede její akceptaci, a to do 5 pracovních dnů ode dne jejich převzetí. V</w:t>
      </w:r>
      <w:r w:rsidR="004C09A1" w:rsidRPr="00AE7A4F">
        <w:t> </w:t>
      </w:r>
      <w:r w:rsidRPr="00AE7A4F">
        <w:t>případě, že budou v</w:t>
      </w:r>
      <w:r w:rsidR="004C09A1" w:rsidRPr="00AE7A4F">
        <w:t> </w:t>
      </w:r>
      <w:r w:rsidRPr="00AE7A4F">
        <w:t xml:space="preserve">odevzdané </w:t>
      </w:r>
      <w:r w:rsidR="000B475E" w:rsidRPr="00AE7A4F">
        <w:t>brožuře</w:t>
      </w:r>
      <w:r w:rsidRPr="00AE7A4F">
        <w:t xml:space="preserve"> během akceptační doby shledány nedostatky, vrátí Partner studii Dodavateli k</w:t>
      </w:r>
      <w:r w:rsidR="004C09A1" w:rsidRPr="00AE7A4F">
        <w:t> </w:t>
      </w:r>
      <w:r w:rsidRPr="00AE7A4F">
        <w:t xml:space="preserve">přepracování. Dodavatel odstraní tyto nedostatky ve lhůtě do 5 pracovních dnů od vrácení </w:t>
      </w:r>
      <w:r w:rsidR="000B475E" w:rsidRPr="00AE7A4F">
        <w:t>brožury</w:t>
      </w:r>
      <w:r w:rsidRPr="00AE7A4F">
        <w:t xml:space="preserve"> k</w:t>
      </w:r>
      <w:r w:rsidR="004C09A1" w:rsidRPr="00AE7A4F">
        <w:t> </w:t>
      </w:r>
      <w:r w:rsidRPr="00AE7A4F">
        <w:t xml:space="preserve">přepracování. Odevzdáním </w:t>
      </w:r>
      <w:r w:rsidR="000B475E" w:rsidRPr="00AE7A4F">
        <w:t>brožury</w:t>
      </w:r>
      <w:r w:rsidRPr="00AE7A4F">
        <w:t xml:space="preserve"> po odstranění nedostatků počíná běžet nová akceptační lhůta v</w:t>
      </w:r>
      <w:r w:rsidR="004C09A1" w:rsidRPr="00AE7A4F">
        <w:t> </w:t>
      </w:r>
      <w:r w:rsidRPr="00AE7A4F">
        <w:t>délce 5</w:t>
      </w:r>
      <w:r w:rsidR="001A1DFC" w:rsidRPr="00AE7A4F">
        <w:t> </w:t>
      </w:r>
      <w:r w:rsidRPr="00AE7A4F">
        <w:t>pracovních dní. Nezašle-li osoba zmocněná k</w:t>
      </w:r>
      <w:r w:rsidR="004C09A1" w:rsidRPr="00AE7A4F">
        <w:t> </w:t>
      </w:r>
      <w:r w:rsidRPr="00AE7A4F">
        <w:t>jednání za Partnera shledané nedostatky do 5</w:t>
      </w:r>
      <w:r w:rsidR="001A1DFC" w:rsidRPr="00AE7A4F">
        <w:t> </w:t>
      </w:r>
      <w:r w:rsidR="001905F9" w:rsidRPr="00AE7A4F">
        <w:t xml:space="preserve">pracovních </w:t>
      </w:r>
      <w:r w:rsidRPr="00AE7A4F">
        <w:t xml:space="preserve">dnů Dodavateli, je </w:t>
      </w:r>
      <w:r w:rsidR="001905F9" w:rsidRPr="00AE7A4F">
        <w:t>brožura</w:t>
      </w:r>
      <w:r w:rsidRPr="00AE7A4F">
        <w:t xml:space="preserve"> uplynutím této lhůty považovaná za akceptovanou. Po úspěšné akceptaci </w:t>
      </w:r>
      <w:r w:rsidR="001905F9" w:rsidRPr="00AE7A4F">
        <w:t xml:space="preserve">brožury </w:t>
      </w:r>
      <w:r w:rsidRPr="00AE7A4F">
        <w:t>podepíší osoby zmocněné k</w:t>
      </w:r>
      <w:r w:rsidR="004C09A1" w:rsidRPr="00AE7A4F">
        <w:t> </w:t>
      </w:r>
      <w:r w:rsidRPr="00AE7A4F">
        <w:t xml:space="preserve">jednání akceptační protokoly, jako podklad pro vystavení faktury. Akceptační protokol o úspěšné akceptaci </w:t>
      </w:r>
      <w:r w:rsidR="001905F9" w:rsidRPr="00AE7A4F">
        <w:t>brožury potvrzené</w:t>
      </w:r>
      <w:r w:rsidRPr="00AE7A4F">
        <w:t xml:space="preserve"> Partnerem, je podkladem pro vystavení faktury Dodavatelem a tvoří její nedílnou součást.</w:t>
      </w:r>
    </w:p>
    <w:p w14:paraId="3F9EF0AA" w14:textId="3FAE7D0D" w:rsidR="0095486F" w:rsidRPr="003559D7" w:rsidRDefault="0095486F" w:rsidP="00FA3335">
      <w:pPr>
        <w:pStyle w:val="Odstavecseseznamem"/>
        <w:numPr>
          <w:ilvl w:val="0"/>
          <w:numId w:val="27"/>
        </w:numPr>
        <w:tabs>
          <w:tab w:val="left" w:pos="284"/>
        </w:tabs>
        <w:overflowPunct/>
        <w:autoSpaceDE/>
        <w:autoSpaceDN/>
        <w:adjustRightInd/>
        <w:spacing w:after="240" w:line="240" w:lineRule="auto"/>
        <w:ind w:left="284" w:hanging="284"/>
        <w:jc w:val="both"/>
        <w:textAlignment w:val="auto"/>
        <w:rPr>
          <w:rFonts w:cs="Tahoma"/>
          <w:szCs w:val="22"/>
          <w:u w:val="single"/>
        </w:rPr>
      </w:pPr>
      <w:r w:rsidRPr="003559D7">
        <w:t xml:space="preserve">Dodavatel </w:t>
      </w:r>
      <w:r w:rsidR="003559D7" w:rsidRPr="003559D7">
        <w:t xml:space="preserve">může </w:t>
      </w:r>
      <w:r w:rsidRPr="003559D7">
        <w:t>pověřit zhotovením díla třetí osobu.</w:t>
      </w:r>
    </w:p>
    <w:p w14:paraId="048FE86C" w14:textId="7777777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14:paraId="1FD4174E" w14:textId="77777777" w:rsidR="00515503" w:rsidRPr="00CD0515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14:paraId="268EDB49" w14:textId="77777777" w:rsidR="00515503" w:rsidRPr="00B0617B" w:rsidRDefault="0095486F" w:rsidP="004C09A1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Celková c</w:t>
      </w:r>
      <w:r w:rsidR="00515503" w:rsidRPr="00AF4763">
        <w:rPr>
          <w:rFonts w:cs="Tahoma"/>
          <w:szCs w:val="22"/>
        </w:rPr>
        <w:t xml:space="preserve">ena za plnění dle Smlouvy </w:t>
      </w:r>
      <w:r w:rsidR="00515503" w:rsidRPr="005B2D01">
        <w:rPr>
          <w:rFonts w:cs="Tahoma"/>
          <w:szCs w:val="22"/>
        </w:rPr>
        <w:t>činí</w:t>
      </w:r>
      <w:r w:rsidR="00515503">
        <w:rPr>
          <w:rFonts w:cs="Tahoma"/>
          <w:szCs w:val="22"/>
        </w:rPr>
        <w:t xml:space="preserve"> </w:t>
      </w:r>
      <w:r w:rsidR="003D2AD8">
        <w:rPr>
          <w:rFonts w:cs="Tahoma"/>
          <w:szCs w:val="22"/>
        </w:rPr>
        <w:t>5</w:t>
      </w:r>
      <w:r w:rsidR="00AF6FD8">
        <w:rPr>
          <w:rFonts w:cs="Tahoma"/>
          <w:szCs w:val="22"/>
        </w:rPr>
        <w:t>0.000</w:t>
      </w:r>
      <w:r w:rsidR="00515503" w:rsidRPr="005B2D01">
        <w:rPr>
          <w:rFonts w:cs="Tahoma"/>
          <w:szCs w:val="22"/>
        </w:rPr>
        <w:t xml:space="preserve">,- Kč </w:t>
      </w:r>
      <w:r w:rsidR="00515503" w:rsidRPr="000E389D">
        <w:rPr>
          <w:rFonts w:cs="Tahoma"/>
          <w:szCs w:val="22"/>
        </w:rPr>
        <w:t xml:space="preserve">(slovy: </w:t>
      </w:r>
      <w:r w:rsidR="003D2AD8">
        <w:rPr>
          <w:rFonts w:cs="Tahoma"/>
          <w:szCs w:val="22"/>
        </w:rPr>
        <w:t>padesát</w:t>
      </w:r>
      <w:r w:rsidR="00107676">
        <w:rPr>
          <w:rFonts w:cs="Tahoma"/>
          <w:szCs w:val="22"/>
        </w:rPr>
        <w:t xml:space="preserve"> tisíc</w:t>
      </w:r>
      <w:r w:rsidR="00515503">
        <w:rPr>
          <w:rFonts w:cs="Tahoma"/>
          <w:szCs w:val="22"/>
        </w:rPr>
        <w:t xml:space="preserve"> </w:t>
      </w:r>
      <w:r w:rsidR="00515503" w:rsidRPr="005B2D01">
        <w:rPr>
          <w:rFonts w:cs="Tahoma"/>
          <w:szCs w:val="22"/>
        </w:rPr>
        <w:t xml:space="preserve">korun českých) </w:t>
      </w:r>
      <w:r w:rsidR="00515503">
        <w:rPr>
          <w:rFonts w:cs="Tahoma"/>
          <w:szCs w:val="22"/>
        </w:rPr>
        <w:t xml:space="preserve">bez </w:t>
      </w:r>
      <w:r w:rsidR="00515503" w:rsidRPr="005B2D01">
        <w:rPr>
          <w:rFonts w:cs="Tahoma"/>
          <w:szCs w:val="22"/>
        </w:rPr>
        <w:t>DPH. Celková cena je konečná a nejvýše přípustná a zahrnuje veškeré náklady Dodavatele</w:t>
      </w:r>
      <w:r w:rsidR="00515503">
        <w:rPr>
          <w:rFonts w:cs="Tahoma"/>
          <w:szCs w:val="22"/>
        </w:rPr>
        <w:t xml:space="preserve"> v</w:t>
      </w:r>
      <w:r w:rsidR="004C09A1">
        <w:rPr>
          <w:rFonts w:cs="Tahoma"/>
          <w:szCs w:val="22"/>
        </w:rPr>
        <w:t> </w:t>
      </w:r>
      <w:r w:rsidR="00515503">
        <w:rPr>
          <w:rFonts w:cs="Tahoma"/>
          <w:szCs w:val="22"/>
        </w:rPr>
        <w:t>souvislosti s</w:t>
      </w:r>
      <w:r w:rsidR="004C09A1">
        <w:rPr>
          <w:rFonts w:cs="Tahoma"/>
          <w:szCs w:val="22"/>
        </w:rPr>
        <w:t> </w:t>
      </w:r>
      <w:r w:rsidR="00515503">
        <w:rPr>
          <w:rFonts w:cs="Tahoma"/>
          <w:szCs w:val="22"/>
        </w:rPr>
        <w:t>plněním smlouvy</w:t>
      </w:r>
      <w:r w:rsidR="00515503" w:rsidRPr="00B0617B">
        <w:rPr>
          <w:rFonts w:cs="Tahoma"/>
          <w:szCs w:val="22"/>
        </w:rPr>
        <w:t>.</w:t>
      </w:r>
    </w:p>
    <w:p w14:paraId="517F5217" w14:textId="77777777" w:rsidR="00515503" w:rsidRPr="001617CE" w:rsidRDefault="00515503" w:rsidP="004C09A1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 xml:space="preserve">po splnění závazků podle Čl. III. </w:t>
      </w:r>
      <w:r w:rsidR="004C09A1">
        <w:rPr>
          <w:rFonts w:cs="Tahoma"/>
          <w:szCs w:val="22"/>
        </w:rPr>
        <w:t>T</w:t>
      </w:r>
      <w:r>
        <w:rPr>
          <w:rFonts w:cs="Tahoma"/>
          <w:szCs w:val="22"/>
        </w:rPr>
        <w:t xml:space="preserve">éto Smlouvy, po </w:t>
      </w:r>
      <w:r w:rsidR="00315700">
        <w:rPr>
          <w:rFonts w:cs="Tahoma"/>
          <w:szCs w:val="22"/>
        </w:rPr>
        <w:t>uveřejnění</w:t>
      </w:r>
      <w:r w:rsidR="003E08F0">
        <w:rPr>
          <w:rFonts w:cs="Tahoma"/>
          <w:szCs w:val="22"/>
        </w:rPr>
        <w:t xml:space="preserve"> </w:t>
      </w:r>
      <w:r w:rsidR="000B475E">
        <w:rPr>
          <w:rFonts w:cs="Tahoma"/>
          <w:szCs w:val="22"/>
        </w:rPr>
        <w:t>brožury</w:t>
      </w:r>
      <w:r>
        <w:rPr>
          <w:rFonts w:cs="Tahoma"/>
          <w:szCs w:val="22"/>
        </w:rPr>
        <w:t xml:space="preserve"> a podpisu akceptačního protokolu</w:t>
      </w:r>
      <w:r w:rsidRPr="001617CE">
        <w:rPr>
          <w:rFonts w:cs="Tahoma"/>
          <w:szCs w:val="22"/>
        </w:rPr>
        <w:t xml:space="preserve">. </w:t>
      </w:r>
    </w:p>
    <w:p w14:paraId="1C7D1CA4" w14:textId="77777777" w:rsidR="00515503" w:rsidRPr="00AD17B3" w:rsidRDefault="00515503" w:rsidP="004C09A1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Nebude-li faktura obsahovat zákonem a touto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mlouvou stanovené náležitost</w:t>
      </w:r>
      <w:r>
        <w:rPr>
          <w:rFonts w:asciiTheme="minorHAnsi" w:hAnsiTheme="minorHAnsi" w:cs="Times New Roman"/>
        </w:rPr>
        <w:t>i</w:t>
      </w:r>
      <w:r w:rsidRPr="00AD17B3">
        <w:rPr>
          <w:rFonts w:asciiTheme="minorHAnsi" w:hAnsiTheme="minorHAnsi" w:cs="Times New Roman"/>
        </w:rPr>
        <w:t xml:space="preserve"> nebo bude-li obsahovat chybné údaje,</w:t>
      </w:r>
      <w:r>
        <w:rPr>
          <w:rFonts w:asciiTheme="minorHAnsi" w:hAnsiTheme="minorHAnsi" w:cs="Times New Roman"/>
        </w:rPr>
        <w:t xml:space="preserve"> nebo nebude-li přiložena kopie akceptačního protokolu,</w:t>
      </w:r>
      <w:r w:rsidRPr="00AD17B3">
        <w:rPr>
          <w:rFonts w:asciiTheme="minorHAnsi" w:hAnsiTheme="minorHAnsi" w:cs="Times New Roman"/>
        </w:rPr>
        <w:t xml:space="preserve"> je </w:t>
      </w: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oprávněn fakturu před uplynutím lhůty splatnosti vrátit </w:t>
      </w:r>
      <w:r>
        <w:rPr>
          <w:rFonts w:asciiTheme="minorHAnsi" w:hAnsiTheme="minorHAnsi" w:cs="Times New Roman"/>
        </w:rPr>
        <w:t>Dodavateli</w:t>
      </w:r>
      <w:r w:rsidRPr="00AD17B3">
        <w:rPr>
          <w:rFonts w:asciiTheme="minorHAnsi" w:hAnsiTheme="minorHAnsi" w:cs="Times New Roman"/>
        </w:rPr>
        <w:t xml:space="preserve"> k</w:t>
      </w:r>
      <w:r w:rsidR="004C09A1"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provedení opravy. Ve vrácené faktuře vyznačí důvod vrácení. </w:t>
      </w:r>
      <w:r>
        <w:rPr>
          <w:rFonts w:asciiTheme="minorHAnsi" w:hAnsiTheme="minorHAnsi" w:cs="Times New Roman"/>
        </w:rPr>
        <w:t xml:space="preserve">Dodavatel </w:t>
      </w:r>
      <w:r w:rsidRPr="00AD17B3">
        <w:rPr>
          <w:rFonts w:asciiTheme="minorHAnsi" w:hAnsiTheme="minorHAns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Theme="minorHAnsi" w:hAnsiTheme="minorHAnsi" w:cs="Times New Roman"/>
        </w:rPr>
        <w:t>Partnerovi</w:t>
      </w:r>
      <w:r w:rsidRPr="00AD17B3">
        <w:rPr>
          <w:rFonts w:asciiTheme="minorHAnsi" w:hAnsiTheme="minorHAnsi" w:cs="Times New Roman"/>
        </w:rPr>
        <w:t>.</w:t>
      </w:r>
    </w:p>
    <w:p w14:paraId="06C082B8" w14:textId="77777777" w:rsidR="00515503" w:rsidRPr="00B00C03" w:rsidRDefault="00515503" w:rsidP="004C09A1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eastAsia="Calibri"/>
          <w:szCs w:val="22"/>
          <w:lang w:eastAsia="en-US"/>
        </w:rPr>
      </w:pPr>
      <w:r w:rsidRPr="00B00C03">
        <w:rPr>
          <w:rFonts w:eastAsia="Calibri"/>
          <w:szCs w:val="22"/>
          <w:lang w:eastAsia="en-US"/>
        </w:rPr>
        <w:lastRenderedPageBreak/>
        <w:t>Podkladem pro úhradu smluvní ceny je faktura, která bude mít náležitosti dle zákona č. 235/2004 Sb., o dani z</w:t>
      </w:r>
      <w:r w:rsidR="004C09A1">
        <w:rPr>
          <w:rFonts w:eastAsia="Calibri"/>
          <w:szCs w:val="22"/>
          <w:lang w:eastAsia="en-US"/>
        </w:rPr>
        <w:t> </w:t>
      </w:r>
      <w:r w:rsidRPr="00B00C03">
        <w:rPr>
          <w:rFonts w:eastAsia="Calibri"/>
          <w:szCs w:val="22"/>
          <w:lang w:eastAsia="en-US"/>
        </w:rPr>
        <w:t xml:space="preserve">přidané hodnoty, zákona č. 563/1991 Sb., o účetnictví, a § 435 občanského zákoníku, to vše ve znění pozdějších předpisů. </w:t>
      </w:r>
    </w:p>
    <w:p w14:paraId="226376BB" w14:textId="77777777" w:rsidR="00515503" w:rsidRPr="00B00C03" w:rsidRDefault="00515503" w:rsidP="004C09A1">
      <w:pPr>
        <w:pStyle w:val="Zkladntext"/>
        <w:widowControl w:val="0"/>
        <w:numPr>
          <w:ilvl w:val="0"/>
          <w:numId w:val="1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eastAsia="Calibri"/>
          <w:szCs w:val="22"/>
          <w:lang w:eastAsia="en-US"/>
        </w:rPr>
      </w:pPr>
      <w:r w:rsidRPr="00B00C03">
        <w:rPr>
          <w:rFonts w:eastAsia="Calibri"/>
          <w:szCs w:val="22"/>
          <w:lang w:eastAsia="en-US"/>
        </w:rPr>
        <w:t>Fakturační adresa Partnera je Ministerstvo průmyslu a obchodu, Na Františku 32, 110 15 Praha 1.</w:t>
      </w:r>
    </w:p>
    <w:p w14:paraId="5CCEAC03" w14:textId="77777777" w:rsidR="00515503" w:rsidRPr="00B00C03" w:rsidRDefault="00515503" w:rsidP="004C09A1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/>
        <w:ind w:left="284" w:hanging="28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neposkytuje jakékoliv zálohy ceny na úhradu předmětu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mlouvy.</w:t>
      </w:r>
    </w:p>
    <w:p w14:paraId="7FA9E540" w14:textId="77777777" w:rsidR="00515503" w:rsidRPr="00AD17B3" w:rsidRDefault="00515503" w:rsidP="004C09A1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djustRightInd/>
        <w:spacing w:after="0" w:line="240" w:lineRule="auto"/>
        <w:ind w:left="284" w:hanging="284"/>
        <w:jc w:val="both"/>
        <w:textAlignment w:val="auto"/>
        <w:rPr>
          <w:rFonts w:eastAsia="Calibri"/>
          <w:szCs w:val="22"/>
          <w:lang w:eastAsia="en-US"/>
        </w:rPr>
      </w:pPr>
      <w:r w:rsidRPr="00AD17B3">
        <w:rPr>
          <w:rFonts w:eastAsia="Calibri"/>
          <w:szCs w:val="22"/>
          <w:lang w:eastAsia="en-US"/>
        </w:rPr>
        <w:t xml:space="preserve">Lhůta splatnosti faktury je 30 dnů a začíná běžet dne následujícího po dni jejího prokazatelného doručení </w:t>
      </w:r>
      <w:r>
        <w:rPr>
          <w:rFonts w:eastAsia="Calibri"/>
          <w:szCs w:val="22"/>
          <w:lang w:eastAsia="en-US"/>
        </w:rPr>
        <w:t>Partnerovi</w:t>
      </w:r>
      <w:r w:rsidRPr="00AD17B3">
        <w:rPr>
          <w:rFonts w:eastAsia="Calibri"/>
          <w:szCs w:val="22"/>
          <w:lang w:eastAsia="en-US"/>
        </w:rPr>
        <w:t xml:space="preserve">. Faktura se platí bezhotovostním převodem ve prospěch bankovního účtu </w:t>
      </w:r>
      <w:r>
        <w:rPr>
          <w:rFonts w:eastAsia="Calibri"/>
          <w:szCs w:val="22"/>
          <w:lang w:eastAsia="en-US"/>
        </w:rPr>
        <w:t>Dodavatele</w:t>
      </w:r>
      <w:r w:rsidRPr="00AD17B3">
        <w:rPr>
          <w:rFonts w:eastAsia="Calibri"/>
          <w:szCs w:val="22"/>
          <w:lang w:eastAsia="en-US"/>
        </w:rPr>
        <w:t>.</w:t>
      </w:r>
    </w:p>
    <w:p w14:paraId="33CCB340" w14:textId="77777777" w:rsidR="00515503" w:rsidRPr="00AD17B3" w:rsidRDefault="00515503" w:rsidP="004C09A1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Dnem zaplacení </w:t>
      </w:r>
      <w:r w:rsidRPr="00F0439C">
        <w:rPr>
          <w:rFonts w:asciiTheme="minorHAnsi" w:hAnsiTheme="minorHAnsi" w:cs="Times New Roman"/>
        </w:rPr>
        <w:t>ceny předmětu s</w:t>
      </w:r>
      <w:r w:rsidRPr="00AD17B3">
        <w:rPr>
          <w:rFonts w:asciiTheme="minorHAnsi" w:hAnsiTheme="minorHAnsi" w:cs="Times New Roman"/>
        </w:rPr>
        <w:t xml:space="preserve">mlouvy se pro účely této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rozumí den odepsání ceny z</w:t>
      </w:r>
      <w:r w:rsidR="004C09A1"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účtu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.</w:t>
      </w:r>
    </w:p>
    <w:p w14:paraId="4F056069" w14:textId="77777777" w:rsidR="00515503" w:rsidRDefault="00515503" w:rsidP="004C09A1">
      <w:pPr>
        <w:pStyle w:val="Zkladntext"/>
        <w:spacing w:line="240" w:lineRule="auto"/>
        <w:jc w:val="both"/>
        <w:rPr>
          <w:rFonts w:cs="Tahoma"/>
          <w:b/>
          <w:szCs w:val="22"/>
        </w:rPr>
      </w:pPr>
    </w:p>
    <w:p w14:paraId="1C5084E6" w14:textId="77777777" w:rsidR="004C09A1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14:paraId="58071C7B" w14:textId="6F86274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 Sankce</w:t>
      </w:r>
      <w:r w:rsidRPr="001617CE">
        <w:rPr>
          <w:rFonts w:cs="Tahoma"/>
          <w:b/>
          <w:szCs w:val="22"/>
        </w:rPr>
        <w:t xml:space="preserve"> </w:t>
      </w:r>
    </w:p>
    <w:p w14:paraId="23DC8BFA" w14:textId="77777777" w:rsidR="00515503" w:rsidRDefault="00515503" w:rsidP="004C09A1">
      <w:pPr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 xml:space="preserve">Pro případ porušení povinnosti </w:t>
      </w:r>
      <w:r>
        <w:rPr>
          <w:bCs/>
          <w:szCs w:val="22"/>
        </w:rPr>
        <w:t>Dodavatele</w:t>
      </w:r>
      <w:r w:rsidRPr="00AD17B3">
        <w:rPr>
          <w:bCs/>
          <w:szCs w:val="22"/>
        </w:rPr>
        <w:t xml:space="preserve"> týkající se ochrany informací a závazku mlčenlivosti, </w:t>
      </w:r>
      <w:r w:rsidR="00B66AFE">
        <w:rPr>
          <w:bCs/>
          <w:szCs w:val="22"/>
        </w:rPr>
        <w:t>uvedené v</w:t>
      </w:r>
      <w:r w:rsidR="004C09A1">
        <w:rPr>
          <w:bCs/>
          <w:szCs w:val="22"/>
        </w:rPr>
        <w:t> </w:t>
      </w:r>
      <w:r w:rsidR="00B66AFE">
        <w:rPr>
          <w:bCs/>
          <w:szCs w:val="22"/>
        </w:rPr>
        <w:t xml:space="preserve">článku VI. Smlouvy, </w:t>
      </w:r>
      <w:r w:rsidRPr="00AD17B3">
        <w:rPr>
          <w:bCs/>
          <w:szCs w:val="22"/>
        </w:rPr>
        <w:t xml:space="preserve">má </w:t>
      </w:r>
      <w:r>
        <w:rPr>
          <w:bCs/>
          <w:szCs w:val="22"/>
        </w:rPr>
        <w:t>Partner</w:t>
      </w:r>
      <w:r w:rsidRPr="00AD17B3">
        <w:rPr>
          <w:bCs/>
          <w:szCs w:val="22"/>
        </w:rPr>
        <w:t xml:space="preserve"> právo </w:t>
      </w:r>
      <w:r>
        <w:rPr>
          <w:bCs/>
          <w:szCs w:val="22"/>
        </w:rPr>
        <w:t xml:space="preserve">na </w:t>
      </w:r>
      <w:r w:rsidR="00B66AFE">
        <w:rPr>
          <w:bCs/>
          <w:szCs w:val="22"/>
        </w:rPr>
        <w:t xml:space="preserve">uplatnění </w:t>
      </w:r>
      <w:r>
        <w:rPr>
          <w:bCs/>
          <w:szCs w:val="22"/>
        </w:rPr>
        <w:t>s</w:t>
      </w:r>
      <w:r w:rsidRPr="00AD17B3">
        <w:rPr>
          <w:bCs/>
          <w:szCs w:val="22"/>
        </w:rPr>
        <w:t>mluvní pokut</w:t>
      </w:r>
      <w:r>
        <w:rPr>
          <w:bCs/>
          <w:szCs w:val="22"/>
        </w:rPr>
        <w:t>y</w:t>
      </w:r>
      <w:r w:rsidRPr="00AD17B3">
        <w:rPr>
          <w:bCs/>
          <w:szCs w:val="22"/>
        </w:rPr>
        <w:t xml:space="preserve"> ve výši </w:t>
      </w:r>
      <w:r w:rsidR="004C593D">
        <w:rPr>
          <w:bCs/>
          <w:szCs w:val="22"/>
        </w:rPr>
        <w:t>1</w:t>
      </w:r>
      <w:r w:rsidRPr="00AD17B3">
        <w:rPr>
          <w:bCs/>
          <w:szCs w:val="22"/>
        </w:rPr>
        <w:t>0.000,-Kč, za každý jednotlivý případ</w:t>
      </w:r>
      <w:r>
        <w:rPr>
          <w:bCs/>
          <w:szCs w:val="22"/>
        </w:rPr>
        <w:t xml:space="preserve"> porušení povinnosti</w:t>
      </w:r>
      <w:r w:rsidRPr="00AD17B3">
        <w:rPr>
          <w:bCs/>
          <w:szCs w:val="22"/>
        </w:rPr>
        <w:t xml:space="preserve"> (slovy: </w:t>
      </w:r>
      <w:r w:rsidR="004C593D">
        <w:rPr>
          <w:bCs/>
          <w:szCs w:val="22"/>
        </w:rPr>
        <w:t>deset</w:t>
      </w:r>
      <w:r w:rsidRPr="00AD17B3">
        <w:rPr>
          <w:bCs/>
          <w:szCs w:val="22"/>
        </w:rPr>
        <w:t xml:space="preserve"> tisíc korun </w:t>
      </w:r>
      <w:r w:rsidRPr="00CB1D0D">
        <w:rPr>
          <w:bCs/>
          <w:szCs w:val="22"/>
        </w:rPr>
        <w:t>českých).</w:t>
      </w:r>
    </w:p>
    <w:p w14:paraId="5EF2C1DF" w14:textId="77777777" w:rsidR="0085450A" w:rsidRPr="00CB1D0D" w:rsidRDefault="0085450A" w:rsidP="004C09A1">
      <w:pPr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bCs/>
          <w:szCs w:val="22"/>
        </w:rPr>
      </w:pPr>
      <w:r w:rsidRPr="00B243F1">
        <w:rPr>
          <w:szCs w:val="22"/>
        </w:rPr>
        <w:t>V</w:t>
      </w:r>
      <w:r w:rsidR="004C09A1">
        <w:rPr>
          <w:szCs w:val="22"/>
        </w:rPr>
        <w:t> </w:t>
      </w:r>
      <w:r w:rsidRPr="00B243F1">
        <w:rPr>
          <w:szCs w:val="22"/>
        </w:rPr>
        <w:t xml:space="preserve">případě prodlení </w:t>
      </w:r>
      <w:r w:rsidR="00854DBC">
        <w:rPr>
          <w:szCs w:val="22"/>
        </w:rPr>
        <w:t>Dodavatele</w:t>
      </w:r>
      <w:r w:rsidRPr="00B243F1">
        <w:rPr>
          <w:szCs w:val="22"/>
        </w:rPr>
        <w:t xml:space="preserve"> s</w:t>
      </w:r>
      <w:r w:rsidR="004C09A1">
        <w:rPr>
          <w:szCs w:val="22"/>
        </w:rPr>
        <w:t> </w:t>
      </w:r>
      <w:r w:rsidRPr="00B243F1">
        <w:rPr>
          <w:szCs w:val="22"/>
        </w:rPr>
        <w:t xml:space="preserve">plněním </w:t>
      </w:r>
      <w:r w:rsidR="00B66AFE">
        <w:rPr>
          <w:szCs w:val="22"/>
        </w:rPr>
        <w:t xml:space="preserve">lhůt dle článku III. </w:t>
      </w:r>
      <w:r w:rsidRPr="00B243F1">
        <w:rPr>
          <w:szCs w:val="22"/>
        </w:rPr>
        <w:t xml:space="preserve"> </w:t>
      </w:r>
      <w:r>
        <w:rPr>
          <w:szCs w:val="22"/>
        </w:rPr>
        <w:t>S</w:t>
      </w:r>
      <w:r w:rsidRPr="00B243F1">
        <w:rPr>
          <w:szCs w:val="22"/>
        </w:rPr>
        <w:t xml:space="preserve">mlouvy je </w:t>
      </w:r>
      <w:r w:rsidR="00854DBC">
        <w:rPr>
          <w:szCs w:val="22"/>
        </w:rPr>
        <w:t xml:space="preserve">Dodavatel </w:t>
      </w:r>
      <w:r w:rsidRPr="00B243F1">
        <w:rPr>
          <w:szCs w:val="22"/>
        </w:rPr>
        <w:t xml:space="preserve">povinen uhradit </w:t>
      </w:r>
      <w:r w:rsidR="00854DBC">
        <w:rPr>
          <w:szCs w:val="22"/>
        </w:rPr>
        <w:t>Partnerovi</w:t>
      </w:r>
      <w:r w:rsidRPr="00B243F1">
        <w:rPr>
          <w:szCs w:val="22"/>
        </w:rPr>
        <w:t xml:space="preserve"> smluvní pokutu ve výši 0,2 % </w:t>
      </w:r>
      <w:r w:rsidRPr="00B243F1">
        <w:rPr>
          <w:rFonts w:cs="Calibri"/>
          <w:szCs w:val="22"/>
        </w:rPr>
        <w:t>z</w:t>
      </w:r>
      <w:r w:rsidR="004C09A1">
        <w:rPr>
          <w:rFonts w:cs="Calibri"/>
          <w:szCs w:val="22"/>
        </w:rPr>
        <w:t> </w:t>
      </w:r>
      <w:r w:rsidRPr="00B243F1">
        <w:rPr>
          <w:rFonts w:cs="Calibri"/>
          <w:szCs w:val="22"/>
        </w:rPr>
        <w:t xml:space="preserve">celkové ceny předmětu plnění podle čl. </w:t>
      </w:r>
      <w:r>
        <w:rPr>
          <w:rFonts w:cs="Calibri"/>
          <w:szCs w:val="22"/>
        </w:rPr>
        <w:t>I</w:t>
      </w:r>
      <w:r w:rsidR="00805941">
        <w:rPr>
          <w:rFonts w:cs="Calibri"/>
          <w:szCs w:val="22"/>
        </w:rPr>
        <w:t>V</w:t>
      </w:r>
      <w:r>
        <w:rPr>
          <w:rFonts w:cs="Calibri"/>
          <w:szCs w:val="22"/>
        </w:rPr>
        <w:t>.</w:t>
      </w:r>
      <w:r w:rsidRPr="00B243F1">
        <w:rPr>
          <w:szCs w:val="22"/>
        </w:rPr>
        <w:t xml:space="preserve"> </w:t>
      </w:r>
      <w:r w:rsidR="004C09A1" w:rsidRPr="00B243F1">
        <w:rPr>
          <w:szCs w:val="22"/>
        </w:rPr>
        <w:t>Z</w:t>
      </w:r>
      <w:r w:rsidRPr="00B243F1">
        <w:rPr>
          <w:szCs w:val="22"/>
        </w:rPr>
        <w:t>a každý i</w:t>
      </w:r>
      <w:r w:rsidR="001A1DFC">
        <w:rPr>
          <w:szCs w:val="22"/>
        </w:rPr>
        <w:t> </w:t>
      </w:r>
      <w:r w:rsidRPr="00B243F1">
        <w:rPr>
          <w:szCs w:val="22"/>
        </w:rPr>
        <w:t>započatý kalendářní den prodlení.</w:t>
      </w:r>
    </w:p>
    <w:p w14:paraId="22046FDD" w14:textId="77777777" w:rsidR="00515503" w:rsidRPr="00AD17B3" w:rsidRDefault="00515503" w:rsidP="004C09A1">
      <w:pPr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Uhrazením </w:t>
      </w:r>
      <w:r>
        <w:rPr>
          <w:szCs w:val="22"/>
        </w:rPr>
        <w:t>s</w:t>
      </w:r>
      <w:r w:rsidRPr="00AD17B3">
        <w:rPr>
          <w:szCs w:val="22"/>
        </w:rPr>
        <w:t xml:space="preserve">mluvní pokuty není dotčeno právo poškozené </w:t>
      </w:r>
      <w:r>
        <w:rPr>
          <w:szCs w:val="22"/>
        </w:rPr>
        <w:t>s</w:t>
      </w:r>
      <w:r w:rsidRPr="00AD17B3">
        <w:rPr>
          <w:szCs w:val="22"/>
        </w:rPr>
        <w:t xml:space="preserve">mluvní strany domáhat se náhrady škody nebo újmy, která jí vznikla porušením </w:t>
      </w:r>
      <w:r>
        <w:rPr>
          <w:szCs w:val="22"/>
        </w:rPr>
        <w:t>s</w:t>
      </w:r>
      <w:r w:rsidRPr="00AD17B3">
        <w:rPr>
          <w:szCs w:val="22"/>
        </w:rPr>
        <w:t>mluvní povinnosti</w:t>
      </w:r>
      <w:r>
        <w:rPr>
          <w:szCs w:val="22"/>
        </w:rPr>
        <w:t xml:space="preserve"> druhou smluvní stranou</w:t>
      </w:r>
      <w:r w:rsidRPr="00AD17B3">
        <w:rPr>
          <w:szCs w:val="22"/>
        </w:rPr>
        <w:t xml:space="preserve">, které se </w:t>
      </w:r>
      <w:r>
        <w:rPr>
          <w:szCs w:val="22"/>
        </w:rPr>
        <w:t>s</w:t>
      </w:r>
      <w:r w:rsidRPr="00AD17B3">
        <w:rPr>
          <w:szCs w:val="22"/>
        </w:rPr>
        <w:t>mluvní pokuta týká, a to v</w:t>
      </w:r>
      <w:r w:rsidR="004C09A1">
        <w:rPr>
          <w:szCs w:val="22"/>
        </w:rPr>
        <w:t> </w:t>
      </w:r>
      <w:r w:rsidRPr="00AD17B3">
        <w:rPr>
          <w:szCs w:val="22"/>
        </w:rPr>
        <w:t xml:space="preserve">plné výši, tedy i ve výši přesahující </w:t>
      </w:r>
      <w:r>
        <w:rPr>
          <w:szCs w:val="22"/>
        </w:rPr>
        <w:t>s</w:t>
      </w:r>
      <w:r w:rsidRPr="00AD17B3">
        <w:rPr>
          <w:szCs w:val="22"/>
        </w:rPr>
        <w:t xml:space="preserve">mluvní pokutu. Uhrazená výše </w:t>
      </w:r>
      <w:r>
        <w:rPr>
          <w:szCs w:val="22"/>
        </w:rPr>
        <w:t>s</w:t>
      </w:r>
      <w:r w:rsidRPr="00AD17B3">
        <w:rPr>
          <w:szCs w:val="22"/>
        </w:rPr>
        <w:t xml:space="preserve">mluvní pokuty se nezapočítává do výše škody nebo újmy, která má být uhrazena. </w:t>
      </w:r>
    </w:p>
    <w:p w14:paraId="1F4441AF" w14:textId="77777777" w:rsidR="00515503" w:rsidRPr="00AD17B3" w:rsidRDefault="00515503" w:rsidP="004C09A1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>V</w:t>
      </w:r>
      <w:r w:rsidR="004C09A1">
        <w:rPr>
          <w:bCs/>
          <w:szCs w:val="22"/>
        </w:rPr>
        <w:t> </w:t>
      </w:r>
      <w:r w:rsidRPr="00AD17B3">
        <w:rPr>
          <w:bCs/>
          <w:szCs w:val="22"/>
        </w:rPr>
        <w:t xml:space="preserve">případě prodlení </w:t>
      </w:r>
      <w:r>
        <w:rPr>
          <w:bCs/>
          <w:szCs w:val="22"/>
        </w:rPr>
        <w:t>Partnera</w:t>
      </w:r>
      <w:r w:rsidRPr="00AD17B3">
        <w:rPr>
          <w:bCs/>
          <w:szCs w:val="22"/>
        </w:rPr>
        <w:t xml:space="preserve"> se zaplacením faktury je </w:t>
      </w:r>
      <w:r>
        <w:rPr>
          <w:bCs/>
          <w:szCs w:val="22"/>
        </w:rPr>
        <w:t>Dodavatel</w:t>
      </w:r>
      <w:r w:rsidRPr="00AD17B3">
        <w:rPr>
          <w:bCs/>
          <w:szCs w:val="22"/>
        </w:rPr>
        <w:t xml:space="preserve"> oprávněn účtovat </w:t>
      </w:r>
      <w:r>
        <w:rPr>
          <w:bCs/>
          <w:szCs w:val="22"/>
        </w:rPr>
        <w:t>Partnerovi</w:t>
      </w:r>
      <w:r w:rsidRPr="00AD17B3">
        <w:rPr>
          <w:bCs/>
          <w:szCs w:val="22"/>
        </w:rPr>
        <w:t xml:space="preserve"> </w:t>
      </w:r>
      <w:r w:rsidR="00B66AFE">
        <w:rPr>
          <w:bCs/>
          <w:szCs w:val="22"/>
        </w:rPr>
        <w:t xml:space="preserve">zákonný </w:t>
      </w:r>
      <w:r w:rsidRPr="00AD17B3">
        <w:rPr>
          <w:bCs/>
          <w:szCs w:val="22"/>
        </w:rPr>
        <w:t>úrok z</w:t>
      </w:r>
      <w:r w:rsidR="004C09A1">
        <w:rPr>
          <w:bCs/>
          <w:szCs w:val="22"/>
        </w:rPr>
        <w:t> </w:t>
      </w:r>
      <w:r w:rsidRPr="00AD17B3">
        <w:rPr>
          <w:bCs/>
          <w:szCs w:val="22"/>
        </w:rPr>
        <w:t>prodlení</w:t>
      </w:r>
      <w:r w:rsidR="00B66AFE">
        <w:rPr>
          <w:bCs/>
          <w:szCs w:val="22"/>
        </w:rPr>
        <w:t>.</w:t>
      </w:r>
    </w:p>
    <w:p w14:paraId="1898AC98" w14:textId="77777777" w:rsidR="00515503" w:rsidRPr="00A03E50" w:rsidRDefault="00515503" w:rsidP="004C09A1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szCs w:val="22"/>
        </w:rPr>
      </w:pPr>
      <w:r w:rsidRPr="00AD17B3">
        <w:rPr>
          <w:bCs/>
          <w:szCs w:val="22"/>
        </w:rPr>
        <w:t>Smluvní pokuta nebo náhrada škody nebo úrok</w:t>
      </w:r>
      <w:r w:rsidR="004113F0">
        <w:rPr>
          <w:bCs/>
          <w:szCs w:val="22"/>
        </w:rPr>
        <w:t>y</w:t>
      </w:r>
      <w:r w:rsidRPr="00AD17B3">
        <w:rPr>
          <w:bCs/>
          <w:szCs w:val="22"/>
        </w:rPr>
        <w:t xml:space="preserve"> z</w:t>
      </w:r>
      <w:r w:rsidR="004C09A1">
        <w:rPr>
          <w:bCs/>
          <w:szCs w:val="22"/>
        </w:rPr>
        <w:t> </w:t>
      </w:r>
      <w:r w:rsidRPr="00AD17B3">
        <w:rPr>
          <w:bCs/>
          <w:szCs w:val="22"/>
        </w:rPr>
        <w:t>prodlení j</w:t>
      </w:r>
      <w:r w:rsidR="004113F0">
        <w:rPr>
          <w:bCs/>
          <w:szCs w:val="22"/>
        </w:rPr>
        <w:t>sou</w:t>
      </w:r>
      <w:r w:rsidRPr="00AD17B3">
        <w:rPr>
          <w:bCs/>
          <w:szCs w:val="22"/>
        </w:rPr>
        <w:t xml:space="preserve"> splatn</w:t>
      </w:r>
      <w:r w:rsidR="004113F0">
        <w:rPr>
          <w:bCs/>
          <w:szCs w:val="22"/>
        </w:rPr>
        <w:t>é</w:t>
      </w:r>
      <w:r w:rsidRPr="00AD17B3">
        <w:rPr>
          <w:bCs/>
          <w:szCs w:val="22"/>
        </w:rPr>
        <w:t xml:space="preserve"> ve lhůtě 10 kalendářních dnů ode dne, kdy strana povinná obdržela výzvu k</w:t>
      </w:r>
      <w:r w:rsidR="004C09A1">
        <w:rPr>
          <w:bCs/>
          <w:szCs w:val="22"/>
        </w:rPr>
        <w:t> </w:t>
      </w:r>
      <w:r w:rsidRPr="00AD17B3">
        <w:rPr>
          <w:bCs/>
          <w:szCs w:val="22"/>
        </w:rPr>
        <w:t>úhradě.</w:t>
      </w:r>
    </w:p>
    <w:p w14:paraId="34220AC7" w14:textId="77777777" w:rsidR="00515503" w:rsidRDefault="00515503" w:rsidP="004C09A1">
      <w:pPr>
        <w:pStyle w:val="Zkladntext"/>
        <w:spacing w:line="240" w:lineRule="auto"/>
        <w:rPr>
          <w:rFonts w:cs="Tahoma"/>
          <w:b/>
          <w:szCs w:val="22"/>
        </w:rPr>
      </w:pPr>
    </w:p>
    <w:p w14:paraId="190439AE" w14:textId="7777777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52258354" w14:textId="7777777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14:paraId="042C136C" w14:textId="77777777" w:rsidR="004C09A1" w:rsidRDefault="004C09A1" w:rsidP="004C09A1">
      <w:pPr>
        <w:numPr>
          <w:ilvl w:val="0"/>
          <w:numId w:val="18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 xml:space="preserve">Partner i Dodavatel se zavazují, že obchodní, technické, jakož i netechnické informace, které mají nebo by mohly mít potenciální hodnotu, a které jim byly svěřeny smluvním partnerem, nezpřístupní třetím osobám bez předchozího písemného souhlasu druhé smluvní strany a nepoužijí tyto informace ani pro jiné </w:t>
      </w:r>
      <w:r w:rsidR="00A03E50" w:rsidRPr="004C09A1">
        <w:rPr>
          <w:bCs/>
          <w:szCs w:val="22"/>
        </w:rPr>
        <w:t>účely</w:t>
      </w:r>
      <w:r w:rsidR="00B66AFE" w:rsidRPr="004C09A1">
        <w:rPr>
          <w:bCs/>
          <w:szCs w:val="22"/>
        </w:rPr>
        <w:t xml:space="preserve"> než pro plnění svých závazků dle podmínek této Smlouvy. Za důvěrnou informaci se pokládá vždy taková informace, která je takto kteroukoliv smluvní stranou kdykoliv označena. To však neplatí v případě, že by se stala tato informace, k níž se zavazují k povinnosti mlčenlivosti či k povinnosti zachovat důvěrnost informace, dle tohoto ustanovení Smlouvy, obecně známou či dostupnou. To se nevztahuje na Výstupy z plnění dle této Smlouvy. </w:t>
      </w:r>
    </w:p>
    <w:p w14:paraId="29F1CAE9" w14:textId="77777777" w:rsidR="004C09A1" w:rsidRDefault="004C09A1" w:rsidP="004C09A1">
      <w:pPr>
        <w:numPr>
          <w:ilvl w:val="0"/>
          <w:numId w:val="18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Smluvní strany se zavazují, že informace, týkající se této Smlouvy či jinak získané v souvislosti s plněním této Smlouvy, nezneužije ve svůj prospěch ani ve prospěch jiné osoby, ani je nezveřejní v jakékoliv formě a dále se zavazuje, že veškeré výstupy provedené podle této Smlouvy budou zhotovitelem užity pouze a výlučně v souladu s touto Smlouvou.</w:t>
      </w:r>
    </w:p>
    <w:p w14:paraId="3C021AB8" w14:textId="77777777" w:rsidR="004C09A1" w:rsidRDefault="004C09A1" w:rsidP="004C09A1">
      <w:pPr>
        <w:numPr>
          <w:ilvl w:val="0"/>
          <w:numId w:val="18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515503" w:rsidRPr="004C09A1">
        <w:rPr>
          <w:bCs/>
          <w:szCs w:val="22"/>
        </w:rPr>
        <w:t>Dodavatel se zavazuje postupovat při plnění této Smlouvy tak, aby bylo dosaženo účelu této Smlouvy. Dodavatel postupuje při plnění této Smlouvy s péčí řádného hospodáře.</w:t>
      </w:r>
    </w:p>
    <w:p w14:paraId="37C7E906" w14:textId="1A073D8B" w:rsidR="00515503" w:rsidRPr="004C09A1" w:rsidRDefault="004C09A1" w:rsidP="000E6B5A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F7105A">
        <w:rPr>
          <w:bCs/>
          <w:szCs w:val="22"/>
        </w:rPr>
        <w:t xml:space="preserve"> </w:t>
      </w:r>
      <w:r w:rsidR="00515503" w:rsidRPr="004C09A1">
        <w:rPr>
          <w:bCs/>
          <w:szCs w:val="22"/>
        </w:rPr>
        <w:t>Smluvní strany přebírají riziko změny okolností ve smyslu § 1765 odst. 2 občanského zákoníku.</w:t>
      </w:r>
    </w:p>
    <w:p w14:paraId="0B435F67" w14:textId="77777777" w:rsidR="00B66AFE" w:rsidRPr="00F7105A" w:rsidRDefault="00B66AFE" w:rsidP="00FA3335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Theme="minorHAnsi" w:cstheme="minorBidi"/>
          <w:b/>
          <w:szCs w:val="22"/>
          <w:lang w:eastAsia="en-US"/>
        </w:rPr>
      </w:pPr>
    </w:p>
    <w:p w14:paraId="32AFAC30" w14:textId="77777777" w:rsidR="00B66AFE" w:rsidRDefault="00B66AFE" w:rsidP="004C09A1">
      <w:pPr>
        <w:tabs>
          <w:tab w:val="left" w:pos="0"/>
        </w:tabs>
        <w:spacing w:after="0" w:line="240" w:lineRule="auto"/>
        <w:jc w:val="center"/>
        <w:rPr>
          <w:rFonts w:eastAsiaTheme="minorHAnsi" w:cstheme="minorBidi"/>
          <w:b/>
          <w:szCs w:val="22"/>
          <w:lang w:eastAsia="en-US"/>
        </w:rPr>
      </w:pPr>
    </w:p>
    <w:p w14:paraId="186D8901" w14:textId="77777777" w:rsidR="004C09A1" w:rsidRDefault="004C09A1" w:rsidP="004C09A1">
      <w:pPr>
        <w:tabs>
          <w:tab w:val="left" w:pos="0"/>
        </w:tabs>
        <w:spacing w:after="0" w:line="240" w:lineRule="auto"/>
        <w:jc w:val="center"/>
        <w:rPr>
          <w:rFonts w:eastAsiaTheme="minorHAnsi" w:cstheme="minorBidi"/>
          <w:b/>
          <w:szCs w:val="22"/>
          <w:lang w:eastAsia="en-US"/>
        </w:rPr>
      </w:pPr>
    </w:p>
    <w:p w14:paraId="3D2D9D7E" w14:textId="77777777" w:rsidR="00B66AFE" w:rsidRPr="00CD4651" w:rsidRDefault="00B66AFE" w:rsidP="00CD465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CD4651">
        <w:rPr>
          <w:rFonts w:cs="Tahoma"/>
          <w:b/>
          <w:szCs w:val="22"/>
        </w:rPr>
        <w:lastRenderedPageBreak/>
        <w:t>Čl. VII.</w:t>
      </w:r>
    </w:p>
    <w:p w14:paraId="19FFB21C" w14:textId="77777777" w:rsidR="00B66AFE" w:rsidRPr="00CD4651" w:rsidRDefault="00B66AFE" w:rsidP="00CD465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CD4651">
        <w:rPr>
          <w:rFonts w:cs="Tahoma"/>
          <w:b/>
          <w:szCs w:val="22"/>
        </w:rPr>
        <w:t>Ukončení Smlouvy</w:t>
      </w:r>
    </w:p>
    <w:p w14:paraId="01608CA8" w14:textId="77777777" w:rsidR="00B66AFE" w:rsidRPr="004C09A1" w:rsidRDefault="004C09A1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Tato Smlouva může být ukončena písemnou dohodou obou smluvních stran.</w:t>
      </w:r>
    </w:p>
    <w:p w14:paraId="7000AA26" w14:textId="77777777" w:rsidR="00B66AFE" w:rsidRPr="004C09A1" w:rsidRDefault="004C09A1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Při podstatném porušení Smlouvy jednou ze smluvních stran může druhá smluvní strana od Smlouvy odstoupit, přičemž náklady vynaložené na smluvené dílo k okamžiku odstoupení od Smlouvy hradí ta smluvní strana, která podstatně porušila Smlouvu. V případě odstoupení od Smlouvy ze strany Partnera má Dodavatel nárok na úhradu poměrné části ceny, to však pouze za předpokladu, že dosud předané plnění je pro objednatele využitelné. V opačném případě si strany vrátí, co bylo před odstoupením od Smlouvy poskytnuto druhou stranou.</w:t>
      </w:r>
    </w:p>
    <w:p w14:paraId="648C5895" w14:textId="77777777" w:rsidR="00B66AFE" w:rsidRPr="004C09A1" w:rsidRDefault="004C09A1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Partner je oprávněn odstoupit od této Smlouvy v případě podstatného porušení povinností Dodavatelem, za něž je považováno zejména:</w:t>
      </w:r>
    </w:p>
    <w:p w14:paraId="772F3D58" w14:textId="77777777" w:rsidR="00B66AFE" w:rsidRPr="004C09A1" w:rsidRDefault="00B66AFE" w:rsidP="004C09A1">
      <w:pPr>
        <w:pStyle w:val="Odstavecseseznamem"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prodlení s plněním lhůt stanovených dle článku III. této Smlouvy delší než deset kalendářních dnů;</w:t>
      </w:r>
    </w:p>
    <w:p w14:paraId="6A51446A" w14:textId="77777777" w:rsidR="00B66AFE" w:rsidRPr="004C09A1" w:rsidRDefault="00B66AFE" w:rsidP="004C09A1">
      <w:pPr>
        <w:pStyle w:val="Odstavecseseznamem"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porušení povinnosti mlčenlivosti dle článku VI. této Smlouvy</w:t>
      </w:r>
      <w:r w:rsidR="00A03E50" w:rsidRPr="004C09A1">
        <w:rPr>
          <w:bCs/>
          <w:szCs w:val="22"/>
        </w:rPr>
        <w:t>;</w:t>
      </w:r>
    </w:p>
    <w:p w14:paraId="4ABA82A1" w14:textId="77777777" w:rsidR="00B66AFE" w:rsidRPr="004C09A1" w:rsidRDefault="00B66AFE" w:rsidP="004C09A1">
      <w:pPr>
        <w:pStyle w:val="Odstavecseseznamem"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skutečnost, že byly Partnerem kontrolou plnění ve smyslu článku III. odst. 1. zjištěny zásadní vady a nedostatky při činnosti a Dodavatel ani po písemném upozornění Partnera nerespektoval navržená opatření na odstranění vad a nedostatků</w:t>
      </w:r>
      <w:r w:rsidR="00A03E50" w:rsidRPr="004C09A1">
        <w:rPr>
          <w:bCs/>
          <w:szCs w:val="22"/>
        </w:rPr>
        <w:t>.</w:t>
      </w:r>
    </w:p>
    <w:p w14:paraId="70323872" w14:textId="77777777" w:rsidR="00B66AFE" w:rsidRPr="004C09A1" w:rsidRDefault="004C09A1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Dodavatel má právo odstoupit od této Smlouvy v případě podstatného porušení Smlouvy Partnerem, za něž je považováno zejména prodlení se zaplacením faktury delší než 30 dnů po lhůtě splatnosti.</w:t>
      </w:r>
    </w:p>
    <w:p w14:paraId="51AC6513" w14:textId="53734E30" w:rsidR="00B66AFE" w:rsidRDefault="004C09A1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Ukončením platnosti této Smlouvy nejsou dotčena ustanovení Smlouvy týkající se nároků z odpovědnosti za škodu či újmu a nároků ze smluvních pokut, ustanovení o licenci, ustanovení o zachování mlčenlivosti, ani další ustanovení a nároky, z jejichž povahy vyplývá, že mají trvat i po zániku platnosti této Smlouvy.</w:t>
      </w:r>
    </w:p>
    <w:p w14:paraId="43A9AC42" w14:textId="26A978CE" w:rsidR="00B52093" w:rsidRDefault="00B52093" w:rsidP="00B52093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40" w:lineRule="auto"/>
        <w:jc w:val="both"/>
        <w:textAlignment w:val="auto"/>
        <w:rPr>
          <w:rFonts w:cstheme="minorHAnsi"/>
        </w:rPr>
      </w:pPr>
      <w:r w:rsidRPr="00DD58DE">
        <w:t xml:space="preserve">Odstoupení od Smlouvy je účinné dnem doručení písemného oznámení o odstoupení </w:t>
      </w:r>
      <w:r>
        <w:t>druhé smluvní straně</w:t>
      </w:r>
      <w:r w:rsidRPr="00DD58DE">
        <w:t xml:space="preserve"> a Smlouva zaniká dnem doručení takového oznámení.</w:t>
      </w:r>
    </w:p>
    <w:p w14:paraId="5DAE66E3" w14:textId="089DD3B8" w:rsidR="00B66AFE" w:rsidRPr="004C09A1" w:rsidRDefault="00B66AFE" w:rsidP="004C09A1">
      <w:pPr>
        <w:numPr>
          <w:ilvl w:val="0"/>
          <w:numId w:val="19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Odstoupení od Smlouvy musí být provedeno písemně a doručeno druhé smluvní straně. Právní účinky nastávají dnem doručení o odstoupení od Smlouvy druhé smluvní straně.</w:t>
      </w:r>
    </w:p>
    <w:p w14:paraId="06ADFC44" w14:textId="77777777" w:rsidR="00515503" w:rsidRDefault="00515503" w:rsidP="004C09A1">
      <w:pPr>
        <w:pStyle w:val="Zkladntext"/>
        <w:tabs>
          <w:tab w:val="left" w:pos="426"/>
        </w:tabs>
        <w:spacing w:line="240" w:lineRule="auto"/>
        <w:ind w:left="644"/>
        <w:jc w:val="center"/>
        <w:rPr>
          <w:rFonts w:cs="Tahoma"/>
          <w:b/>
          <w:szCs w:val="22"/>
        </w:rPr>
      </w:pPr>
    </w:p>
    <w:p w14:paraId="5BB38276" w14:textId="77777777" w:rsidR="00B66AFE" w:rsidRPr="00CC439F" w:rsidRDefault="00B66AFE" w:rsidP="004C09A1">
      <w:pPr>
        <w:tabs>
          <w:tab w:val="left" w:pos="284"/>
        </w:tabs>
        <w:spacing w:after="120" w:line="240" w:lineRule="auto"/>
        <w:jc w:val="center"/>
        <w:rPr>
          <w:b/>
        </w:rPr>
      </w:pPr>
      <w:r w:rsidRPr="00CC439F">
        <w:rPr>
          <w:b/>
        </w:rPr>
        <w:t>Čl.</w:t>
      </w:r>
      <w:r w:rsidR="00A03E50">
        <w:rPr>
          <w:b/>
        </w:rPr>
        <w:t xml:space="preserve"> </w:t>
      </w:r>
      <w:r w:rsidRPr="00CC439F">
        <w:rPr>
          <w:b/>
        </w:rPr>
        <w:t>VIII.</w:t>
      </w:r>
    </w:p>
    <w:p w14:paraId="10A0C6D5" w14:textId="77777777" w:rsidR="00B66AFE" w:rsidRPr="00726813" w:rsidRDefault="00B66AFE" w:rsidP="004C09A1">
      <w:pPr>
        <w:spacing w:after="120" w:line="240" w:lineRule="auto"/>
        <w:jc w:val="center"/>
        <w:rPr>
          <w:rFonts w:cs="Arial"/>
          <w:bCs/>
        </w:rPr>
      </w:pPr>
      <w:r w:rsidRPr="00726813">
        <w:rPr>
          <w:rFonts w:cs="Arial"/>
          <w:b/>
          <w:bCs/>
        </w:rPr>
        <w:t>Práva k duševnímu vlastnictví</w:t>
      </w:r>
    </w:p>
    <w:p w14:paraId="02F88451" w14:textId="77777777" w:rsidR="00B66AFE" w:rsidRPr="004C09A1" w:rsidRDefault="004C09A1" w:rsidP="004C09A1">
      <w:pPr>
        <w:numPr>
          <w:ilvl w:val="0"/>
          <w:numId w:val="20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Dodavatel prohlašuje, že Partner bude oprávněn užít jakýmkoli způsobem a bez jakýchkoli omezení výsledky plnění, mající charakter autorského díla ve smyslu § 2 (dále „dílo“) zákona č.</w:t>
      </w:r>
      <w:r w:rsidR="001A1DFC" w:rsidRPr="004C09A1">
        <w:rPr>
          <w:bCs/>
          <w:szCs w:val="22"/>
        </w:rPr>
        <w:t> </w:t>
      </w:r>
      <w:r w:rsidR="00B66AFE" w:rsidRPr="004C09A1">
        <w:rPr>
          <w:bCs/>
          <w:szCs w:val="22"/>
        </w:rPr>
        <w:t>121/2000 Sb., o právu autorském, o právech souvisejících s právem autorským a o změně některých zákonů (autorský zákon) ve znění pozdějších předpisů, a že vůči Partnerovi nebudou uplatněny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 a pokud by takové nároky byly uplatněny, zhotovitel se zavazuje veškeré nároky majitelů autorských práv či jakékoli oprávněné nároky jiných třetích osob v souvislosti s užitím výstupů vypořádat na své náklady. Dodavatel prohlašuje, že Partner bude oprávněn zejména výstupy rozmnožovat, rozšiřovat, sdělovat veřejnosti, spojovat s jiným dílem a zařazovat do souborného díla.</w:t>
      </w:r>
    </w:p>
    <w:p w14:paraId="12F8CDFA" w14:textId="77777777" w:rsidR="00B66AFE" w:rsidRPr="004C09A1" w:rsidRDefault="004C09A1" w:rsidP="004C09A1">
      <w:pPr>
        <w:numPr>
          <w:ilvl w:val="0"/>
          <w:numId w:val="20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Dodavatel se dále zavazuje, že</w:t>
      </w:r>
    </w:p>
    <w:p w14:paraId="6E02AC4A" w14:textId="77777777" w:rsidR="00B66AFE" w:rsidRPr="004C09A1" w:rsidRDefault="00B66AFE" w:rsidP="004C09A1">
      <w:pPr>
        <w:pStyle w:val="Odstavecseseznamem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pokud v souvislosti s plněním předmětu Smlouvy přijdou jeho pověření zaměstnanci do styku s osobními/citlivými údaji ve smyslu zákona č. 1</w:t>
      </w:r>
      <w:r w:rsidR="00105841" w:rsidRPr="004C09A1">
        <w:rPr>
          <w:bCs/>
          <w:szCs w:val="22"/>
        </w:rPr>
        <w:t>10/2019</w:t>
      </w:r>
      <w:r w:rsidRPr="004C09A1">
        <w:rPr>
          <w:bCs/>
          <w:szCs w:val="22"/>
        </w:rPr>
        <w:t xml:space="preserve"> Sb., o </w:t>
      </w:r>
      <w:r w:rsidR="00105841" w:rsidRPr="004C09A1">
        <w:rPr>
          <w:bCs/>
          <w:szCs w:val="22"/>
        </w:rPr>
        <w:t>zpracování osobních údajů</w:t>
      </w:r>
      <w:r w:rsidRPr="004C09A1">
        <w:rPr>
          <w:bCs/>
          <w:szCs w:val="22"/>
        </w:rPr>
        <w:t xml:space="preserve">, učiní veškerá opatření, aby nedošlo k neoprávněnému nebo nahodilému přístupu k těmto údajům, k jejich změně, zničení či ztrátě, neoprávněným přenosům, k jejich jinému neoprávněnému zpracování, jakož aby i jinak neporušil tento zákon. Dodavatel je povinen provést likvidaci osobních údajů, jakmile pomine účel, pro který byly osobní údaje poskytnuty </w:t>
      </w:r>
      <w:r w:rsidRPr="004C09A1">
        <w:rPr>
          <w:bCs/>
          <w:szCs w:val="22"/>
        </w:rPr>
        <w:lastRenderedPageBreak/>
        <w:t>a zpracovány, nebo na základě žádosti subjektu údajů. Dodavatel předá Partnerovi protokol o jejich likvidaci;</w:t>
      </w:r>
    </w:p>
    <w:p w14:paraId="779873C3" w14:textId="77777777" w:rsidR="00B66AFE" w:rsidRPr="004C09A1" w:rsidRDefault="00B66AFE" w:rsidP="004C09A1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provede vhodná technická a organizační opatření, aby zpracování osobních údajů bylo prováděno v souladu s právními předpisy, zejména Nařízením Evropského parlamentu a Rady (EU) 2016/679 („GDPR“), a že do zpracování začlení nezbytné záruky tak, aby splnil požadavky právních předpisů a ochránil práva subjektů údajů.</w:t>
      </w:r>
    </w:p>
    <w:p w14:paraId="2E9DFACC" w14:textId="77777777" w:rsidR="00B66AFE" w:rsidRPr="00726813" w:rsidRDefault="00B66AFE" w:rsidP="004C09A1">
      <w:pPr>
        <w:spacing w:after="120" w:line="240" w:lineRule="auto"/>
        <w:rPr>
          <w:rFonts w:cs="Arial"/>
        </w:rPr>
      </w:pPr>
    </w:p>
    <w:p w14:paraId="7DAB40CB" w14:textId="77777777" w:rsidR="00B66AFE" w:rsidRPr="00CD4651" w:rsidRDefault="00B66AFE" w:rsidP="00CD465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CD4651">
        <w:rPr>
          <w:rFonts w:cs="Tahoma"/>
          <w:b/>
          <w:szCs w:val="22"/>
        </w:rPr>
        <w:t>Čl. IX.</w:t>
      </w:r>
    </w:p>
    <w:p w14:paraId="2DE1A009" w14:textId="77777777" w:rsidR="00B66AFE" w:rsidRPr="00CD4651" w:rsidRDefault="00B66AFE" w:rsidP="00CD465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CD4651">
        <w:rPr>
          <w:rFonts w:cs="Tahoma"/>
          <w:b/>
          <w:szCs w:val="22"/>
        </w:rPr>
        <w:t>Osoby zmocněné k</w:t>
      </w:r>
      <w:r w:rsidR="004C09A1" w:rsidRPr="00CD4651">
        <w:rPr>
          <w:rFonts w:cs="Tahoma"/>
          <w:b/>
          <w:szCs w:val="22"/>
        </w:rPr>
        <w:t> </w:t>
      </w:r>
      <w:r w:rsidRPr="00CD4651">
        <w:rPr>
          <w:rFonts w:cs="Tahoma"/>
          <w:b/>
          <w:szCs w:val="22"/>
        </w:rPr>
        <w:t>jednání</w:t>
      </w:r>
    </w:p>
    <w:p w14:paraId="43C54F83" w14:textId="77777777" w:rsidR="00B66AFE" w:rsidRPr="004C09A1" w:rsidRDefault="004C09A1" w:rsidP="004C09A1">
      <w:pPr>
        <w:numPr>
          <w:ilvl w:val="0"/>
          <w:numId w:val="23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K jednání v souvislosti s plněním této Smlouvy se tímto zmocňuje:</w:t>
      </w:r>
    </w:p>
    <w:p w14:paraId="0388310E" w14:textId="2DD31AA5" w:rsidR="00B66AFE" w:rsidRPr="004C09A1" w:rsidRDefault="00B66AFE" w:rsidP="004C09A1">
      <w:pPr>
        <w:pStyle w:val="Odstavecseseznamem"/>
        <w:numPr>
          <w:ilvl w:val="0"/>
          <w:numId w:val="24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za Partnera:</w:t>
      </w:r>
      <w:r w:rsidR="004B1E2F" w:rsidRPr="004C09A1">
        <w:rPr>
          <w:bCs/>
          <w:szCs w:val="22"/>
        </w:rPr>
        <w:t xml:space="preserve"> </w:t>
      </w:r>
      <w:r w:rsidR="00CB654E">
        <w:rPr>
          <w:bCs/>
          <w:szCs w:val="22"/>
        </w:rPr>
        <w:t>XXX,</w:t>
      </w:r>
      <w:r w:rsidR="004B1E2F" w:rsidRPr="004C09A1">
        <w:rPr>
          <w:bCs/>
          <w:szCs w:val="22"/>
        </w:rPr>
        <w:t xml:space="preserve"> vedoucí oddělení společenské odpovědnosti firem a řízení kvality v Ministerstvu průmyslu a obchodu</w:t>
      </w:r>
      <w:r w:rsidR="001A1DFC" w:rsidRPr="004C09A1">
        <w:rPr>
          <w:bCs/>
          <w:szCs w:val="22"/>
        </w:rPr>
        <w:t>,</w:t>
      </w:r>
    </w:p>
    <w:p w14:paraId="26656B3B" w14:textId="60DBD086" w:rsidR="007918CF" w:rsidRPr="007918CF" w:rsidRDefault="00B66AFE" w:rsidP="007918CF">
      <w:pPr>
        <w:numPr>
          <w:ilvl w:val="0"/>
          <w:numId w:val="24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 w:rsidRPr="007918CF">
        <w:rPr>
          <w:bCs/>
          <w:szCs w:val="22"/>
        </w:rPr>
        <w:t xml:space="preserve">za Dodavatele: </w:t>
      </w:r>
      <w:r w:rsidR="00CB654E">
        <w:rPr>
          <w:bCs/>
          <w:szCs w:val="22"/>
        </w:rPr>
        <w:t>XXX</w:t>
      </w:r>
      <w:bookmarkStart w:id="0" w:name="_GoBack"/>
      <w:bookmarkEnd w:id="0"/>
      <w:r w:rsidR="007918CF" w:rsidRPr="007918CF">
        <w:rPr>
          <w:bCs/>
          <w:szCs w:val="22"/>
        </w:rPr>
        <w:t>, projektovou manažerkou Asociace společenské</w:t>
      </w:r>
    </w:p>
    <w:p w14:paraId="1ACE9F1C" w14:textId="1BCF73BA" w:rsidR="00B66AFE" w:rsidRPr="003559D7" w:rsidRDefault="007918CF" w:rsidP="007918CF">
      <w:pPr>
        <w:tabs>
          <w:tab w:val="left" w:pos="709"/>
        </w:tabs>
        <w:overflowPunct/>
        <w:autoSpaceDE/>
        <w:autoSpaceDN/>
        <w:adjustRightInd/>
        <w:spacing w:after="0" w:line="240" w:lineRule="auto"/>
        <w:ind w:left="709"/>
        <w:jc w:val="both"/>
        <w:textAlignment w:val="auto"/>
        <w:rPr>
          <w:bCs/>
          <w:szCs w:val="22"/>
          <w:highlight w:val="yellow"/>
        </w:rPr>
      </w:pPr>
      <w:r w:rsidRPr="007918CF">
        <w:rPr>
          <w:bCs/>
          <w:szCs w:val="22"/>
        </w:rPr>
        <w:t>odpovědnosti,</w:t>
      </w:r>
    </w:p>
    <w:p w14:paraId="03BAB16B" w14:textId="77777777" w:rsidR="00B66AFE" w:rsidRPr="004C09A1" w:rsidRDefault="00B66AFE" w:rsidP="004C09A1">
      <w:pPr>
        <w:tabs>
          <w:tab w:val="left" w:pos="284"/>
        </w:tabs>
        <w:overflowPunct/>
        <w:autoSpaceDE/>
        <w:autoSpaceDN/>
        <w:adjustRightInd/>
        <w:spacing w:after="0" w:line="240" w:lineRule="auto"/>
        <w:ind w:left="720"/>
        <w:jc w:val="both"/>
        <w:textAlignment w:val="auto"/>
        <w:rPr>
          <w:bCs/>
          <w:szCs w:val="22"/>
        </w:rPr>
      </w:pPr>
      <w:r w:rsidRPr="004C09A1">
        <w:rPr>
          <w:bCs/>
          <w:szCs w:val="22"/>
        </w:rPr>
        <w:t>s výhradou, že každá ze smluvních stran může změnit kontaktní osobu. Takovouto změnu smluvní strana oznámí druhé smluvní straně písemně doporučeným dopisem.</w:t>
      </w:r>
    </w:p>
    <w:p w14:paraId="2C350AD9" w14:textId="77777777" w:rsidR="00B66AFE" w:rsidRPr="004C09A1" w:rsidRDefault="004C09A1" w:rsidP="004C09A1">
      <w:pPr>
        <w:pStyle w:val="Odstavecseseznamem"/>
        <w:numPr>
          <w:ilvl w:val="0"/>
          <w:numId w:val="23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>Jakékoli oznámení doručené osobně bude účinné a závazné ode dne předání nebo doručení e-</w:t>
      </w:r>
      <w:r w:rsidR="001A1DFC" w:rsidRPr="004C09A1">
        <w:rPr>
          <w:bCs/>
          <w:szCs w:val="22"/>
        </w:rPr>
        <w:t>m</w:t>
      </w:r>
      <w:r w:rsidR="00B66AFE" w:rsidRPr="004C09A1">
        <w:rPr>
          <w:bCs/>
          <w:szCs w:val="22"/>
        </w:rPr>
        <w:t>ailem a jakékoli oznámení doručené poštou bude účinné od následujícího pracovního dne po dni doručení poštou.</w:t>
      </w:r>
    </w:p>
    <w:p w14:paraId="09EDEA6C" w14:textId="77777777" w:rsidR="00B66AFE" w:rsidRPr="004C09A1" w:rsidRDefault="004C09A1" w:rsidP="004C09A1">
      <w:pPr>
        <w:numPr>
          <w:ilvl w:val="0"/>
          <w:numId w:val="23"/>
        </w:numPr>
        <w:tabs>
          <w:tab w:val="clear" w:pos="360"/>
          <w:tab w:val="left" w:pos="284"/>
        </w:tabs>
        <w:overflowPunct/>
        <w:autoSpaceDE/>
        <w:autoSpaceDN/>
        <w:adjustRightInd/>
        <w:spacing w:after="0" w:line="240" w:lineRule="auto"/>
        <w:jc w:val="both"/>
        <w:textAlignment w:val="auto"/>
        <w:rPr>
          <w:bCs/>
          <w:szCs w:val="22"/>
        </w:rPr>
      </w:pPr>
      <w:r>
        <w:rPr>
          <w:bCs/>
          <w:szCs w:val="22"/>
        </w:rPr>
        <w:t xml:space="preserve"> </w:t>
      </w:r>
      <w:r w:rsidR="00B66AFE" w:rsidRPr="004C09A1">
        <w:rPr>
          <w:bCs/>
          <w:szCs w:val="22"/>
        </w:rPr>
        <w:t xml:space="preserve">Dopis zaslaný doporučeně se považuje za doručený při opakovaném marném pokusu o doručení poštou dnem, kdy byl uložen na poště, i když se adresát o uložení nedozvěděl. </w:t>
      </w:r>
    </w:p>
    <w:p w14:paraId="0746DE92" w14:textId="77777777" w:rsidR="00B66AFE" w:rsidRPr="00DD58DE" w:rsidRDefault="00B66AFE" w:rsidP="004C09A1">
      <w:pPr>
        <w:tabs>
          <w:tab w:val="left" w:pos="284"/>
        </w:tabs>
        <w:spacing w:after="120" w:line="240" w:lineRule="auto"/>
        <w:jc w:val="center"/>
      </w:pPr>
    </w:p>
    <w:p w14:paraId="44D53665" w14:textId="7777777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 xml:space="preserve">Čl. </w:t>
      </w:r>
      <w:r w:rsidR="00105841">
        <w:rPr>
          <w:rFonts w:cs="Tahoma"/>
          <w:b/>
          <w:szCs w:val="22"/>
        </w:rPr>
        <w:t>X</w:t>
      </w:r>
      <w:r w:rsidRPr="001617CE">
        <w:rPr>
          <w:rFonts w:cs="Tahoma"/>
          <w:b/>
          <w:szCs w:val="22"/>
        </w:rPr>
        <w:t>.</w:t>
      </w:r>
    </w:p>
    <w:p w14:paraId="429492BD" w14:textId="77777777" w:rsidR="00515503" w:rsidRPr="001617CE" w:rsidRDefault="00515503" w:rsidP="004C09A1">
      <w:pPr>
        <w:pStyle w:val="Zkladntext"/>
        <w:spacing w:line="240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14:paraId="58CE3287" w14:textId="77777777" w:rsidR="00515503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</w:pPr>
      <w:r>
        <w:t>Tato Smlouva nabývá platnosti a účinnosti dnem jejího podpisu oběma smluvními stranami. Lze ji měnit či rušit pouze na základě písemné dohody smluvní stran, a to písemnými dodatky, podepsanými oprávněnými zástupci stran na téže listině.</w:t>
      </w:r>
    </w:p>
    <w:p w14:paraId="79754506" w14:textId="77777777" w:rsidR="00515503" w:rsidRPr="001617CE" w:rsidRDefault="00515503" w:rsidP="004C09A1">
      <w:pPr>
        <w:pStyle w:val="Zkladntext"/>
        <w:widowControl w:val="0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14:paraId="22E5EB2C" w14:textId="77777777" w:rsidR="00515503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284" w:hanging="284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byl sledován nahrazovaným ustanovením.</w:t>
      </w:r>
    </w:p>
    <w:p w14:paraId="697BB15A" w14:textId="205A082C" w:rsidR="00515503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szCs w:val="22"/>
        </w:rPr>
      </w:pPr>
      <w:r>
        <w:rPr>
          <w:szCs w:val="22"/>
        </w:rPr>
        <w:t>Dodavatel</w:t>
      </w:r>
      <w:r w:rsidRPr="00AD17B3">
        <w:rPr>
          <w:szCs w:val="22"/>
        </w:rPr>
        <w:t xml:space="preserve"> odpovídá </w:t>
      </w:r>
      <w:r>
        <w:rPr>
          <w:szCs w:val="22"/>
        </w:rPr>
        <w:t>Partnerovi</w:t>
      </w:r>
      <w:r w:rsidRPr="00AD17B3">
        <w:rPr>
          <w:szCs w:val="22"/>
        </w:rPr>
        <w:t xml:space="preserve"> za veškeré škody </w:t>
      </w:r>
      <w:r>
        <w:rPr>
          <w:szCs w:val="22"/>
        </w:rPr>
        <w:t>Dodavatelem</w:t>
      </w:r>
      <w:r w:rsidRPr="00AD17B3">
        <w:rPr>
          <w:szCs w:val="22"/>
        </w:rPr>
        <w:t xml:space="preserve"> způsobené neplněním nebo porušením povinností dle </w:t>
      </w:r>
      <w:r>
        <w:rPr>
          <w:szCs w:val="22"/>
        </w:rPr>
        <w:t>této S</w:t>
      </w:r>
      <w:r w:rsidRPr="00AD17B3">
        <w:rPr>
          <w:szCs w:val="22"/>
        </w:rPr>
        <w:t>mlouvy.</w:t>
      </w:r>
    </w:p>
    <w:p w14:paraId="4C57FD9F" w14:textId="77777777" w:rsidR="00DE188B" w:rsidRDefault="00DE188B" w:rsidP="00FA3335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20" w:line="240" w:lineRule="auto"/>
        <w:ind w:left="284" w:hanging="284"/>
        <w:contextualSpacing w:val="0"/>
        <w:jc w:val="both"/>
        <w:textAlignment w:val="auto"/>
      </w:pPr>
      <w:r>
        <w:rPr>
          <w:szCs w:val="22"/>
        </w:rPr>
        <w:t>Dodavatel</w:t>
      </w:r>
      <w:r w:rsidRPr="00726813">
        <w:rPr>
          <w:szCs w:val="22"/>
        </w:rPr>
        <w:t xml:space="preserve"> bere na vědomí, že je na základě § 2 písm. e) zákona č. 320/2001 Sb., o finanční kontrole, ve znění pozdějších předpisů, osobou povinnou spolupůsobit při výkonu finanční kontroly</w:t>
      </w:r>
    </w:p>
    <w:p w14:paraId="494FB6A4" w14:textId="77777777" w:rsidR="00515503" w:rsidRPr="00AD17B3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Žádná ze </w:t>
      </w:r>
      <w:r>
        <w:rPr>
          <w:szCs w:val="22"/>
        </w:rPr>
        <w:t>s</w:t>
      </w:r>
      <w:r w:rsidRPr="00AD17B3">
        <w:rPr>
          <w:szCs w:val="22"/>
        </w:rPr>
        <w:t xml:space="preserve">mluvních stran není odpovědná za prodlení s porušením povinností stanovených </w:t>
      </w:r>
      <w:r>
        <w:rPr>
          <w:szCs w:val="22"/>
        </w:rPr>
        <w:t>S</w:t>
      </w:r>
      <w:r w:rsidRPr="00AD17B3">
        <w:rPr>
          <w:szCs w:val="22"/>
        </w:rPr>
        <w:t xml:space="preserve">mlouvou, pokud bylo způsobeno okolnostmi vylučujícími odpovědnost (vyšší moc). Za vyšší moc dle </w:t>
      </w:r>
      <w:r>
        <w:rPr>
          <w:szCs w:val="22"/>
        </w:rPr>
        <w:t>S</w:t>
      </w:r>
      <w:r w:rsidRPr="00AD17B3">
        <w:rPr>
          <w:szCs w:val="22"/>
        </w:rPr>
        <w:t xml:space="preserve">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na ni v dané situaci spravedlivě požadovat. </w:t>
      </w:r>
      <w:r w:rsidRPr="00AD17B3">
        <w:rPr>
          <w:szCs w:val="22"/>
        </w:rPr>
        <w:tab/>
      </w:r>
    </w:p>
    <w:p w14:paraId="121E8F77" w14:textId="77777777" w:rsidR="00515503" w:rsidRPr="00AD17B3" w:rsidRDefault="00515503" w:rsidP="004C09A1">
      <w:pPr>
        <w:pStyle w:val="lnek10"/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Smluvní strany se zavazují vyvinout maximální úsilí k odstranění vzájemných sporů vzniklých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nebo v souvislosti s ní, včetně sporů o její výklad či platnost a usilovat se o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>smírné vyřešení těchto sporů nejprve prostřednictvím jednání kontaktních osob nebo pověřených zástupců.</w:t>
      </w:r>
      <w:r>
        <w:rPr>
          <w:rFonts w:asciiTheme="minorHAnsi" w:hAnsiTheme="minorHAnsi" w:cs="Times New Roman"/>
        </w:rPr>
        <w:t xml:space="preserve"> </w:t>
      </w:r>
      <w:r w:rsidRPr="00AD17B3">
        <w:rPr>
          <w:rFonts w:asciiTheme="minorHAnsi" w:hAnsiTheme="minorHAnsi" w:cs="Times New Roman"/>
        </w:rPr>
        <w:t xml:space="preserve">Nebude-li vyřešen smírně, bude každý spor vzniklý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 xml:space="preserve">mlouvy rozhodován </w:t>
      </w:r>
      <w:r w:rsidRPr="00AD17B3">
        <w:rPr>
          <w:rFonts w:asciiTheme="minorHAnsi" w:hAnsiTheme="minorHAnsi" w:cs="Times New Roman"/>
        </w:rPr>
        <w:lastRenderedPageBreak/>
        <w:t>u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obecného soudu České republiky, který je místně příslušný pro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, nestanoví-li zákon výlučnou místní příslušnost jiného soudu.</w:t>
      </w:r>
    </w:p>
    <w:p w14:paraId="3972928F" w14:textId="77777777" w:rsidR="00515503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284" w:hanging="284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 znění pozdějších předpisů.</w:t>
      </w:r>
    </w:p>
    <w:p w14:paraId="7B6D58FA" w14:textId="77777777" w:rsidR="00515503" w:rsidRPr="00267BA4" w:rsidRDefault="00515503" w:rsidP="004C09A1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284" w:hanging="284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AD17B3">
        <w:rPr>
          <w:szCs w:val="22"/>
        </w:rPr>
        <w:t xml:space="preserve">při respektování principu poctivost, spravedlnosti a rovnosti smluvních stran, </w:t>
      </w:r>
      <w:r>
        <w:t>což zástupci obou smluvních stran stvrzují svými podpisy.</w:t>
      </w:r>
    </w:p>
    <w:p w14:paraId="2CFB77A4" w14:textId="77777777" w:rsidR="00D05D94" w:rsidRDefault="00D05D94" w:rsidP="004C09A1">
      <w:pPr>
        <w:pStyle w:val="Zkladntext"/>
        <w:spacing w:line="240" w:lineRule="auto"/>
        <w:jc w:val="both"/>
        <w:rPr>
          <w:rFonts w:cs="Tahoma"/>
          <w:szCs w:val="22"/>
        </w:rPr>
      </w:pPr>
    </w:p>
    <w:p w14:paraId="46299C21" w14:textId="77777777" w:rsidR="00515503" w:rsidRPr="001617CE" w:rsidRDefault="00515503" w:rsidP="004C09A1">
      <w:pPr>
        <w:pStyle w:val="Zkladntext"/>
        <w:spacing w:line="240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V Praze dne:</w:t>
      </w:r>
      <w:r w:rsidR="00A03E50">
        <w:rPr>
          <w:rFonts w:cs="Tahoma"/>
          <w:szCs w:val="22"/>
        </w:rPr>
        <w:tab/>
      </w:r>
      <w:r w:rsidRPr="001617CE">
        <w:rPr>
          <w:rFonts w:cs="Tahoma"/>
          <w:szCs w:val="22"/>
        </w:rPr>
        <w:t xml:space="preserve">                   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="00532809">
        <w:rPr>
          <w:rFonts w:cs="Tahoma"/>
          <w:szCs w:val="22"/>
        </w:rPr>
        <w:tab/>
      </w:r>
      <w:r w:rsidRPr="001617CE">
        <w:rPr>
          <w:rFonts w:cs="Tahoma"/>
          <w:szCs w:val="22"/>
        </w:rPr>
        <w:t>V</w:t>
      </w:r>
      <w:r w:rsidR="00532809">
        <w:rPr>
          <w:rFonts w:cs="Tahoma"/>
          <w:szCs w:val="22"/>
        </w:rPr>
        <w:t xml:space="preserve"> Praze </w:t>
      </w:r>
      <w:r w:rsidRPr="001617CE">
        <w:rPr>
          <w:rFonts w:cs="Tahoma"/>
          <w:szCs w:val="22"/>
        </w:rPr>
        <w:t>dne</w:t>
      </w:r>
      <w:r>
        <w:rPr>
          <w:rFonts w:cs="Tahoma"/>
          <w:szCs w:val="22"/>
        </w:rPr>
        <w:t>:</w:t>
      </w:r>
      <w:r>
        <w:rPr>
          <w:rFonts w:cs="Tahoma"/>
          <w:szCs w:val="22"/>
        </w:rPr>
        <w:tab/>
      </w:r>
    </w:p>
    <w:p w14:paraId="455777C1" w14:textId="77777777" w:rsidR="00515503" w:rsidRDefault="00515503" w:rsidP="004C09A1">
      <w:pPr>
        <w:pStyle w:val="Zkladntext"/>
        <w:spacing w:line="240" w:lineRule="auto"/>
        <w:ind w:firstLine="709"/>
        <w:jc w:val="both"/>
        <w:rPr>
          <w:rFonts w:cs="Tahoma"/>
          <w:szCs w:val="22"/>
        </w:rPr>
      </w:pPr>
    </w:p>
    <w:p w14:paraId="4799F1D1" w14:textId="77777777" w:rsidR="00CD4651" w:rsidRDefault="00CD4651" w:rsidP="004C09A1">
      <w:pPr>
        <w:pStyle w:val="Zkladntext"/>
        <w:spacing w:line="240" w:lineRule="auto"/>
        <w:ind w:firstLine="709"/>
        <w:jc w:val="both"/>
        <w:rPr>
          <w:rFonts w:cs="Tahoma"/>
          <w:szCs w:val="22"/>
        </w:rPr>
      </w:pPr>
    </w:p>
    <w:p w14:paraId="77DEBC6F" w14:textId="77777777" w:rsidR="00A03E50" w:rsidRDefault="00A03E50" w:rsidP="004C09A1">
      <w:pPr>
        <w:pStyle w:val="Zkladntext"/>
        <w:spacing w:line="240" w:lineRule="auto"/>
        <w:ind w:firstLine="709"/>
        <w:jc w:val="both"/>
        <w:rPr>
          <w:rFonts w:cs="Tahoma"/>
          <w:szCs w:val="22"/>
        </w:rPr>
      </w:pPr>
    </w:p>
    <w:p w14:paraId="36EFE28A" w14:textId="77777777" w:rsidR="00A03E50" w:rsidRDefault="00A03E50" w:rsidP="004C09A1">
      <w:pPr>
        <w:pStyle w:val="Zkladntext"/>
        <w:spacing w:line="240" w:lineRule="auto"/>
        <w:ind w:firstLine="709"/>
        <w:jc w:val="both"/>
        <w:rPr>
          <w:rFonts w:cs="Tahoma"/>
          <w:szCs w:val="22"/>
        </w:rPr>
      </w:pPr>
    </w:p>
    <w:p w14:paraId="2BD2977C" w14:textId="77777777" w:rsidR="00A03E50" w:rsidRPr="001617CE" w:rsidRDefault="00A03E50" w:rsidP="004C09A1">
      <w:pPr>
        <w:pStyle w:val="Zkladntext"/>
        <w:spacing w:line="240" w:lineRule="auto"/>
        <w:ind w:firstLine="709"/>
        <w:jc w:val="both"/>
        <w:rPr>
          <w:rFonts w:cs="Tahoma"/>
          <w:szCs w:val="22"/>
        </w:rPr>
      </w:pPr>
    </w:p>
    <w:p w14:paraId="490A313C" w14:textId="77777777" w:rsidR="00515503" w:rsidRPr="001617CE" w:rsidRDefault="00515503" w:rsidP="004C09A1">
      <w:pPr>
        <w:pStyle w:val="Zkladntext"/>
        <w:spacing w:line="240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14:paraId="270FA5B0" w14:textId="77777777" w:rsidR="00515503" w:rsidRPr="00F73B5C" w:rsidRDefault="00515503" w:rsidP="004C09A1">
      <w:pPr>
        <w:pStyle w:val="Zkladntext"/>
        <w:spacing w:line="240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p w14:paraId="1E541114" w14:textId="77777777" w:rsidR="008452D7" w:rsidRDefault="008452D7" w:rsidP="004C09A1">
      <w:pPr>
        <w:spacing w:line="240" w:lineRule="auto"/>
      </w:pPr>
    </w:p>
    <w:sectPr w:rsidR="008452D7" w:rsidSect="001E143D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E2970" w14:textId="77777777" w:rsidR="004B21E1" w:rsidRDefault="004B21E1">
      <w:pPr>
        <w:spacing w:after="0" w:line="240" w:lineRule="auto"/>
      </w:pPr>
      <w:r>
        <w:separator/>
      </w:r>
    </w:p>
  </w:endnote>
  <w:endnote w:type="continuationSeparator" w:id="0">
    <w:p w14:paraId="3BC0F788" w14:textId="77777777" w:rsidR="004B21E1" w:rsidRDefault="004B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29277"/>
      <w:docPartObj>
        <w:docPartGallery w:val="Page Numbers (Bottom of Page)"/>
        <w:docPartUnique/>
      </w:docPartObj>
    </w:sdtPr>
    <w:sdtEndPr/>
    <w:sdtContent>
      <w:p w14:paraId="25EB68C8" w14:textId="77777777" w:rsidR="00520CE7" w:rsidRDefault="001E143D">
        <w:pPr>
          <w:pStyle w:val="Zpat"/>
          <w:jc w:val="center"/>
        </w:pPr>
        <w:r>
          <w:fldChar w:fldCharType="begin"/>
        </w:r>
        <w:r w:rsidR="00B97B7F">
          <w:instrText>PAGE   \* MERGEFORMAT</w:instrText>
        </w:r>
        <w:r>
          <w:fldChar w:fldCharType="separate"/>
        </w:r>
        <w:r w:rsidR="00D92CA8">
          <w:rPr>
            <w:noProof/>
          </w:rPr>
          <w:t>1</w:t>
        </w:r>
        <w:r>
          <w:fldChar w:fldCharType="end"/>
        </w:r>
      </w:p>
    </w:sdtContent>
  </w:sdt>
  <w:p w14:paraId="531F85D0" w14:textId="77777777" w:rsidR="00520CE7" w:rsidRDefault="00CB6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C6279" w14:textId="77777777" w:rsidR="004B21E1" w:rsidRDefault="004B21E1">
      <w:pPr>
        <w:spacing w:after="0" w:line="240" w:lineRule="auto"/>
      </w:pPr>
      <w:r>
        <w:separator/>
      </w:r>
    </w:p>
  </w:footnote>
  <w:footnote w:type="continuationSeparator" w:id="0">
    <w:p w14:paraId="1A98E993" w14:textId="77777777" w:rsidR="004B21E1" w:rsidRDefault="004B2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FF4"/>
    <w:multiLevelType w:val="hybridMultilevel"/>
    <w:tmpl w:val="55F63FF2"/>
    <w:lvl w:ilvl="0" w:tplc="0F3CB47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2407A33"/>
    <w:multiLevelType w:val="hybridMultilevel"/>
    <w:tmpl w:val="CCB830C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E5C"/>
    <w:multiLevelType w:val="hybridMultilevel"/>
    <w:tmpl w:val="1C8208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E6230"/>
    <w:multiLevelType w:val="hybridMultilevel"/>
    <w:tmpl w:val="C130FA26"/>
    <w:lvl w:ilvl="0" w:tplc="68B66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B352B4"/>
    <w:multiLevelType w:val="hybridMultilevel"/>
    <w:tmpl w:val="11B21F94"/>
    <w:lvl w:ilvl="0" w:tplc="F5766EA4">
      <w:start w:val="1"/>
      <w:numFmt w:val="decimal"/>
      <w:lvlText w:val="%1."/>
      <w:lvlJc w:val="left"/>
      <w:pPr>
        <w:ind w:left="786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825201"/>
    <w:multiLevelType w:val="hybridMultilevel"/>
    <w:tmpl w:val="884A1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B5E5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44B6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76544D"/>
    <w:multiLevelType w:val="hybridMultilevel"/>
    <w:tmpl w:val="38D0F810"/>
    <w:lvl w:ilvl="0" w:tplc="53601A74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3B0D67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5F2947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F4483F"/>
    <w:multiLevelType w:val="hybridMultilevel"/>
    <w:tmpl w:val="56E03030"/>
    <w:lvl w:ilvl="0" w:tplc="31D06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trike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653B51"/>
    <w:multiLevelType w:val="hybridMultilevel"/>
    <w:tmpl w:val="9DAA2706"/>
    <w:lvl w:ilvl="0" w:tplc="71484446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483B47"/>
    <w:multiLevelType w:val="hybridMultilevel"/>
    <w:tmpl w:val="23746F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B4510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B6589A"/>
    <w:multiLevelType w:val="hybridMultilevel"/>
    <w:tmpl w:val="11DA1D06"/>
    <w:lvl w:ilvl="0" w:tplc="B8AC4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0370E3"/>
    <w:multiLevelType w:val="hybridMultilevel"/>
    <w:tmpl w:val="047A1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2665D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B30222"/>
    <w:multiLevelType w:val="hybridMultilevel"/>
    <w:tmpl w:val="B6CC5018"/>
    <w:lvl w:ilvl="0" w:tplc="F828B1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002E2"/>
    <w:multiLevelType w:val="hybridMultilevel"/>
    <w:tmpl w:val="89C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817B26"/>
    <w:multiLevelType w:val="hybridMultilevel"/>
    <w:tmpl w:val="F272860C"/>
    <w:lvl w:ilvl="0" w:tplc="45309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593E"/>
    <w:multiLevelType w:val="hybridMultilevel"/>
    <w:tmpl w:val="CCFC8DA0"/>
    <w:lvl w:ilvl="0" w:tplc="25FCA8D6">
      <w:start w:val="1"/>
      <w:numFmt w:val="decimal"/>
      <w:lvlText w:val="%1."/>
      <w:lvlJc w:val="left"/>
      <w:pPr>
        <w:ind w:left="1065" w:hanging="360"/>
      </w:pPr>
      <w:rPr>
        <w:rFonts w:asciiTheme="minorHAnsi" w:eastAsia="Times New Roman" w:hAnsi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8164A7"/>
    <w:multiLevelType w:val="hybridMultilevel"/>
    <w:tmpl w:val="047A1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40793C"/>
    <w:multiLevelType w:val="hybridMultilevel"/>
    <w:tmpl w:val="B0C05BF8"/>
    <w:lvl w:ilvl="0" w:tplc="74DEF58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E0F5A0D"/>
    <w:multiLevelType w:val="hybridMultilevel"/>
    <w:tmpl w:val="E41A7630"/>
    <w:lvl w:ilvl="0" w:tplc="9DF2C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C354B2"/>
    <w:multiLevelType w:val="hybridMultilevel"/>
    <w:tmpl w:val="3C1ED810"/>
    <w:lvl w:ilvl="0" w:tplc="589EF8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23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0"/>
  </w:num>
  <w:num w:numId="10">
    <w:abstractNumId w:val="15"/>
  </w:num>
  <w:num w:numId="11">
    <w:abstractNumId w:val="6"/>
  </w:num>
  <w:num w:numId="12">
    <w:abstractNumId w:val="5"/>
  </w:num>
  <w:num w:numId="13">
    <w:abstractNumId w:val="21"/>
  </w:num>
  <w:num w:numId="14">
    <w:abstractNumId w:val="26"/>
  </w:num>
  <w:num w:numId="15">
    <w:abstractNumId w:val="25"/>
  </w:num>
  <w:num w:numId="16">
    <w:abstractNumId w:val="19"/>
  </w:num>
  <w:num w:numId="17">
    <w:abstractNumId w:val="2"/>
  </w:num>
  <w:num w:numId="18">
    <w:abstractNumId w:val="9"/>
  </w:num>
  <w:num w:numId="19">
    <w:abstractNumId w:val="10"/>
  </w:num>
  <w:num w:numId="20">
    <w:abstractNumId w:val="14"/>
  </w:num>
  <w:num w:numId="21">
    <w:abstractNumId w:val="16"/>
  </w:num>
  <w:num w:numId="22">
    <w:abstractNumId w:val="22"/>
  </w:num>
  <w:num w:numId="23">
    <w:abstractNumId w:val="7"/>
  </w:num>
  <w:num w:numId="24">
    <w:abstractNumId w:val="13"/>
  </w:num>
  <w:num w:numId="25">
    <w:abstractNumId w:val="11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03"/>
    <w:rsid w:val="00062B3D"/>
    <w:rsid w:val="000775C1"/>
    <w:rsid w:val="00097AA9"/>
    <w:rsid w:val="000B1BE9"/>
    <w:rsid w:val="000B475E"/>
    <w:rsid w:val="000E6B5A"/>
    <w:rsid w:val="00105841"/>
    <w:rsid w:val="00107676"/>
    <w:rsid w:val="001559AF"/>
    <w:rsid w:val="00161A35"/>
    <w:rsid w:val="00190185"/>
    <w:rsid w:val="001905F9"/>
    <w:rsid w:val="001A1DFC"/>
    <w:rsid w:val="001E143D"/>
    <w:rsid w:val="001F12D1"/>
    <w:rsid w:val="001F45A5"/>
    <w:rsid w:val="00225E8A"/>
    <w:rsid w:val="002339CC"/>
    <w:rsid w:val="00233A4F"/>
    <w:rsid w:val="00247B23"/>
    <w:rsid w:val="00281FE8"/>
    <w:rsid w:val="00285128"/>
    <w:rsid w:val="002B7F6C"/>
    <w:rsid w:val="002F4BC8"/>
    <w:rsid w:val="00303C19"/>
    <w:rsid w:val="00315700"/>
    <w:rsid w:val="00323534"/>
    <w:rsid w:val="00346FFB"/>
    <w:rsid w:val="003559D7"/>
    <w:rsid w:val="003735F1"/>
    <w:rsid w:val="00373847"/>
    <w:rsid w:val="00383C42"/>
    <w:rsid w:val="00397BC2"/>
    <w:rsid w:val="003B44C1"/>
    <w:rsid w:val="003D2AD8"/>
    <w:rsid w:val="003E08F0"/>
    <w:rsid w:val="004113F0"/>
    <w:rsid w:val="00485510"/>
    <w:rsid w:val="004902B9"/>
    <w:rsid w:val="004A1D72"/>
    <w:rsid w:val="004B1E2F"/>
    <w:rsid w:val="004B21E1"/>
    <w:rsid w:val="004C09A1"/>
    <w:rsid w:val="004C1AC6"/>
    <w:rsid w:val="004C593D"/>
    <w:rsid w:val="004C5ACF"/>
    <w:rsid w:val="004D4F9D"/>
    <w:rsid w:val="004E4149"/>
    <w:rsid w:val="00515503"/>
    <w:rsid w:val="00520295"/>
    <w:rsid w:val="00532809"/>
    <w:rsid w:val="005500B4"/>
    <w:rsid w:val="005519AA"/>
    <w:rsid w:val="0055390C"/>
    <w:rsid w:val="00571558"/>
    <w:rsid w:val="005F6836"/>
    <w:rsid w:val="00602CB1"/>
    <w:rsid w:val="006336A9"/>
    <w:rsid w:val="0066043B"/>
    <w:rsid w:val="006641B8"/>
    <w:rsid w:val="006C3FDA"/>
    <w:rsid w:val="006D42B2"/>
    <w:rsid w:val="006F73AA"/>
    <w:rsid w:val="006F7B1F"/>
    <w:rsid w:val="00716D9D"/>
    <w:rsid w:val="00730980"/>
    <w:rsid w:val="00776B3D"/>
    <w:rsid w:val="00785D9E"/>
    <w:rsid w:val="00785F15"/>
    <w:rsid w:val="007918CF"/>
    <w:rsid w:val="007B1700"/>
    <w:rsid w:val="007C6CA6"/>
    <w:rsid w:val="00805941"/>
    <w:rsid w:val="00822863"/>
    <w:rsid w:val="008452D7"/>
    <w:rsid w:val="0085450A"/>
    <w:rsid w:val="00854DBC"/>
    <w:rsid w:val="008E2AB8"/>
    <w:rsid w:val="008E304C"/>
    <w:rsid w:val="009420A5"/>
    <w:rsid w:val="00944021"/>
    <w:rsid w:val="009446EE"/>
    <w:rsid w:val="0095486F"/>
    <w:rsid w:val="00976972"/>
    <w:rsid w:val="009B1EA1"/>
    <w:rsid w:val="009E2C7B"/>
    <w:rsid w:val="009E79A3"/>
    <w:rsid w:val="00A03E50"/>
    <w:rsid w:val="00A32D06"/>
    <w:rsid w:val="00A53466"/>
    <w:rsid w:val="00A563D3"/>
    <w:rsid w:val="00A620DC"/>
    <w:rsid w:val="00AD08BD"/>
    <w:rsid w:val="00AE7A4F"/>
    <w:rsid w:val="00AF6FD8"/>
    <w:rsid w:val="00B00C03"/>
    <w:rsid w:val="00B368AB"/>
    <w:rsid w:val="00B509ED"/>
    <w:rsid w:val="00B52093"/>
    <w:rsid w:val="00B61ED5"/>
    <w:rsid w:val="00B66AFE"/>
    <w:rsid w:val="00B96D33"/>
    <w:rsid w:val="00B97B7F"/>
    <w:rsid w:val="00BA4249"/>
    <w:rsid w:val="00BB1616"/>
    <w:rsid w:val="00BD75A3"/>
    <w:rsid w:val="00BE2F4C"/>
    <w:rsid w:val="00BE5CA5"/>
    <w:rsid w:val="00CA0E4C"/>
    <w:rsid w:val="00CA6492"/>
    <w:rsid w:val="00CB29CD"/>
    <w:rsid w:val="00CB654E"/>
    <w:rsid w:val="00CC1B98"/>
    <w:rsid w:val="00CD4651"/>
    <w:rsid w:val="00CF3DF8"/>
    <w:rsid w:val="00D05D94"/>
    <w:rsid w:val="00D1433E"/>
    <w:rsid w:val="00D37209"/>
    <w:rsid w:val="00D5547F"/>
    <w:rsid w:val="00D71C40"/>
    <w:rsid w:val="00D859DA"/>
    <w:rsid w:val="00D87C43"/>
    <w:rsid w:val="00D92CA8"/>
    <w:rsid w:val="00DC5399"/>
    <w:rsid w:val="00DE188B"/>
    <w:rsid w:val="00E43D14"/>
    <w:rsid w:val="00EA0C56"/>
    <w:rsid w:val="00EB48B4"/>
    <w:rsid w:val="00F07CE9"/>
    <w:rsid w:val="00F12EBD"/>
    <w:rsid w:val="00F7105A"/>
    <w:rsid w:val="00F746BE"/>
    <w:rsid w:val="00F80999"/>
    <w:rsid w:val="00FA3335"/>
    <w:rsid w:val="00FB164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376A"/>
  <w15:docId w15:val="{A0946E45-4DC8-4F19-9847-B614715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5503"/>
    <w:pPr>
      <w:overflowPunct w:val="0"/>
      <w:autoSpaceDE w:val="0"/>
      <w:autoSpaceDN w:val="0"/>
      <w:adjustRightInd w:val="0"/>
      <w:spacing w:line="340" w:lineRule="exact"/>
      <w:textAlignment w:val="baseline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unhideWhenUsed/>
    <w:qFormat/>
    <w:rsid w:val="00515503"/>
    <w:pPr>
      <w:ind w:left="720"/>
      <w:contextualSpacing/>
    </w:pPr>
  </w:style>
  <w:style w:type="paragraph" w:styleId="Zkladntext">
    <w:name w:val="Body Text"/>
    <w:basedOn w:val="Normln"/>
    <w:link w:val="ZkladntextChar"/>
    <w:rsid w:val="00515503"/>
  </w:style>
  <w:style w:type="character" w:customStyle="1" w:styleId="ZkladntextChar">
    <w:name w:val="Základní text Char"/>
    <w:basedOn w:val="Standardnpsmoodstavce"/>
    <w:link w:val="Zkladntext"/>
    <w:rsid w:val="00515503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503"/>
    <w:rPr>
      <w:rFonts w:eastAsia="Times New Roman" w:cs="Times New Roman"/>
      <w:szCs w:val="20"/>
      <w:lang w:eastAsia="cs-CZ"/>
    </w:rPr>
  </w:style>
  <w:style w:type="paragraph" w:customStyle="1" w:styleId="Style4">
    <w:name w:val="Style4"/>
    <w:basedOn w:val="Normln"/>
    <w:uiPriority w:val="99"/>
    <w:rsid w:val="00515503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515503"/>
    <w:rPr>
      <w:rFonts w:ascii="Times New Roman" w:hAnsi="Times New Roman" w:cs="Times New Roman"/>
      <w:sz w:val="22"/>
      <w:szCs w:val="22"/>
    </w:rPr>
  </w:style>
  <w:style w:type="paragraph" w:customStyle="1" w:styleId="lnek05">
    <w:name w:val="Článek 05"/>
    <w:basedOn w:val="Normln"/>
    <w:qFormat/>
    <w:rsid w:val="00515503"/>
    <w:pPr>
      <w:widowControl w:val="0"/>
      <w:numPr>
        <w:numId w:val="4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qFormat/>
    <w:rsid w:val="00515503"/>
    <w:pPr>
      <w:numPr>
        <w:numId w:val="6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eft">
    <w:name w:val="left"/>
    <w:basedOn w:val="Normln"/>
    <w:rsid w:val="0051550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0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5E8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5E8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95486F"/>
    <w:rPr>
      <w:rFonts w:eastAsia="Times New Roman" w:cs="Times New Roman"/>
      <w:szCs w:val="20"/>
      <w:lang w:eastAsia="cs-CZ"/>
    </w:rPr>
  </w:style>
  <w:style w:type="paragraph" w:customStyle="1" w:styleId="Body">
    <w:name w:val="Body"/>
    <w:basedOn w:val="Normln"/>
    <w:rsid w:val="00B66AFE"/>
    <w:pPr>
      <w:spacing w:after="130" w:line="260" w:lineRule="exact"/>
      <w:jc w:val="both"/>
    </w:pPr>
    <w:rPr>
      <w:rFonts w:ascii="Arial" w:hAnsi="Arial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AFE"/>
    <w:pPr>
      <w:overflowPunct/>
      <w:autoSpaceDE/>
      <w:autoSpaceDN/>
      <w:adjustRightInd/>
      <w:spacing w:after="120" w:line="259" w:lineRule="auto"/>
      <w:ind w:left="283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AFE"/>
  </w:style>
  <w:style w:type="paragraph" w:styleId="Bezmezer">
    <w:name w:val="No Spacing"/>
    <w:uiPriority w:val="99"/>
    <w:qFormat/>
    <w:rsid w:val="00B66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33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9C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9CC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9CC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st">
    <w:name w:val="st"/>
    <w:basedOn w:val="Standardnpsmoodstavce"/>
    <w:rsid w:val="00490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rodniportal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A67AAC81C3142A52E5C88BD2A25EC" ma:contentTypeVersion="13" ma:contentTypeDescription="Vytvoří nový dokument" ma:contentTypeScope="" ma:versionID="8e53cc3675368b1e6be4ffe918977a79">
  <xsd:schema xmlns:xsd="http://www.w3.org/2001/XMLSchema" xmlns:xs="http://www.w3.org/2001/XMLSchema" xmlns:p="http://schemas.microsoft.com/office/2006/metadata/properties" xmlns:ns3="3539662c-4905-463a-98bc-eb05b982b96d" xmlns:ns4="be221c5a-70ec-4918-ad9c-75d1520b5f2b" targetNamespace="http://schemas.microsoft.com/office/2006/metadata/properties" ma:root="true" ma:fieldsID="164db896a94c15a38cdcaba45832288c" ns3:_="" ns4:_="">
    <xsd:import namespace="3539662c-4905-463a-98bc-eb05b982b96d"/>
    <xsd:import namespace="be221c5a-70ec-4918-ad9c-75d1520b5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9662c-4905-463a-98bc-eb05b982b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1c5a-70ec-4918-ad9c-75d1520b5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BB177-BC6A-41E0-BFBC-CCA0FAEC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9662c-4905-463a-98bc-eb05b982b96d"/>
    <ds:schemaRef ds:uri="be221c5a-70ec-4918-ad9c-75d1520b5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919A-2D1D-447B-A6FE-E6307A4FD12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e221c5a-70ec-4918-ad9c-75d1520b5f2b"/>
    <ds:schemaRef ds:uri="http://purl.org/dc/elements/1.1/"/>
    <ds:schemaRef ds:uri="http://schemas.openxmlformats.org/package/2006/metadata/core-properties"/>
    <ds:schemaRef ds:uri="3539662c-4905-463a-98bc-eb05b982b9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122C0F-7F68-49FD-8F64-8FB323E6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377D2-0C12-4EED-A55F-61F4EE7D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C77EFAB2.dotm</Template>
  <TotalTime>1</TotalTime>
  <Pages>6</Pages>
  <Words>2419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Vodička</dc:creator>
  <cp:lastModifiedBy>Košanová Lucie</cp:lastModifiedBy>
  <cp:revision>3</cp:revision>
  <dcterms:created xsi:type="dcterms:W3CDTF">2020-10-07T11:40:00Z</dcterms:created>
  <dcterms:modified xsi:type="dcterms:W3CDTF">2020-10-07T11:40:00Z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0x0101003A0A67AAC81C3142A52E5C88BD2A25EC</vt:lpwstr>
  </property>
</Properties>
</file>