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C" w:rsidRDefault="00B54BDC">
      <w:pPr>
        <w:pStyle w:val="Nzev"/>
      </w:pPr>
      <w:r>
        <w:t>Smlouva o zajištění přípravného kurzu Elektrikář</w:t>
      </w:r>
    </w:p>
    <w:p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:rsidR="00B54BDC" w:rsidRDefault="00B54BDC">
      <w:pPr>
        <w:rPr>
          <w:rFonts w:asciiTheme="minorHAnsi" w:hAnsiTheme="minorHAnsi" w:cstheme="minorHAnsi"/>
        </w:rPr>
      </w:pPr>
    </w:p>
    <w:p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420984">
        <w:rPr>
          <w:rFonts w:asciiTheme="minorHAnsi" w:hAnsiTheme="minorHAnsi" w:cstheme="minorHAnsi"/>
          <w:highlight w:val="black"/>
        </w:rPr>
        <w:t>Mgr. Jan Mareš, MBA,</w:t>
      </w:r>
      <w:r w:rsidRPr="00547CDC">
        <w:rPr>
          <w:rFonts w:asciiTheme="minorHAnsi" w:hAnsiTheme="minorHAnsi" w:cstheme="minorHAnsi"/>
        </w:rPr>
        <w:t xml:space="preserve">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420984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420984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420984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420984">
        <w:rPr>
          <w:rFonts w:asciiTheme="minorHAnsi" w:hAnsiTheme="minorHAnsi" w:cstheme="minorHAnsi"/>
          <w:highlight w:val="black"/>
        </w:rPr>
        <w:t>, tel. 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420984">
        <w:rPr>
          <w:rFonts w:asciiTheme="minorHAnsi" w:hAnsiTheme="minorHAnsi" w:cstheme="minorHAnsi"/>
          <w:highlight w:val="black"/>
        </w:rPr>
        <w:t>Komerční banka</w:t>
      </w:r>
      <w:r w:rsidR="00896115" w:rsidRPr="00420984">
        <w:rPr>
          <w:rFonts w:asciiTheme="minorHAnsi" w:hAnsiTheme="minorHAnsi" w:cstheme="minorHAnsi"/>
          <w:highlight w:val="black"/>
        </w:rPr>
        <w:t xml:space="preserve"> a.s.,</w:t>
      </w:r>
      <w:r w:rsidR="00B54BDC" w:rsidRPr="00420984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420984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420984">
        <w:rPr>
          <w:rFonts w:asciiTheme="minorHAnsi" w:hAnsiTheme="minorHAnsi" w:cstheme="minorHAnsi"/>
          <w:highlight w:val="black"/>
        </w:rPr>
        <w:t>.</w:t>
      </w:r>
      <w:r w:rsidR="00896115" w:rsidRPr="00420984">
        <w:rPr>
          <w:rFonts w:asciiTheme="minorHAnsi" w:hAnsiTheme="minorHAnsi" w:cstheme="minorHAnsi"/>
          <w:highlight w:val="black"/>
        </w:rPr>
        <w:t>:</w:t>
      </w:r>
      <w:r w:rsidR="00B54BDC" w:rsidRPr="00420984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E23C7E" w:rsidRPr="00B50BAF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název firmy:</w:t>
      </w:r>
      <w:r w:rsidR="00B50BAF">
        <w:rPr>
          <w:rFonts w:asciiTheme="minorHAnsi" w:hAnsiTheme="minorHAnsi" w:cstheme="minorHAnsi"/>
        </w:rPr>
        <w:t xml:space="preserve"> </w:t>
      </w:r>
      <w:r w:rsidR="00B50BAF" w:rsidRPr="00B50BAF">
        <w:rPr>
          <w:rFonts w:asciiTheme="minorHAnsi" w:hAnsiTheme="minorHAnsi" w:cstheme="minorHAnsi"/>
          <w:b/>
        </w:rPr>
        <w:t xml:space="preserve">Euro Support </w:t>
      </w:r>
      <w:proofErr w:type="spellStart"/>
      <w:r w:rsidR="00B50BAF" w:rsidRPr="00B50BAF">
        <w:rPr>
          <w:rFonts w:asciiTheme="minorHAnsi" w:hAnsiTheme="minorHAnsi" w:cstheme="minorHAnsi"/>
          <w:b/>
        </w:rPr>
        <w:t>Manufacturing</w:t>
      </w:r>
      <w:proofErr w:type="spellEnd"/>
      <w:r w:rsidR="00B50BAF" w:rsidRPr="00B50BAF">
        <w:rPr>
          <w:rFonts w:asciiTheme="minorHAnsi" w:hAnsiTheme="minorHAnsi" w:cstheme="minorHAnsi"/>
          <w:b/>
        </w:rPr>
        <w:t xml:space="preserve"> </w:t>
      </w:r>
      <w:proofErr w:type="spellStart"/>
      <w:r w:rsidR="00B50BAF" w:rsidRPr="00B50BAF">
        <w:rPr>
          <w:rFonts w:asciiTheme="minorHAnsi" w:hAnsiTheme="minorHAnsi" w:cstheme="minorHAnsi"/>
          <w:b/>
        </w:rPr>
        <w:t>Czechia</w:t>
      </w:r>
      <w:proofErr w:type="spellEnd"/>
      <w:r w:rsidR="00B50BAF" w:rsidRPr="00B50BAF">
        <w:rPr>
          <w:rFonts w:asciiTheme="minorHAnsi" w:hAnsiTheme="minorHAnsi" w:cstheme="minorHAnsi"/>
          <w:b/>
        </w:rPr>
        <w:t>, s.r.o.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B50BAF">
        <w:rPr>
          <w:rFonts w:asciiTheme="minorHAnsi" w:hAnsiTheme="minorHAnsi" w:cstheme="minorHAnsi"/>
        </w:rPr>
        <w:t>Záluží 1, 436 70 Litvínov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B50BAF">
        <w:rPr>
          <w:rFonts w:asciiTheme="minorHAnsi" w:hAnsiTheme="minorHAnsi" w:cstheme="minorHAnsi"/>
        </w:rPr>
        <w:t>25417681</w:t>
      </w:r>
    </w:p>
    <w:p w:rsidR="00B50BAF" w:rsidRPr="008249FC" w:rsidRDefault="00AA3126" w:rsidP="00B50BAF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B50BAF">
        <w:rPr>
          <w:rFonts w:asciiTheme="minorHAnsi" w:hAnsiTheme="minorHAnsi" w:cstheme="minorHAnsi"/>
        </w:rPr>
        <w:t>CZ25417681</w:t>
      </w:r>
    </w:p>
    <w:p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</w:p>
    <w:p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="00B50BAF" w:rsidRPr="00420984">
        <w:rPr>
          <w:rFonts w:asciiTheme="minorHAnsi" w:hAnsiTheme="minorHAnsi" w:cstheme="minorHAnsi"/>
          <w:highlight w:val="black"/>
        </w:rPr>
        <w:t>Ing. Karel Svoboda</w:t>
      </w:r>
      <w:r w:rsidR="00B50BAF">
        <w:rPr>
          <w:rFonts w:asciiTheme="minorHAnsi" w:hAnsiTheme="minorHAnsi" w:cstheme="minorHAnsi"/>
        </w:rPr>
        <w:t xml:space="preserve"> </w:t>
      </w:r>
    </w:p>
    <w:p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="005260B4">
        <w:rPr>
          <w:rFonts w:asciiTheme="minorHAnsi" w:hAnsiTheme="minorHAnsi" w:cstheme="minorHAnsi"/>
        </w:rPr>
        <w:t xml:space="preserve"> </w:t>
      </w:r>
      <w:hyperlink r:id="rId8" w:history="1">
        <w:r w:rsidR="00B50BAF" w:rsidRPr="00420984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info@eurosupport.cz</w:t>
        </w:r>
      </w:hyperlink>
      <w:r w:rsidR="00B50BAF" w:rsidRPr="00420984">
        <w:rPr>
          <w:rFonts w:asciiTheme="minorHAnsi" w:hAnsiTheme="minorHAnsi" w:cstheme="minorHAnsi"/>
          <w:highlight w:val="black"/>
        </w:rPr>
        <w:t>, 476 163 344</w:t>
      </w: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598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:rsidR="00E646AA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248,00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E646AA">
        <w:rPr>
          <w:rFonts w:asciiTheme="minorHAnsi" w:hAnsiTheme="minorHAnsi" w:cstheme="minorHAnsi"/>
          <w:color w:val="000000"/>
        </w:rPr>
        <w:t xml:space="preserve">tická příprava, kombinovaná forma denní a distanční </w:t>
      </w:r>
      <w:r w:rsidRPr="00E72255">
        <w:rPr>
          <w:rFonts w:asciiTheme="minorHAnsi" w:hAnsiTheme="minorHAnsi" w:cstheme="minorHAnsi"/>
          <w:color w:val="000000"/>
        </w:rPr>
        <w:t>(</w:t>
      </w:r>
      <w:r w:rsidR="00E646AA">
        <w:rPr>
          <w:rFonts w:asciiTheme="minorHAnsi" w:hAnsiTheme="minorHAnsi" w:cstheme="minorHAnsi"/>
          <w:color w:val="000000"/>
        </w:rPr>
        <w:t>e</w:t>
      </w:r>
      <w:r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Pr="00E72255">
        <w:rPr>
          <w:rFonts w:asciiTheme="minorHAnsi" w:hAnsiTheme="minorHAnsi" w:cstheme="minorHAnsi"/>
          <w:color w:val="000000"/>
        </w:rPr>
        <w:t>learning</w:t>
      </w:r>
      <w:r w:rsidR="00E646AA">
        <w:rPr>
          <w:rFonts w:asciiTheme="minorHAnsi" w:hAnsiTheme="minorHAnsi" w:cstheme="minorHAnsi"/>
          <w:color w:val="000000"/>
        </w:rPr>
        <w:t>ová</w:t>
      </w:r>
      <w:proofErr w:type="spellEnd"/>
      <w:r w:rsidRPr="00E72255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, </w:t>
      </w:r>
      <w:r w:rsidR="00E646AA">
        <w:rPr>
          <w:rFonts w:asciiTheme="minorHAnsi" w:hAnsiTheme="minorHAnsi" w:cstheme="minorHAnsi"/>
          <w:color w:val="000000"/>
        </w:rPr>
        <w:t xml:space="preserve"> </w:t>
      </w:r>
    </w:p>
    <w:p w:rsidR="0041515A" w:rsidRPr="00E72255" w:rsidRDefault="00E646A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v denní formě </w:t>
      </w:r>
      <w:r w:rsidR="0041515A">
        <w:rPr>
          <w:rFonts w:asciiTheme="minorHAnsi" w:hAnsiTheme="minorHAnsi" w:cstheme="minorHAnsi"/>
          <w:color w:val="000000"/>
        </w:rPr>
        <w:t>výuková hodina 45 minut</w:t>
      </w:r>
    </w:p>
    <w:p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50,00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:rsidR="006000BB" w:rsidRDefault="00F42751" w:rsidP="006000BB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B54BDC" w:rsidRPr="00E72255" w:rsidRDefault="006000BB" w:rsidP="006000BB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6000BB">
        <w:rPr>
          <w:rFonts w:asciiTheme="minorHAnsi" w:hAnsiTheme="minorHAnsi" w:cstheme="minorHAnsi"/>
          <w:b/>
          <w:color w:val="000000"/>
          <w:sz w:val="22"/>
          <w:szCs w:val="22"/>
        </w:rPr>
        <w:t>Montér elektrických rozvaděčů (26-019-H)</w:t>
      </w:r>
      <w:r w:rsidR="00B54BDC" w:rsidRPr="006000BB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F42751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F20773" w:rsidRPr="00F20773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F20773" w:rsidRPr="00F2077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Montér elektrických rozvaděčů (26-019-H)</w:t>
      </w:r>
      <w:r w:rsidR="00F20773" w:rsidRPr="00F2077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Montér slaboproudých zařízení (26-020-H)</w:t>
      </w:r>
      <w:r w:rsidR="00F20773" w:rsidRPr="00F20773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Montér hromosvodů (26-021-H)</w:t>
      </w:r>
    </w:p>
    <w:p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</w:p>
    <w:p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a s</w:t>
      </w:r>
      <w:r>
        <w:rPr>
          <w:rFonts w:asciiTheme="minorHAnsi" w:hAnsiTheme="minorHAnsi" w:cstheme="minorHAnsi"/>
          <w:color w:val="000000"/>
        </w:rPr>
        <w:t xml:space="preserve"> následnou </w:t>
      </w:r>
      <w:r w:rsidR="00FD0524" w:rsidRPr="00E72255">
        <w:rPr>
          <w:rFonts w:asciiTheme="minorHAnsi" w:hAnsiTheme="minorHAnsi" w:cstheme="minorHAnsi"/>
          <w:color w:val="000000"/>
        </w:rPr>
        <w:t>možností získat 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41515A">
        <w:rPr>
          <w:rFonts w:asciiTheme="minorHAnsi" w:hAnsiTheme="minorHAnsi" w:cstheme="minorHAnsi"/>
          <w:color w:val="000000"/>
        </w:rPr>
        <w:t xml:space="preserve">v </w:t>
      </w:r>
      <w:r w:rsidR="00FD0524" w:rsidRPr="00E72255">
        <w:rPr>
          <w:rFonts w:asciiTheme="minorHAnsi" w:hAnsiTheme="minorHAnsi" w:cstheme="minorHAnsi"/>
          <w:color w:val="000000"/>
        </w:rPr>
        <w:t>elektrotechnice podle §5 vyhlášky</w:t>
      </w:r>
    </w:p>
    <w:p w:rsidR="00B54BDC" w:rsidRPr="00E72255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8D7FDF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> </w:t>
      </w:r>
      <w:r w:rsidR="00FD0524" w:rsidRPr="00E72255">
        <w:rPr>
          <w:rFonts w:asciiTheme="minorHAnsi" w:hAnsiTheme="minorHAnsi" w:cstheme="minorHAnsi"/>
          <w:color w:val="000000"/>
        </w:rPr>
        <w:t>50/1978 Sb.</w:t>
      </w:r>
      <w:r>
        <w:rPr>
          <w:rFonts w:asciiTheme="minorHAnsi" w:hAnsiTheme="minorHAnsi" w:cstheme="minorHAnsi"/>
          <w:color w:val="000000"/>
        </w:rPr>
        <w:t xml:space="preserve">, v platném znění. </w:t>
      </w:r>
    </w:p>
    <w:p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D46C58">
        <w:rPr>
          <w:rFonts w:asciiTheme="minorHAnsi" w:hAnsiTheme="minorHAnsi" w:cstheme="minorHAnsi"/>
          <w:color w:val="000000"/>
        </w:rPr>
        <w:t>1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B54BDC">
      <w:pPr>
        <w:autoSpaceDE w:val="0"/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r>
        <w:rPr>
          <w:b/>
        </w:rPr>
        <w:t>PRÁVA A POVINNOSTI SMLUVNÍCH STRAN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:rsidR="00B54BDC" w:rsidRDefault="00B54BDC"/>
    <w:p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6B2C62">
        <w:rPr>
          <w:rFonts w:asciiTheme="minorHAnsi" w:eastAsia="Times New Roman" w:hAnsiTheme="minorHAnsi" w:cstheme="minorHAnsi"/>
          <w:b/>
          <w:iCs w:val="0"/>
          <w:color w:val="000000"/>
        </w:rPr>
        <w:t>115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6B2C62">
        <w:rPr>
          <w:rFonts w:asciiTheme="minorHAnsi" w:eastAsia="Times New Roman" w:hAnsiTheme="minorHAnsi" w:cstheme="minorHAnsi"/>
          <w:b/>
          <w:iCs w:val="0"/>
          <w:color w:val="000000"/>
        </w:rPr>
        <w:t>663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6000BB">
        <w:rPr>
          <w:rFonts w:asciiTheme="minorHAnsi" w:eastAsia="Times New Roman" w:hAnsiTheme="minorHAnsi" w:cstheme="minorHAnsi"/>
          <w:iCs w:val="0"/>
          <w:color w:val="000000"/>
        </w:rPr>
        <w:t xml:space="preserve"> a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zkoušk</w:t>
      </w:r>
      <w:r w:rsidR="006B2C62">
        <w:rPr>
          <w:rFonts w:asciiTheme="minorHAnsi" w:eastAsia="Times New Roman" w:hAnsiTheme="minorHAnsi" w:cstheme="minorHAnsi"/>
          <w:iCs w:val="0"/>
          <w:color w:val="000000"/>
        </w:rPr>
        <w:t>y</w:t>
      </w:r>
      <w:r w:rsidR="00195B79">
        <w:rPr>
          <w:rFonts w:asciiTheme="minorHAnsi" w:eastAsia="Times New Roman" w:hAnsiTheme="minorHAnsi" w:cstheme="minorHAnsi"/>
          <w:iCs w:val="0"/>
          <w:color w:val="000000"/>
        </w:rPr>
        <w:t xml:space="preserve"> dle bodu III.5.</w:t>
      </w:r>
    </w:p>
    <w:p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</w:t>
      </w:r>
      <w:r w:rsidR="006B2C62">
        <w:rPr>
          <w:rFonts w:asciiTheme="minorHAnsi" w:eastAsia="Times New Roman" w:hAnsiTheme="minorHAnsi" w:cstheme="minorHAnsi"/>
          <w:iCs w:val="0"/>
          <w:color w:val="000000"/>
        </w:rPr>
        <w:t>ch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kvalifikac</w:t>
      </w:r>
      <w:r w:rsidR="006B2C62">
        <w:rPr>
          <w:rFonts w:asciiTheme="minorHAnsi" w:eastAsia="Times New Roman" w:hAnsiTheme="minorHAnsi" w:cstheme="minorHAnsi"/>
          <w:iCs w:val="0"/>
          <w:color w:val="000000"/>
        </w:rPr>
        <w:t>í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uveden</w:t>
      </w:r>
      <w:r w:rsidR="006B2C62">
        <w:rPr>
          <w:rFonts w:asciiTheme="minorHAnsi" w:eastAsia="Times New Roman" w:hAnsiTheme="minorHAnsi" w:cstheme="minorHAnsi"/>
          <w:iCs w:val="0"/>
          <w:color w:val="000000"/>
        </w:rPr>
        <w:t>ých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:rsidR="00B54BDC" w:rsidRPr="00F9630E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:rsidR="00B54BDC" w:rsidRPr="00C5317D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 – 7 733 Kč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>ontér elektrických sítí (26-018-H) – 8 833 Kč</w:t>
      </w:r>
    </w:p>
    <w:p w:rsidR="00E23C7E" w:rsidRPr="00BF790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BF790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7 183 Kč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 – 8 833 Kč</w:t>
      </w:r>
    </w:p>
    <w:p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hromosvodů (26-021-H) – 7 183 Kč</w:t>
      </w:r>
    </w:p>
    <w:p w:rsidR="00E23C7E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Fakturace proběhne vždy po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podání přihlášky ke zkoušce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:rsidR="00B54BDC" w:rsidRPr="00195B79" w:rsidRDefault="00B54BDC" w:rsidP="00AD1BD3">
      <w:pPr>
        <w:jc w:val="both"/>
        <w:rPr>
          <w:sz w:val="18"/>
          <w:szCs w:val="18"/>
        </w:rPr>
      </w:pP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:rsidR="00940D8B" w:rsidRPr="00195B79" w:rsidRDefault="00940D8B">
      <w:pPr>
        <w:autoSpaceDE w:val="0"/>
        <w:rPr>
          <w:iCs/>
          <w:sz w:val="18"/>
          <w:szCs w:val="18"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TRVÁNÍ SMLOUVY</w:t>
      </w:r>
    </w:p>
    <w:p w:rsidR="00AD1BD3" w:rsidRDefault="00AD1BD3">
      <w:pPr>
        <w:rPr>
          <w:b/>
        </w:rPr>
      </w:pP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B50BAF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0BAF" w:rsidRPr="00420984">
        <w:rPr>
          <w:rFonts w:asciiTheme="minorHAnsi" w:eastAsia="Times New Roman" w:hAnsiTheme="minorHAnsi" w:cstheme="minorHAnsi"/>
          <w:b/>
          <w:iCs w:val="0"/>
          <w:color w:val="000000"/>
          <w:highlight w:val="black"/>
        </w:rPr>
        <w:t>v2au6nd.</w:t>
      </w:r>
      <w:bookmarkStart w:id="0" w:name="_GoBack"/>
      <w:bookmarkEnd w:id="0"/>
    </w:p>
    <w:p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OSTATNÍ USTANOVENÍ</w:t>
      </w: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:rsidTr="008825B4">
        <w:tc>
          <w:tcPr>
            <w:tcW w:w="4966" w:type="dxa"/>
          </w:tcPr>
          <w:p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:rsidR="008D7835" w:rsidRPr="003443E1" w:rsidRDefault="008D7835" w:rsidP="00195B79">
            <w:pPr>
              <w:pStyle w:val="Bezmezer1"/>
              <w:spacing w:after="60" w:line="23" w:lineRule="atLeast"/>
            </w:pPr>
            <w:r w:rsidRPr="00980A4E">
              <w:t>V Chomutově dne</w:t>
            </w:r>
            <w:r>
              <w:t xml:space="preserve">: </w:t>
            </w:r>
          </w:p>
        </w:tc>
        <w:tc>
          <w:tcPr>
            <w:tcW w:w="5031" w:type="dxa"/>
          </w:tcPr>
          <w:p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8D7835" w:rsidRPr="008D7835" w:rsidTr="008825B4">
        <w:tc>
          <w:tcPr>
            <w:tcW w:w="4966" w:type="dxa"/>
          </w:tcPr>
          <w:p w:rsidR="008D7835" w:rsidRPr="00420984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8D7835" w:rsidRPr="00420984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420984">
              <w:rPr>
                <w:highlight w:val="black"/>
              </w:rPr>
              <w:t>_____________________________________</w:t>
            </w:r>
          </w:p>
          <w:p w:rsidR="005260B4" w:rsidRPr="00420984" w:rsidRDefault="00B50BAF" w:rsidP="008825B4">
            <w:pPr>
              <w:pStyle w:val="Bezmezer1"/>
              <w:spacing w:after="240" w:line="23" w:lineRule="atLeast"/>
              <w:contextualSpacing/>
              <w:rPr>
                <w:highlight w:val="black"/>
              </w:rPr>
            </w:pPr>
            <w:r w:rsidRPr="00420984">
              <w:rPr>
                <w:highlight w:val="black"/>
              </w:rPr>
              <w:t>Ing. Karel Svoboda</w:t>
            </w:r>
          </w:p>
          <w:p w:rsidR="00B50BAF" w:rsidRPr="00420984" w:rsidRDefault="00B50BAF" w:rsidP="00B50BAF">
            <w:pPr>
              <w:pStyle w:val="Bezmezer1"/>
              <w:spacing w:line="0" w:lineRule="atLeast"/>
              <w:contextualSpacing/>
              <w:rPr>
                <w:highlight w:val="black"/>
              </w:rPr>
            </w:pPr>
            <w:r w:rsidRPr="00420984">
              <w:rPr>
                <w:highlight w:val="black"/>
              </w:rPr>
              <w:t>Prokurista společnosti</w:t>
            </w:r>
          </w:p>
          <w:p w:rsidR="008D7835" w:rsidRPr="00420984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5031" w:type="dxa"/>
          </w:tcPr>
          <w:p w:rsidR="008D7835" w:rsidRPr="00420984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8D7835" w:rsidRPr="00420984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420984">
              <w:rPr>
                <w:highlight w:val="black"/>
              </w:rPr>
              <w:t>_________________________________________</w:t>
            </w:r>
          </w:p>
          <w:p w:rsidR="008D7835" w:rsidRPr="00420984" w:rsidRDefault="008D7835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420984">
              <w:rPr>
                <w:rFonts w:ascii="Calibri" w:hAnsi="Calibri" w:cs="Times New Roman"/>
                <w:highlight w:val="black"/>
                <w:lang w:eastAsia="en-US"/>
              </w:rPr>
              <w:t>Mgr. Jan Mareš, MBA</w:t>
            </w:r>
            <w:r w:rsidRPr="00420984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420984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420984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:rsidR="008D7835" w:rsidRPr="00420984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420984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420984">
              <w:rPr>
                <w:rFonts w:ascii="Calibri" w:hAnsi="Calibri" w:cs="Times New Roman"/>
                <w:highlight w:val="black"/>
                <w:lang w:eastAsia="en-US"/>
              </w:rPr>
              <w:t>editel školy</w:t>
            </w:r>
          </w:p>
        </w:tc>
      </w:tr>
    </w:tbl>
    <w:p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 w:rsidSect="005017AD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F7" w:rsidRDefault="00420EF7" w:rsidP="00896115">
      <w:r>
        <w:separator/>
      </w:r>
    </w:p>
  </w:endnote>
  <w:endnote w:type="continuationSeparator" w:id="0">
    <w:p w:rsidR="00420EF7" w:rsidRDefault="00420EF7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F7" w:rsidRDefault="00420EF7" w:rsidP="00896115">
      <w:r>
        <w:separator/>
      </w:r>
    </w:p>
  </w:footnote>
  <w:footnote w:type="continuationSeparator" w:id="0">
    <w:p w:rsidR="00420EF7" w:rsidRDefault="00420EF7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5" w:rsidRDefault="00195B79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" o:allowincell="f" filled="f" stroked="f" strokeweight=".5pt">
              <v:path arrowok="t"/>
              <v:textbox>
                <w:txbxContent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3DC4"/>
    <w:rsid w:val="001065C0"/>
    <w:rsid w:val="00143AE4"/>
    <w:rsid w:val="0016592C"/>
    <w:rsid w:val="0016798B"/>
    <w:rsid w:val="00187D63"/>
    <w:rsid w:val="00195B79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63B8C"/>
    <w:rsid w:val="0037314A"/>
    <w:rsid w:val="003871A8"/>
    <w:rsid w:val="00393DF3"/>
    <w:rsid w:val="003B0E21"/>
    <w:rsid w:val="003E1F68"/>
    <w:rsid w:val="003F40D7"/>
    <w:rsid w:val="0041515A"/>
    <w:rsid w:val="00420984"/>
    <w:rsid w:val="00420EF7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017AD"/>
    <w:rsid w:val="005260B4"/>
    <w:rsid w:val="00527440"/>
    <w:rsid w:val="00547CDC"/>
    <w:rsid w:val="005524EA"/>
    <w:rsid w:val="005749A2"/>
    <w:rsid w:val="005B2672"/>
    <w:rsid w:val="005F0E08"/>
    <w:rsid w:val="006000BB"/>
    <w:rsid w:val="00692FEA"/>
    <w:rsid w:val="00693FB5"/>
    <w:rsid w:val="006B21D2"/>
    <w:rsid w:val="006B2C62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D0CB5"/>
    <w:rsid w:val="008D2864"/>
    <w:rsid w:val="008D7835"/>
    <w:rsid w:val="008D7FDF"/>
    <w:rsid w:val="00900133"/>
    <w:rsid w:val="00940D8B"/>
    <w:rsid w:val="00961658"/>
    <w:rsid w:val="009950A0"/>
    <w:rsid w:val="009A71DB"/>
    <w:rsid w:val="00A63EB9"/>
    <w:rsid w:val="00A7664A"/>
    <w:rsid w:val="00A85E02"/>
    <w:rsid w:val="00A85FDF"/>
    <w:rsid w:val="00AA3126"/>
    <w:rsid w:val="00AD1BD3"/>
    <w:rsid w:val="00AE554A"/>
    <w:rsid w:val="00AE61CA"/>
    <w:rsid w:val="00B4071B"/>
    <w:rsid w:val="00B50BAF"/>
    <w:rsid w:val="00B54BDC"/>
    <w:rsid w:val="00B5622A"/>
    <w:rsid w:val="00BB2A9D"/>
    <w:rsid w:val="00BF7908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E70EF"/>
    <w:rsid w:val="00EF2965"/>
    <w:rsid w:val="00F20773"/>
    <w:rsid w:val="00F3649D"/>
    <w:rsid w:val="00F42751"/>
    <w:rsid w:val="00F9630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C1FD583-69C4-4D2E-B7DE-23F8465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7AD"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017AD"/>
    <w:rPr>
      <w:rFonts w:ascii="Arial" w:eastAsia="Times New Roman" w:hAnsi="Arial" w:cs="Arial" w:hint="default"/>
    </w:rPr>
  </w:style>
  <w:style w:type="character" w:customStyle="1" w:styleId="WW8Num1z1">
    <w:name w:val="WW8Num1z1"/>
    <w:rsid w:val="005017AD"/>
    <w:rPr>
      <w:rFonts w:ascii="Courier New" w:hAnsi="Courier New" w:cs="Courier New" w:hint="default"/>
    </w:rPr>
  </w:style>
  <w:style w:type="character" w:customStyle="1" w:styleId="WW8Num1z2">
    <w:name w:val="WW8Num1z2"/>
    <w:rsid w:val="005017AD"/>
    <w:rPr>
      <w:rFonts w:ascii="Wingdings" w:hAnsi="Wingdings" w:cs="Wingdings" w:hint="default"/>
    </w:rPr>
  </w:style>
  <w:style w:type="character" w:customStyle="1" w:styleId="WW8Num1z3">
    <w:name w:val="WW8Num1z3"/>
    <w:rsid w:val="005017AD"/>
    <w:rPr>
      <w:rFonts w:ascii="Symbol" w:hAnsi="Symbol" w:cs="Symbol" w:hint="default"/>
    </w:rPr>
  </w:style>
  <w:style w:type="character" w:customStyle="1" w:styleId="WW8Num2z0">
    <w:name w:val="WW8Num2z0"/>
    <w:rsid w:val="005017AD"/>
    <w:rPr>
      <w:rFonts w:hint="default"/>
    </w:rPr>
  </w:style>
  <w:style w:type="character" w:customStyle="1" w:styleId="WW8Num2z1">
    <w:name w:val="WW8Num2z1"/>
    <w:rsid w:val="005017AD"/>
  </w:style>
  <w:style w:type="character" w:customStyle="1" w:styleId="WW8Num2z2">
    <w:name w:val="WW8Num2z2"/>
    <w:rsid w:val="005017AD"/>
  </w:style>
  <w:style w:type="character" w:customStyle="1" w:styleId="WW8Num2z3">
    <w:name w:val="WW8Num2z3"/>
    <w:rsid w:val="005017AD"/>
  </w:style>
  <w:style w:type="character" w:customStyle="1" w:styleId="WW8Num2z4">
    <w:name w:val="WW8Num2z4"/>
    <w:rsid w:val="005017AD"/>
  </w:style>
  <w:style w:type="character" w:customStyle="1" w:styleId="WW8Num2z5">
    <w:name w:val="WW8Num2z5"/>
    <w:rsid w:val="005017AD"/>
  </w:style>
  <w:style w:type="character" w:customStyle="1" w:styleId="WW8Num2z6">
    <w:name w:val="WW8Num2z6"/>
    <w:rsid w:val="005017AD"/>
  </w:style>
  <w:style w:type="character" w:customStyle="1" w:styleId="WW8Num2z7">
    <w:name w:val="WW8Num2z7"/>
    <w:rsid w:val="005017AD"/>
  </w:style>
  <w:style w:type="character" w:customStyle="1" w:styleId="WW8Num2z8">
    <w:name w:val="WW8Num2z8"/>
    <w:rsid w:val="005017AD"/>
  </w:style>
  <w:style w:type="character" w:customStyle="1" w:styleId="WW8Num3z0">
    <w:name w:val="WW8Num3z0"/>
    <w:rsid w:val="005017AD"/>
    <w:rPr>
      <w:rFonts w:hint="default"/>
    </w:rPr>
  </w:style>
  <w:style w:type="character" w:customStyle="1" w:styleId="WW8Num4z0">
    <w:name w:val="WW8Num4z0"/>
    <w:rsid w:val="005017AD"/>
    <w:rPr>
      <w:rFonts w:hint="default"/>
      <w:spacing w:val="-4"/>
    </w:rPr>
  </w:style>
  <w:style w:type="character" w:customStyle="1" w:styleId="WW8Num4z1">
    <w:name w:val="WW8Num4z1"/>
    <w:rsid w:val="005017AD"/>
  </w:style>
  <w:style w:type="character" w:customStyle="1" w:styleId="WW8Num4z2">
    <w:name w:val="WW8Num4z2"/>
    <w:rsid w:val="005017AD"/>
  </w:style>
  <w:style w:type="character" w:customStyle="1" w:styleId="WW8Num4z3">
    <w:name w:val="WW8Num4z3"/>
    <w:rsid w:val="005017AD"/>
  </w:style>
  <w:style w:type="character" w:customStyle="1" w:styleId="WW8Num4z4">
    <w:name w:val="WW8Num4z4"/>
    <w:rsid w:val="005017AD"/>
  </w:style>
  <w:style w:type="character" w:customStyle="1" w:styleId="WW8Num4z5">
    <w:name w:val="WW8Num4z5"/>
    <w:rsid w:val="005017AD"/>
  </w:style>
  <w:style w:type="character" w:customStyle="1" w:styleId="WW8Num4z6">
    <w:name w:val="WW8Num4z6"/>
    <w:rsid w:val="005017AD"/>
  </w:style>
  <w:style w:type="character" w:customStyle="1" w:styleId="WW8Num4z7">
    <w:name w:val="WW8Num4z7"/>
    <w:rsid w:val="005017AD"/>
  </w:style>
  <w:style w:type="character" w:customStyle="1" w:styleId="WW8Num4z8">
    <w:name w:val="WW8Num4z8"/>
    <w:rsid w:val="005017AD"/>
  </w:style>
  <w:style w:type="character" w:customStyle="1" w:styleId="WW8Num5z0">
    <w:name w:val="WW8Num5z0"/>
    <w:rsid w:val="005017AD"/>
  </w:style>
  <w:style w:type="character" w:customStyle="1" w:styleId="WW8Num6z0">
    <w:name w:val="WW8Num6z0"/>
    <w:rsid w:val="005017AD"/>
    <w:rPr>
      <w:rFonts w:hint="default"/>
      <w:strike w:val="0"/>
      <w:dstrike w:val="0"/>
    </w:rPr>
  </w:style>
  <w:style w:type="character" w:customStyle="1" w:styleId="WW8Num6z1">
    <w:name w:val="WW8Num6z1"/>
    <w:rsid w:val="005017AD"/>
  </w:style>
  <w:style w:type="character" w:customStyle="1" w:styleId="WW8Num6z2">
    <w:name w:val="WW8Num6z2"/>
    <w:rsid w:val="005017AD"/>
  </w:style>
  <w:style w:type="character" w:customStyle="1" w:styleId="WW8Num6z3">
    <w:name w:val="WW8Num6z3"/>
    <w:rsid w:val="005017AD"/>
  </w:style>
  <w:style w:type="character" w:customStyle="1" w:styleId="WW8Num6z4">
    <w:name w:val="WW8Num6z4"/>
    <w:rsid w:val="005017AD"/>
  </w:style>
  <w:style w:type="character" w:customStyle="1" w:styleId="WW8Num6z5">
    <w:name w:val="WW8Num6z5"/>
    <w:rsid w:val="005017AD"/>
  </w:style>
  <w:style w:type="character" w:customStyle="1" w:styleId="WW8Num6z6">
    <w:name w:val="WW8Num6z6"/>
    <w:rsid w:val="005017AD"/>
  </w:style>
  <w:style w:type="character" w:customStyle="1" w:styleId="WW8Num6z7">
    <w:name w:val="WW8Num6z7"/>
    <w:rsid w:val="005017AD"/>
  </w:style>
  <w:style w:type="character" w:customStyle="1" w:styleId="WW8Num6z8">
    <w:name w:val="WW8Num6z8"/>
    <w:rsid w:val="005017AD"/>
  </w:style>
  <w:style w:type="character" w:customStyle="1" w:styleId="WW8Num7z0">
    <w:name w:val="WW8Num7z0"/>
    <w:rsid w:val="005017AD"/>
  </w:style>
  <w:style w:type="character" w:customStyle="1" w:styleId="WW8Num8z0">
    <w:name w:val="WW8Num8z0"/>
    <w:rsid w:val="005017AD"/>
    <w:rPr>
      <w:rFonts w:hint="default"/>
    </w:rPr>
  </w:style>
  <w:style w:type="character" w:customStyle="1" w:styleId="WW8Num8z1">
    <w:name w:val="WW8Num8z1"/>
    <w:rsid w:val="005017AD"/>
  </w:style>
  <w:style w:type="character" w:customStyle="1" w:styleId="WW8Num8z2">
    <w:name w:val="WW8Num8z2"/>
    <w:rsid w:val="005017AD"/>
  </w:style>
  <w:style w:type="character" w:customStyle="1" w:styleId="WW8Num8z3">
    <w:name w:val="WW8Num8z3"/>
    <w:rsid w:val="005017AD"/>
  </w:style>
  <w:style w:type="character" w:customStyle="1" w:styleId="WW8Num8z4">
    <w:name w:val="WW8Num8z4"/>
    <w:rsid w:val="005017AD"/>
  </w:style>
  <w:style w:type="character" w:customStyle="1" w:styleId="WW8Num8z5">
    <w:name w:val="WW8Num8z5"/>
    <w:rsid w:val="005017AD"/>
  </w:style>
  <w:style w:type="character" w:customStyle="1" w:styleId="WW8Num8z6">
    <w:name w:val="WW8Num8z6"/>
    <w:rsid w:val="005017AD"/>
  </w:style>
  <w:style w:type="character" w:customStyle="1" w:styleId="WW8Num8z7">
    <w:name w:val="WW8Num8z7"/>
    <w:rsid w:val="005017AD"/>
  </w:style>
  <w:style w:type="character" w:customStyle="1" w:styleId="WW8Num8z8">
    <w:name w:val="WW8Num8z8"/>
    <w:rsid w:val="005017AD"/>
  </w:style>
  <w:style w:type="character" w:customStyle="1" w:styleId="WW8Num9z0">
    <w:name w:val="WW8Num9z0"/>
    <w:rsid w:val="005017AD"/>
    <w:rPr>
      <w:rFonts w:hint="default"/>
    </w:rPr>
  </w:style>
  <w:style w:type="character" w:customStyle="1" w:styleId="WW8Num9z1">
    <w:name w:val="WW8Num9z1"/>
    <w:rsid w:val="005017AD"/>
  </w:style>
  <w:style w:type="character" w:customStyle="1" w:styleId="WW8Num9z2">
    <w:name w:val="WW8Num9z2"/>
    <w:rsid w:val="005017AD"/>
  </w:style>
  <w:style w:type="character" w:customStyle="1" w:styleId="WW8Num9z3">
    <w:name w:val="WW8Num9z3"/>
    <w:rsid w:val="005017AD"/>
  </w:style>
  <w:style w:type="character" w:customStyle="1" w:styleId="WW8Num9z4">
    <w:name w:val="WW8Num9z4"/>
    <w:rsid w:val="005017AD"/>
  </w:style>
  <w:style w:type="character" w:customStyle="1" w:styleId="WW8Num9z5">
    <w:name w:val="WW8Num9z5"/>
    <w:rsid w:val="005017AD"/>
  </w:style>
  <w:style w:type="character" w:customStyle="1" w:styleId="WW8Num9z6">
    <w:name w:val="WW8Num9z6"/>
    <w:rsid w:val="005017AD"/>
  </w:style>
  <w:style w:type="character" w:customStyle="1" w:styleId="WW8Num9z7">
    <w:name w:val="WW8Num9z7"/>
    <w:rsid w:val="005017AD"/>
  </w:style>
  <w:style w:type="character" w:customStyle="1" w:styleId="WW8Num9z8">
    <w:name w:val="WW8Num9z8"/>
    <w:rsid w:val="005017AD"/>
  </w:style>
  <w:style w:type="character" w:customStyle="1" w:styleId="WW8Num10z0">
    <w:name w:val="WW8Num10z0"/>
    <w:rsid w:val="005017AD"/>
    <w:rPr>
      <w:rFonts w:ascii="Arial" w:eastAsia="Times New Roman" w:hAnsi="Arial" w:cs="Arial" w:hint="default"/>
    </w:rPr>
  </w:style>
  <w:style w:type="character" w:customStyle="1" w:styleId="WW8Num10z1">
    <w:name w:val="WW8Num10z1"/>
    <w:rsid w:val="005017AD"/>
    <w:rPr>
      <w:rFonts w:ascii="Courier New" w:hAnsi="Courier New" w:cs="Courier New" w:hint="default"/>
    </w:rPr>
  </w:style>
  <w:style w:type="character" w:customStyle="1" w:styleId="WW8Num10z2">
    <w:name w:val="WW8Num10z2"/>
    <w:rsid w:val="005017AD"/>
    <w:rPr>
      <w:rFonts w:ascii="Wingdings" w:hAnsi="Wingdings" w:cs="Wingdings" w:hint="default"/>
    </w:rPr>
  </w:style>
  <w:style w:type="character" w:customStyle="1" w:styleId="WW8Num10z3">
    <w:name w:val="WW8Num10z3"/>
    <w:rsid w:val="005017AD"/>
    <w:rPr>
      <w:rFonts w:ascii="Symbol" w:hAnsi="Symbol" w:cs="Symbol" w:hint="default"/>
    </w:rPr>
  </w:style>
  <w:style w:type="character" w:customStyle="1" w:styleId="WW8Num11z0">
    <w:name w:val="WW8Num11z0"/>
    <w:rsid w:val="005017AD"/>
    <w:rPr>
      <w:rFonts w:hint="default"/>
    </w:rPr>
  </w:style>
  <w:style w:type="character" w:customStyle="1" w:styleId="WW8Num11z1">
    <w:name w:val="WW8Num11z1"/>
    <w:rsid w:val="005017AD"/>
  </w:style>
  <w:style w:type="character" w:customStyle="1" w:styleId="WW8Num11z2">
    <w:name w:val="WW8Num11z2"/>
    <w:rsid w:val="005017AD"/>
  </w:style>
  <w:style w:type="character" w:customStyle="1" w:styleId="WW8Num11z3">
    <w:name w:val="WW8Num11z3"/>
    <w:rsid w:val="005017AD"/>
  </w:style>
  <w:style w:type="character" w:customStyle="1" w:styleId="WW8Num11z4">
    <w:name w:val="WW8Num11z4"/>
    <w:rsid w:val="005017AD"/>
  </w:style>
  <w:style w:type="character" w:customStyle="1" w:styleId="WW8Num11z5">
    <w:name w:val="WW8Num11z5"/>
    <w:rsid w:val="005017AD"/>
  </w:style>
  <w:style w:type="character" w:customStyle="1" w:styleId="WW8Num11z6">
    <w:name w:val="WW8Num11z6"/>
    <w:rsid w:val="005017AD"/>
  </w:style>
  <w:style w:type="character" w:customStyle="1" w:styleId="WW8Num11z7">
    <w:name w:val="WW8Num11z7"/>
    <w:rsid w:val="005017AD"/>
  </w:style>
  <w:style w:type="character" w:customStyle="1" w:styleId="WW8Num11z8">
    <w:name w:val="WW8Num11z8"/>
    <w:rsid w:val="005017AD"/>
  </w:style>
  <w:style w:type="character" w:customStyle="1" w:styleId="WW8Num12z0">
    <w:name w:val="WW8Num12z0"/>
    <w:rsid w:val="005017AD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sid w:val="005017AD"/>
    <w:rPr>
      <w:rFonts w:hint="default"/>
    </w:rPr>
  </w:style>
  <w:style w:type="character" w:customStyle="1" w:styleId="WW8Num13z0">
    <w:name w:val="WW8Num13z0"/>
    <w:rsid w:val="005017AD"/>
    <w:rPr>
      <w:rFonts w:ascii="Arial" w:eastAsia="Times New Roman" w:hAnsi="Arial" w:cs="Arial" w:hint="default"/>
    </w:rPr>
  </w:style>
  <w:style w:type="character" w:customStyle="1" w:styleId="WW8Num13z1">
    <w:name w:val="WW8Num13z1"/>
    <w:rsid w:val="005017AD"/>
    <w:rPr>
      <w:rFonts w:ascii="Courier New" w:hAnsi="Courier New" w:cs="Courier New" w:hint="default"/>
    </w:rPr>
  </w:style>
  <w:style w:type="character" w:customStyle="1" w:styleId="WW8Num13z2">
    <w:name w:val="WW8Num13z2"/>
    <w:rsid w:val="005017AD"/>
    <w:rPr>
      <w:rFonts w:ascii="Wingdings" w:hAnsi="Wingdings" w:cs="Wingdings" w:hint="default"/>
    </w:rPr>
  </w:style>
  <w:style w:type="character" w:customStyle="1" w:styleId="WW8Num13z3">
    <w:name w:val="WW8Num13z3"/>
    <w:rsid w:val="005017AD"/>
    <w:rPr>
      <w:rFonts w:ascii="Symbol" w:hAnsi="Symbol" w:cs="Symbol" w:hint="default"/>
    </w:rPr>
  </w:style>
  <w:style w:type="character" w:customStyle="1" w:styleId="WW8Num14z0">
    <w:name w:val="WW8Num14z0"/>
    <w:rsid w:val="005017AD"/>
    <w:rPr>
      <w:rFonts w:ascii="Arial" w:eastAsia="Times New Roman" w:hAnsi="Arial" w:cs="Arial" w:hint="default"/>
    </w:rPr>
  </w:style>
  <w:style w:type="character" w:customStyle="1" w:styleId="WW8Num14z1">
    <w:name w:val="WW8Num14z1"/>
    <w:rsid w:val="005017AD"/>
    <w:rPr>
      <w:rFonts w:ascii="Courier New" w:hAnsi="Courier New" w:cs="Courier New" w:hint="default"/>
    </w:rPr>
  </w:style>
  <w:style w:type="character" w:customStyle="1" w:styleId="WW8Num14z2">
    <w:name w:val="WW8Num14z2"/>
    <w:rsid w:val="005017AD"/>
    <w:rPr>
      <w:rFonts w:ascii="Wingdings" w:hAnsi="Wingdings" w:cs="Wingdings" w:hint="default"/>
    </w:rPr>
  </w:style>
  <w:style w:type="character" w:customStyle="1" w:styleId="WW8Num14z3">
    <w:name w:val="WW8Num14z3"/>
    <w:rsid w:val="005017AD"/>
    <w:rPr>
      <w:rFonts w:ascii="Symbol" w:hAnsi="Symbol" w:cs="Symbol" w:hint="default"/>
    </w:rPr>
  </w:style>
  <w:style w:type="character" w:customStyle="1" w:styleId="WW8Num15z0">
    <w:name w:val="WW8Num15z0"/>
    <w:rsid w:val="005017AD"/>
    <w:rPr>
      <w:rFonts w:ascii="Arial" w:eastAsia="Times New Roman" w:hAnsi="Arial" w:cs="Arial" w:hint="default"/>
    </w:rPr>
  </w:style>
  <w:style w:type="character" w:customStyle="1" w:styleId="WW8Num15z1">
    <w:name w:val="WW8Num15z1"/>
    <w:rsid w:val="005017AD"/>
    <w:rPr>
      <w:rFonts w:ascii="Courier New" w:hAnsi="Courier New" w:cs="Courier New" w:hint="default"/>
    </w:rPr>
  </w:style>
  <w:style w:type="character" w:customStyle="1" w:styleId="WW8Num15z2">
    <w:name w:val="WW8Num15z2"/>
    <w:rsid w:val="005017AD"/>
    <w:rPr>
      <w:rFonts w:ascii="Wingdings" w:hAnsi="Wingdings" w:cs="Wingdings" w:hint="default"/>
    </w:rPr>
  </w:style>
  <w:style w:type="character" w:customStyle="1" w:styleId="WW8Num15z3">
    <w:name w:val="WW8Num15z3"/>
    <w:rsid w:val="005017AD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5017AD"/>
  </w:style>
  <w:style w:type="character" w:styleId="Hypertextovodkaz">
    <w:name w:val="Hyperlink"/>
    <w:rsid w:val="005017AD"/>
    <w:rPr>
      <w:color w:val="0000FF"/>
      <w:u w:val="single"/>
    </w:rPr>
  </w:style>
  <w:style w:type="character" w:customStyle="1" w:styleId="Odkaznakoment1">
    <w:name w:val="Odkaz na komentář1"/>
    <w:rsid w:val="005017AD"/>
    <w:rPr>
      <w:sz w:val="16"/>
      <w:szCs w:val="16"/>
    </w:rPr>
  </w:style>
  <w:style w:type="character" w:customStyle="1" w:styleId="TextkomenteChar">
    <w:name w:val="Text komentáře Char"/>
    <w:rsid w:val="005017AD"/>
    <w:rPr>
      <w:rFonts w:ascii="Arial" w:hAnsi="Arial" w:cs="Arial"/>
    </w:rPr>
  </w:style>
  <w:style w:type="character" w:customStyle="1" w:styleId="PedmtkomenteChar">
    <w:name w:val="Předmět komentáře Char"/>
    <w:rsid w:val="005017AD"/>
    <w:rPr>
      <w:rFonts w:ascii="Arial" w:hAnsi="Arial" w:cs="Arial"/>
      <w:b/>
      <w:bCs/>
    </w:rPr>
  </w:style>
  <w:style w:type="character" w:customStyle="1" w:styleId="TextbublinyChar">
    <w:name w:val="Text bubliny Char"/>
    <w:rsid w:val="005017AD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sid w:val="005017AD"/>
    <w:rPr>
      <w:rFonts w:ascii="Arial" w:hAnsi="Arial" w:cs="Arial"/>
      <w:sz w:val="22"/>
      <w:szCs w:val="22"/>
    </w:rPr>
  </w:style>
  <w:style w:type="character" w:customStyle="1" w:styleId="NORMcisloChar">
    <w:name w:val="NORM_cislo Char"/>
    <w:rsid w:val="005017AD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rsid w:val="005017A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5017AD"/>
    <w:pPr>
      <w:spacing w:after="120"/>
    </w:pPr>
  </w:style>
  <w:style w:type="paragraph" w:styleId="Seznam">
    <w:name w:val="List"/>
    <w:basedOn w:val="Zkladntext"/>
    <w:rsid w:val="005017AD"/>
    <w:rPr>
      <w:rFonts w:cs="Mangal"/>
    </w:rPr>
  </w:style>
  <w:style w:type="paragraph" w:customStyle="1" w:styleId="Popisek">
    <w:name w:val="Popisek"/>
    <w:basedOn w:val="Normln"/>
    <w:rsid w:val="00501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017AD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5017AD"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sid w:val="005017AD"/>
    <w:rPr>
      <w:i/>
      <w:iCs/>
    </w:rPr>
  </w:style>
  <w:style w:type="paragraph" w:styleId="Zhlav">
    <w:name w:val="header"/>
    <w:basedOn w:val="Normln"/>
    <w:rsid w:val="005017A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5017AD"/>
    <w:pPr>
      <w:ind w:left="708"/>
    </w:pPr>
  </w:style>
  <w:style w:type="paragraph" w:customStyle="1" w:styleId="Textkomente1">
    <w:name w:val="Text komentáře1"/>
    <w:basedOn w:val="Normln"/>
    <w:rsid w:val="005017A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5017AD"/>
    <w:rPr>
      <w:b/>
      <w:bCs/>
    </w:rPr>
  </w:style>
  <w:style w:type="paragraph" w:styleId="Textbubliny">
    <w:name w:val="Balloon Text"/>
    <w:basedOn w:val="Normln"/>
    <w:rsid w:val="005017AD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rsid w:val="005017AD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rsid w:val="005017AD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suppo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8886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2020-09-10T10:55:00Z</cp:lastPrinted>
  <dcterms:created xsi:type="dcterms:W3CDTF">2020-09-10T10:56:00Z</dcterms:created>
  <dcterms:modified xsi:type="dcterms:W3CDTF">2020-09-10T11:02:00Z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