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06" w:rsidRDefault="006D636F">
      <w:pPr>
        <w:pStyle w:val="Style6"/>
        <w:keepNext/>
        <w:keepLines/>
        <w:shd w:val="clear" w:color="auto" w:fill="auto"/>
        <w:spacing w:after="40"/>
        <w:ind w:right="0"/>
      </w:pPr>
      <w:bookmarkStart w:id="0" w:name="bookmark2"/>
      <w:r>
        <w:t>Smlouva č. 2020-5278/103100</w:t>
      </w:r>
      <w:bookmarkEnd w:id="0"/>
    </w:p>
    <w:p w:rsidR="00B30E06" w:rsidRDefault="006D636F">
      <w:pPr>
        <w:pStyle w:val="Style6"/>
        <w:keepNext/>
        <w:keepLines/>
        <w:shd w:val="clear" w:color="auto" w:fill="auto"/>
        <w:spacing w:after="40"/>
        <w:ind w:right="0"/>
      </w:pPr>
      <w:bookmarkStart w:id="1" w:name="bookmark0"/>
      <w:bookmarkStart w:id="2" w:name="bookmark1"/>
      <w:bookmarkStart w:id="3" w:name="bookmark3"/>
      <w:r>
        <w:t>uzavřená podle zákona č. 274/2001 Sb. o vodovodech a kanalizacích pro veřejnou potřebu</w:t>
      </w:r>
      <w:bookmarkEnd w:id="1"/>
      <w:bookmarkEnd w:id="2"/>
      <w:bookmarkEnd w:id="3"/>
    </w:p>
    <w:p w:rsidR="00B30E06" w:rsidRDefault="006D636F">
      <w:pPr>
        <w:pStyle w:val="Style4"/>
        <w:shd w:val="clear" w:color="auto" w:fill="auto"/>
        <w:spacing w:after="240"/>
        <w:jc w:val="center"/>
      </w:pPr>
      <w:r>
        <w:t>(dále jen "Smlouva" a dále jen "Zákon") mezi smluvními stranami;</w:t>
      </w:r>
    </w:p>
    <w:p w:rsidR="00B30E06" w:rsidRDefault="006D636F">
      <w:pPr>
        <w:pStyle w:val="Style4"/>
        <w:shd w:val="clear" w:color="auto" w:fill="auto"/>
        <w:spacing w:after="160"/>
      </w:pPr>
      <w:r>
        <w:t>vlastník vodovodu Obec Jabkenice a vlastník kanalizace Vodovody a kanalizace Nymburk, a.s., (dále společně jen "vlastníků"), za něhož jedná provozovatel oprávněný dle § 8 odst. 6 zákona k uzavření t</w:t>
      </w:r>
      <w:r w:rsidR="00C613AD">
        <w:t>é</w:t>
      </w:r>
      <w:r>
        <w:t>to Smlouvy a dle § 8 odst. 2 zákona k výkonu všech práv a povinností vlastníka ve vztahu k odběrateli:</w:t>
      </w:r>
    </w:p>
    <w:p w:rsidR="00B30E06" w:rsidRDefault="006D636F">
      <w:pPr>
        <w:pStyle w:val="Style8"/>
        <w:shd w:val="clear" w:color="auto" w:fill="auto"/>
        <w:spacing w:after="40"/>
        <w:jc w:val="both"/>
      </w:pPr>
      <w:r>
        <w:rPr>
          <w:b/>
          <w:bCs/>
        </w:rPr>
        <w:t>PROVOZOVATEL:</w:t>
      </w:r>
    </w:p>
    <w:p w:rsidR="00B30E06" w:rsidRDefault="006D636F">
      <w:pPr>
        <w:pStyle w:val="Style11"/>
        <w:shd w:val="clear" w:color="auto" w:fill="auto"/>
      </w:pPr>
      <w:r>
        <w:rPr>
          <w:b w:val="0"/>
          <w:bCs w:val="0"/>
          <w:sz w:val="18"/>
          <w:szCs w:val="18"/>
        </w:rPr>
        <w:t xml:space="preserve">Název: </w:t>
      </w:r>
      <w:r>
        <w:t>Vodovody a kanalizace Nymburk, a.s.</w:t>
      </w:r>
    </w:p>
    <w:p w:rsidR="00B30E06" w:rsidRDefault="006D636F">
      <w:pPr>
        <w:pStyle w:val="Style4"/>
        <w:shd w:val="clear" w:color="auto" w:fill="auto"/>
      </w:pPr>
      <w:r>
        <w:t xml:space="preserve">se sídlem: </w:t>
      </w:r>
      <w:proofErr w:type="spellStart"/>
      <w:r>
        <w:t>Bobnická</w:t>
      </w:r>
      <w:proofErr w:type="spellEnd"/>
      <w:r>
        <w:t xml:space="preserve"> 712, 28</w:t>
      </w:r>
      <w:r w:rsidR="00C613AD">
        <w:t xml:space="preserve">8 </w:t>
      </w:r>
      <w:r>
        <w:t>21 Nymburk</w:t>
      </w:r>
    </w:p>
    <w:p w:rsidR="00B30E06" w:rsidRDefault="006D636F">
      <w:pPr>
        <w:pStyle w:val="Style4"/>
        <w:shd w:val="clear" w:color="auto" w:fill="auto"/>
      </w:pPr>
      <w:r>
        <w:t>IČ; 46357009 DIČ: CZ46357009</w:t>
      </w:r>
    </w:p>
    <w:p w:rsidR="00B30E06" w:rsidRDefault="006D636F">
      <w:pPr>
        <w:pStyle w:val="Style4"/>
        <w:shd w:val="clear" w:color="auto" w:fill="auto"/>
      </w:pPr>
      <w:r>
        <w:t>zapsaný v obchodním rejstříku, spisová značka; B 2381 vedená u Městského soudu v Praze zastoupený: Ing. Milošem Peterou, předsedou představenstva a.s.</w:t>
      </w:r>
    </w:p>
    <w:p w:rsidR="00B30E06" w:rsidRDefault="006D636F">
      <w:pPr>
        <w:pStyle w:val="Style4"/>
        <w:shd w:val="clear" w:color="auto" w:fill="auto"/>
      </w:pPr>
      <w:r>
        <w:t>kontaktní údaje:</w:t>
      </w:r>
    </w:p>
    <w:p w:rsidR="00B30E06" w:rsidRDefault="006D636F">
      <w:pPr>
        <w:pStyle w:val="Style4"/>
        <w:shd w:val="clear" w:color="auto" w:fill="auto"/>
      </w:pPr>
      <w:r>
        <w:t xml:space="preserve">tel.: </w:t>
      </w:r>
      <w:r w:rsidR="00C76183">
        <w:t>XXXXXXXXXXXXXXXXXXXXXXXXXXXXXXXXXXXXXXXXXXXXXXXXXX</w:t>
      </w:r>
    </w:p>
    <w:p w:rsidR="00B30E06" w:rsidRDefault="006D636F">
      <w:pPr>
        <w:pStyle w:val="Style4"/>
        <w:shd w:val="clear" w:color="auto" w:fill="auto"/>
      </w:pPr>
      <w:r>
        <w:t xml:space="preserve">dispečink - hlášení poruch: </w:t>
      </w:r>
      <w:r w:rsidR="00C76183">
        <w:t>XXXXXXXXXXXXXXXXXXX</w:t>
      </w:r>
    </w:p>
    <w:p w:rsidR="00B30E06" w:rsidRDefault="00C613AD">
      <w:pPr>
        <w:pStyle w:val="Style4"/>
        <w:shd w:val="clear" w:color="auto" w:fill="auto"/>
        <w:tabs>
          <w:tab w:val="left" w:pos="2731"/>
        </w:tabs>
      </w:pPr>
      <w:r>
        <w:t>W</w:t>
      </w:r>
      <w:r w:rsidR="006D636F">
        <w:t xml:space="preserve">eb: </w:t>
      </w:r>
      <w:r w:rsidR="00C76183">
        <w:t>XXXXXXXXXXXXX</w:t>
      </w:r>
      <w:r w:rsidR="006D636F">
        <w:t>,</w:t>
      </w:r>
      <w:r w:rsidR="006D636F">
        <w:tab/>
        <w:t xml:space="preserve">ID datové schránky; </w:t>
      </w:r>
      <w:r w:rsidR="00C76183">
        <w:t>XXXXXXX</w:t>
      </w:r>
    </w:p>
    <w:p w:rsidR="00B30E06" w:rsidRDefault="006D636F">
      <w:pPr>
        <w:pStyle w:val="Style4"/>
        <w:shd w:val="clear" w:color="auto" w:fill="auto"/>
      </w:pPr>
      <w:r>
        <w:t xml:space="preserve">bankovní spojení; </w:t>
      </w:r>
      <w:r w:rsidR="00C76183">
        <w:t>XXXXXXXXXXXXXXXXXXXXXXXXXX</w:t>
      </w:r>
    </w:p>
    <w:p w:rsidR="00B30E06" w:rsidRDefault="006D636F">
      <w:pPr>
        <w:pStyle w:val="Style4"/>
        <w:shd w:val="clear" w:color="auto" w:fill="auto"/>
        <w:spacing w:after="160"/>
      </w:pPr>
      <w:r>
        <w:t>(dále jen "Provozovatel")</w:t>
      </w:r>
    </w:p>
    <w:p w:rsidR="00B30E06" w:rsidRDefault="006D636F">
      <w:pPr>
        <w:pStyle w:val="Style8"/>
        <w:shd w:val="clear" w:color="auto" w:fill="auto"/>
        <w:spacing w:after="160"/>
      </w:pPr>
      <w:r>
        <w:t>a</w:t>
      </w:r>
    </w:p>
    <w:p w:rsidR="00B30E06" w:rsidRDefault="006D636F">
      <w:pPr>
        <w:pStyle w:val="Style8"/>
        <w:shd w:val="clear" w:color="auto" w:fill="auto"/>
        <w:spacing w:after="40"/>
        <w:rPr>
          <w:sz w:val="18"/>
          <w:szCs w:val="18"/>
        </w:rPr>
      </w:pPr>
      <w:r>
        <w:rPr>
          <w:b/>
          <w:bCs/>
        </w:rPr>
        <w:t xml:space="preserve">ODBĚRATEL ČÍSLO: </w:t>
      </w:r>
      <w:r>
        <w:rPr>
          <w:sz w:val="18"/>
          <w:szCs w:val="18"/>
        </w:rPr>
        <w:t>5278</w:t>
      </w:r>
    </w:p>
    <w:p w:rsidR="00C613AD" w:rsidRDefault="006D636F">
      <w:pPr>
        <w:pStyle w:val="Style15"/>
        <w:shd w:val="clear" w:color="auto" w:fill="auto"/>
        <w:tabs>
          <w:tab w:val="left" w:pos="4603"/>
          <w:tab w:val="right" w:pos="10526"/>
        </w:tabs>
        <w:rPr>
          <w:b/>
          <w:bCs/>
          <w:sz w:val="20"/>
          <w:szCs w:val="20"/>
        </w:rPr>
      </w:pPr>
      <w:r>
        <w:fldChar w:fldCharType="begin"/>
      </w:r>
      <w:r>
        <w:instrText xml:space="preserve"> TOC \o "1-5" \h \z </w:instrText>
      </w:r>
      <w:r>
        <w:fldChar w:fldCharType="separate"/>
      </w:r>
      <w:r>
        <w:t xml:space="preserve">Příjmení, jméno a titul/Název obchodní firmy; </w:t>
      </w:r>
      <w:r>
        <w:rPr>
          <w:b/>
          <w:bCs/>
          <w:sz w:val="20"/>
          <w:szCs w:val="20"/>
        </w:rPr>
        <w:t xml:space="preserve">Národní muzeum </w:t>
      </w:r>
    </w:p>
    <w:p w:rsidR="00C613AD" w:rsidRDefault="006D636F">
      <w:pPr>
        <w:pStyle w:val="Style15"/>
        <w:shd w:val="clear" w:color="auto" w:fill="auto"/>
        <w:tabs>
          <w:tab w:val="left" w:pos="4603"/>
          <w:tab w:val="right" w:pos="10526"/>
        </w:tabs>
      </w:pPr>
      <w:r>
        <w:t xml:space="preserve">bydliště/sídlo; Václavské náměstí 1700/68,115 79 Praha 1 - Nové Město </w:t>
      </w:r>
    </w:p>
    <w:p w:rsidR="00B30E06" w:rsidRDefault="006D636F">
      <w:pPr>
        <w:pStyle w:val="Style15"/>
        <w:shd w:val="clear" w:color="auto" w:fill="auto"/>
        <w:tabs>
          <w:tab w:val="left" w:pos="4603"/>
          <w:tab w:val="right" w:pos="10526"/>
        </w:tabs>
      </w:pPr>
      <w:r>
        <w:t>datum narození/IČ; 00023272</w:t>
      </w:r>
      <w:r>
        <w:tab/>
        <w:t>DIČ, je-li plátcem DPH; CZ00023272</w:t>
      </w:r>
      <w:r>
        <w:tab/>
        <w:t>• ..</w:t>
      </w:r>
    </w:p>
    <w:p w:rsidR="00B30E06" w:rsidRDefault="006D636F">
      <w:pPr>
        <w:pStyle w:val="Style15"/>
        <w:shd w:val="clear" w:color="auto" w:fill="auto"/>
        <w:tabs>
          <w:tab w:val="left" w:pos="5309"/>
          <w:tab w:val="left" w:pos="5352"/>
        </w:tabs>
      </w:pPr>
      <w:r>
        <w:t>zapsaný v obchodním rejstříku, spisová značka:</w:t>
      </w:r>
      <w:r>
        <w:tab/>
      </w:r>
      <w:r>
        <w:rPr>
          <w:u w:val="single"/>
        </w:rPr>
        <w:t xml:space="preserve"> </w:t>
      </w:r>
      <w:r>
        <w:rPr>
          <w:u w:val="single"/>
        </w:rPr>
        <w:tab/>
      </w:r>
    </w:p>
    <w:p w:rsidR="00B30E06" w:rsidRDefault="006D636F">
      <w:pPr>
        <w:pStyle w:val="Style15"/>
        <w:shd w:val="clear" w:color="auto" w:fill="auto"/>
        <w:tabs>
          <w:tab w:val="left" w:pos="4603"/>
          <w:tab w:val="left" w:pos="7085"/>
        </w:tabs>
      </w:pPr>
      <w:r>
        <w:t xml:space="preserve">tel.: </w:t>
      </w:r>
      <w:r w:rsidR="00C76183">
        <w:t>XXXXXXXXXXXXXXXX</w:t>
      </w:r>
      <w:r>
        <w:tab/>
        <w:t>E-mail:</w:t>
      </w:r>
      <w:r>
        <w:tab/>
      </w:r>
      <w:r>
        <w:rPr>
          <w:b/>
          <w:bCs/>
          <w:sz w:val="20"/>
          <w:szCs w:val="20"/>
        </w:rPr>
        <w:t xml:space="preserve"> </w:t>
      </w:r>
      <w:r>
        <w:t>ID datové schránky:</w:t>
      </w:r>
    </w:p>
    <w:p w:rsidR="00B30E06" w:rsidRDefault="006D636F">
      <w:pPr>
        <w:pStyle w:val="Style15"/>
        <w:shd w:val="clear" w:color="auto" w:fill="auto"/>
        <w:tabs>
          <w:tab w:val="left" w:pos="2482"/>
        </w:tabs>
        <w:spacing w:after="160"/>
        <w:rPr>
          <w:sz w:val="20"/>
          <w:szCs w:val="20"/>
        </w:rPr>
      </w:pPr>
      <w:r>
        <w:t>bankovní účet:</w:t>
      </w:r>
      <w:r>
        <w:tab/>
        <w:t xml:space="preserve">kód banky: </w:t>
      </w:r>
    </w:p>
    <w:p w:rsidR="00B30E06" w:rsidRDefault="006D636F">
      <w:pPr>
        <w:pStyle w:val="Style15"/>
        <w:shd w:val="clear" w:color="auto" w:fill="auto"/>
        <w:tabs>
          <w:tab w:val="left" w:pos="10334"/>
        </w:tabs>
        <w:spacing w:line="276" w:lineRule="auto"/>
      </w:pPr>
      <w:r>
        <w:t>Adresa pro doručování (liší-li se od adresy bydliště nebo sídla):</w:t>
      </w:r>
      <w:r>
        <w:tab/>
        <w:t>; "■</w:t>
      </w:r>
    </w:p>
    <w:p w:rsidR="00B30E06" w:rsidRDefault="006D636F">
      <w:pPr>
        <w:pStyle w:val="Style15"/>
        <w:shd w:val="clear" w:color="auto" w:fill="auto"/>
        <w:tabs>
          <w:tab w:val="left" w:pos="10334"/>
        </w:tabs>
        <w:spacing w:line="276" w:lineRule="auto"/>
      </w:pPr>
      <w:r>
        <w:t>Příjmení, jméno a titul/Název obchodní firmy: Národní muzeum</w:t>
      </w:r>
      <w:r>
        <w:tab/>
        <w:t>*'</w:t>
      </w:r>
      <w:r>
        <w:fldChar w:fldCharType="end"/>
      </w:r>
    </w:p>
    <w:p w:rsidR="00B30E06" w:rsidRDefault="006D636F">
      <w:pPr>
        <w:pStyle w:val="Style4"/>
        <w:shd w:val="clear" w:color="auto" w:fill="auto"/>
      </w:pPr>
      <w:r>
        <w:t>korespondenční adresa: Václavské náměstí 1700/68,115 79 Praha 1 - Nové Město</w:t>
      </w:r>
    </w:p>
    <w:p w:rsidR="00B30E06" w:rsidRDefault="006D636F">
      <w:pPr>
        <w:pStyle w:val="Style4"/>
        <w:shd w:val="clear" w:color="auto" w:fill="auto"/>
        <w:spacing w:after="160"/>
      </w:pPr>
      <w:r>
        <w:t>(dále jen "Odběratel")</w:t>
      </w:r>
    </w:p>
    <w:p w:rsidR="00B30E06" w:rsidRDefault="006D636F">
      <w:pPr>
        <w:pStyle w:val="Style4"/>
        <w:shd w:val="clear" w:color="auto" w:fill="auto"/>
        <w:spacing w:after="160"/>
      </w:pPr>
      <w:r>
        <w:t>Provozovatel a Odběratel budou dále společně označovány jako "Smluvní strany", samostatně pak každý jako "Smluvní strana".</w:t>
      </w:r>
    </w:p>
    <w:p w:rsidR="00B30E06" w:rsidRDefault="006D636F">
      <w:pPr>
        <w:pStyle w:val="Style18"/>
        <w:keepNext/>
        <w:keepLines/>
        <w:numPr>
          <w:ilvl w:val="0"/>
          <w:numId w:val="1"/>
        </w:numPr>
        <w:shd w:val="clear" w:color="auto" w:fill="auto"/>
        <w:tabs>
          <w:tab w:val="left" w:pos="291"/>
        </w:tabs>
        <w:spacing w:after="40"/>
      </w:pPr>
      <w:bookmarkStart w:id="4" w:name="bookmark4"/>
      <w:bookmarkStart w:id="5" w:name="bookmark5"/>
      <w:bookmarkStart w:id="6" w:name="bookmark6"/>
      <w:r>
        <w:t>Předmět smlouvy</w:t>
      </w:r>
      <w:bookmarkEnd w:id="4"/>
      <w:bookmarkEnd w:id="5"/>
      <w:bookmarkEnd w:id="6"/>
    </w:p>
    <w:p w:rsidR="00B30E06" w:rsidRDefault="006D636F">
      <w:pPr>
        <w:pStyle w:val="Style8"/>
        <w:numPr>
          <w:ilvl w:val="0"/>
          <w:numId w:val="2"/>
        </w:numPr>
        <w:shd w:val="clear" w:color="auto" w:fill="auto"/>
        <w:tabs>
          <w:tab w:val="left" w:pos="320"/>
        </w:tabs>
      </w:pPr>
      <w:r>
        <w:t xml:space="preserve">Předmětem této smlouvy je úprava vztahů, práv a povinností mezi provozovatelem a odběratelem při </w:t>
      </w:r>
      <w:r>
        <w:rPr>
          <w:b/>
          <w:bCs/>
        </w:rPr>
        <w:t>dodávce vody a odvádění odpadních vod</w:t>
      </w:r>
    </w:p>
    <w:p w:rsidR="00B30E06" w:rsidRDefault="006D636F">
      <w:pPr>
        <w:pStyle w:val="Style8"/>
        <w:shd w:val="clear" w:color="auto" w:fill="auto"/>
      </w:pPr>
      <w:r>
        <w:t>Účel dodávky vody a odvádění odpadních vod: bytový fond</w:t>
      </w:r>
    </w:p>
    <w:p w:rsidR="00B30E06" w:rsidRDefault="006D636F">
      <w:pPr>
        <w:pStyle w:val="Style8"/>
        <w:shd w:val="clear" w:color="auto" w:fill="auto"/>
      </w:pPr>
      <w:r>
        <w:t>Vlastník připojené stavby/pozemku: Národní muzeum</w:t>
      </w:r>
    </w:p>
    <w:p w:rsidR="00B30E06" w:rsidRDefault="006D636F">
      <w:pPr>
        <w:pStyle w:val="Style8"/>
        <w:shd w:val="clear" w:color="auto" w:fill="auto"/>
      </w:pPr>
      <w:r>
        <w:t>Vlastník vodovodní přípojky; Národní muzeum</w:t>
      </w:r>
    </w:p>
    <w:p w:rsidR="00B30E06" w:rsidRDefault="006D636F">
      <w:pPr>
        <w:pStyle w:val="Style8"/>
        <w:shd w:val="clear" w:color="auto" w:fill="auto"/>
      </w:pPr>
      <w:r>
        <w:t>Vlastník kanalizační přípojky: Národní muzeum</w:t>
      </w:r>
    </w:p>
    <w:p w:rsidR="00B30E06" w:rsidRDefault="006D636F">
      <w:pPr>
        <w:pStyle w:val="Style8"/>
        <w:numPr>
          <w:ilvl w:val="0"/>
          <w:numId w:val="2"/>
        </w:numPr>
        <w:shd w:val="clear" w:color="auto" w:fill="auto"/>
        <w:tabs>
          <w:tab w:val="left" w:pos="315"/>
        </w:tabs>
      </w:pPr>
      <w:r>
        <w:t>Smluvní strany se dohodly, že místem dodávky vody, a nebo odvádění odpadních vod, je stavba nebo pozemek připojený přípojkou na vodovod nebo kanalizaci (dále jen "Odběrné místo"):</w:t>
      </w:r>
    </w:p>
    <w:p w:rsidR="00B30E06" w:rsidRDefault="006D636F">
      <w:pPr>
        <w:pStyle w:val="Style8"/>
        <w:shd w:val="clear" w:color="auto" w:fill="auto"/>
        <w:jc w:val="both"/>
      </w:pPr>
      <w:r>
        <w:t>Adresa Odběrného místa:</w:t>
      </w:r>
    </w:p>
    <w:p w:rsidR="00B30E06" w:rsidRDefault="006D636F">
      <w:pPr>
        <w:pStyle w:val="Style8"/>
        <w:shd w:val="clear" w:color="auto" w:fill="auto"/>
        <w:jc w:val="both"/>
      </w:pPr>
      <w:r>
        <w:t>Obec: Jabkenice</w:t>
      </w:r>
    </w:p>
    <w:p w:rsidR="00B30E06" w:rsidRDefault="006D636F">
      <w:pPr>
        <w:pStyle w:val="Style8"/>
        <w:shd w:val="clear" w:color="auto" w:fill="auto"/>
        <w:jc w:val="both"/>
      </w:pPr>
      <w:r>
        <w:t>Ulice a č.p.: 33</w:t>
      </w:r>
    </w:p>
    <w:p w:rsidR="00B30E06" w:rsidRDefault="006D636F">
      <w:pPr>
        <w:pStyle w:val="Style8"/>
        <w:shd w:val="clear" w:color="auto" w:fill="auto"/>
        <w:jc w:val="both"/>
      </w:pPr>
      <w:r>
        <w:t xml:space="preserve">pozemek číslo (není - </w:t>
      </w:r>
      <w:proofErr w:type="spellStart"/>
      <w:r>
        <w:t>li</w:t>
      </w:r>
      <w:proofErr w:type="spellEnd"/>
      <w:r>
        <w:t xml:space="preserve"> č.p.);</w:t>
      </w:r>
    </w:p>
    <w:p w:rsidR="00B30E06" w:rsidRDefault="006D636F">
      <w:pPr>
        <w:pStyle w:val="Style8"/>
        <w:shd w:val="clear" w:color="auto" w:fill="auto"/>
        <w:jc w:val="both"/>
      </w:pPr>
      <w:r>
        <w:t>katastrální území: Jabkenice</w:t>
      </w:r>
    </w:p>
    <w:p w:rsidR="00B30E06" w:rsidRDefault="006D636F">
      <w:pPr>
        <w:pStyle w:val="Style8"/>
        <w:shd w:val="clear" w:color="auto" w:fill="auto"/>
      </w:pPr>
      <w:r>
        <w:t>Číslo Odběrného místa: - vodovod: 103100, kanalizace: 103100</w:t>
      </w:r>
    </w:p>
    <w:p w:rsidR="00B30E06" w:rsidRDefault="006D636F">
      <w:pPr>
        <w:pStyle w:val="Style8"/>
        <w:numPr>
          <w:ilvl w:val="0"/>
          <w:numId w:val="2"/>
        </w:numPr>
        <w:shd w:val="clear" w:color="auto" w:fill="auto"/>
        <w:tabs>
          <w:tab w:val="left" w:pos="315"/>
        </w:tabs>
      </w:pPr>
      <w:r>
        <w:t>Smluvní strany se dohodly, že množství dodávané vody bude zjišťováno: vodoměrem provozovatele, umístění vodoměru; š vedle plotu, nezamčená vrátka u pomníku</w:t>
      </w:r>
    </w:p>
    <w:p w:rsidR="00B30E06" w:rsidRDefault="006D636F">
      <w:pPr>
        <w:pStyle w:val="Style8"/>
        <w:numPr>
          <w:ilvl w:val="0"/>
          <w:numId w:val="2"/>
        </w:numPr>
        <w:shd w:val="clear" w:color="auto" w:fill="auto"/>
        <w:tabs>
          <w:tab w:val="left" w:pos="325"/>
        </w:tabs>
      </w:pPr>
      <w:r>
        <w:t>Smluvní strany se dohodly, že množství odváděných odpadních vod bude zjišťováno: vodoměrem provozovatele, dle množství vody dodané vodovodem</w:t>
      </w:r>
    </w:p>
    <w:p w:rsidR="00B30E06" w:rsidRDefault="006D636F">
      <w:pPr>
        <w:pStyle w:val="Style8"/>
        <w:numPr>
          <w:ilvl w:val="0"/>
          <w:numId w:val="2"/>
        </w:numPr>
        <w:shd w:val="clear" w:color="auto" w:fill="auto"/>
        <w:tabs>
          <w:tab w:val="left" w:pos="320"/>
        </w:tabs>
      </w:pPr>
      <w:r>
        <w:t>Výpočet množství srážkových vod odváděných do kanalizace (Nevyplňuje nepodnikající fyzická osoba)</w:t>
      </w:r>
    </w:p>
    <w:p w:rsidR="00B30E06" w:rsidRDefault="006D636F">
      <w:pPr>
        <w:pStyle w:val="Style8"/>
        <w:shd w:val="clear" w:color="auto" w:fill="auto"/>
      </w:pPr>
      <w:r>
        <w:t>Dlouhodobý srážkový normál; 580 mm/rok, tj. 0,580 m/rok</w:t>
      </w:r>
    </w:p>
    <w:p w:rsidR="00B30E06" w:rsidRDefault="006D636F">
      <w:pPr>
        <w:pStyle w:val="Style8"/>
        <w:shd w:val="clear" w:color="auto" w:fill="auto"/>
      </w:pPr>
      <w:r>
        <w:rPr>
          <w:noProof/>
        </w:rPr>
        <mc:AlternateContent>
          <mc:Choice Requires="wps">
            <w:drawing>
              <wp:anchor distT="0" distB="0" distL="114300" distR="114300" simplePos="0" relativeHeight="125829378" behindDoc="0" locked="0" layoutInCell="1" allowOverlap="1">
                <wp:simplePos x="0" y="0"/>
                <wp:positionH relativeFrom="page">
                  <wp:posOffset>387985</wp:posOffset>
                </wp:positionH>
                <wp:positionV relativeFrom="paragraph">
                  <wp:posOffset>139700</wp:posOffset>
                </wp:positionV>
                <wp:extent cx="5870575" cy="8470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870575" cy="8470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50"/>
                              <w:gridCol w:w="2390"/>
                              <w:gridCol w:w="1349"/>
                              <w:gridCol w:w="768"/>
                              <w:gridCol w:w="1987"/>
                            </w:tblGrid>
                            <w:tr w:rsidR="00B30E06">
                              <w:trPr>
                                <w:trHeight w:hRule="exact" w:val="235"/>
                                <w:tblHeader/>
                              </w:trPr>
                              <w:tc>
                                <w:tcPr>
                                  <w:tcW w:w="2750" w:type="dxa"/>
                                  <w:shd w:val="clear" w:color="auto" w:fill="FFFFFF"/>
                                  <w:vAlign w:val="bottom"/>
                                </w:tcPr>
                                <w:p w:rsidR="00B30E06" w:rsidRDefault="006D636F">
                                  <w:pPr>
                                    <w:pStyle w:val="Style2"/>
                                    <w:shd w:val="clear" w:color="auto" w:fill="auto"/>
                                    <w:spacing w:line="240" w:lineRule="auto"/>
                                  </w:pPr>
                                  <w:r>
                                    <w:t>Druh ploch (plochy zastavěné )</w:t>
                                  </w:r>
                                </w:p>
                              </w:tc>
                              <w:tc>
                                <w:tcPr>
                                  <w:tcW w:w="2390" w:type="dxa"/>
                                  <w:shd w:val="clear" w:color="auto" w:fill="FFFFFF"/>
                                  <w:vAlign w:val="bottom"/>
                                </w:tcPr>
                                <w:p w:rsidR="00B30E06" w:rsidRDefault="006D636F">
                                  <w:pPr>
                                    <w:pStyle w:val="Style2"/>
                                    <w:shd w:val="clear" w:color="auto" w:fill="auto"/>
                                    <w:spacing w:line="240" w:lineRule="auto"/>
                                    <w:jc w:val="center"/>
                                  </w:pPr>
                                  <w:r>
                                    <w:t>Odtokový součinitel</w:t>
                                  </w:r>
                                </w:p>
                              </w:tc>
                              <w:tc>
                                <w:tcPr>
                                  <w:tcW w:w="1349" w:type="dxa"/>
                                  <w:shd w:val="clear" w:color="auto" w:fill="FFFFFF"/>
                                  <w:vAlign w:val="bottom"/>
                                </w:tcPr>
                                <w:p w:rsidR="00B30E06" w:rsidRDefault="006D636F">
                                  <w:pPr>
                                    <w:pStyle w:val="Style2"/>
                                    <w:shd w:val="clear" w:color="auto" w:fill="auto"/>
                                    <w:spacing w:line="240" w:lineRule="auto"/>
                                    <w:jc w:val="center"/>
                                  </w:pPr>
                                  <w:r>
                                    <w:t>Plocha( m^)</w:t>
                                  </w:r>
                                </w:p>
                              </w:tc>
                              <w:tc>
                                <w:tcPr>
                                  <w:tcW w:w="768" w:type="dxa"/>
                                  <w:shd w:val="clear" w:color="auto" w:fill="FFFFFF"/>
                                </w:tcPr>
                                <w:p w:rsidR="00B30E06" w:rsidRDefault="00B30E06">
                                  <w:pPr>
                                    <w:rPr>
                                      <w:sz w:val="10"/>
                                      <w:szCs w:val="10"/>
                                    </w:rPr>
                                  </w:pPr>
                                </w:p>
                              </w:tc>
                              <w:tc>
                                <w:tcPr>
                                  <w:tcW w:w="1987" w:type="dxa"/>
                                  <w:shd w:val="clear" w:color="auto" w:fill="FFFFFF"/>
                                  <w:vAlign w:val="bottom"/>
                                </w:tcPr>
                                <w:p w:rsidR="00B30E06" w:rsidRDefault="006D636F">
                                  <w:pPr>
                                    <w:pStyle w:val="Style2"/>
                                    <w:shd w:val="clear" w:color="auto" w:fill="auto"/>
                                    <w:spacing w:line="240" w:lineRule="auto"/>
                                    <w:ind w:firstLine="240"/>
                                  </w:pPr>
                                  <w:r>
                                    <w:t>Redukovaná plocha(</w:t>
                                  </w:r>
                                </w:p>
                              </w:tc>
                            </w:tr>
                            <w:tr w:rsidR="00B30E06">
                              <w:trPr>
                                <w:trHeight w:hRule="exact" w:val="221"/>
                              </w:trPr>
                              <w:tc>
                                <w:tcPr>
                                  <w:tcW w:w="2750" w:type="dxa"/>
                                  <w:shd w:val="clear" w:color="auto" w:fill="FFFFFF"/>
                                </w:tcPr>
                                <w:p w:rsidR="00B30E06" w:rsidRDefault="006D636F">
                                  <w:pPr>
                                    <w:pStyle w:val="Style2"/>
                                    <w:shd w:val="clear" w:color="auto" w:fill="auto"/>
                                    <w:spacing w:line="240" w:lineRule="auto"/>
                                  </w:pPr>
                                  <w:r>
                                    <w:t>A těžce propustné zpevněné</w:t>
                                  </w:r>
                                </w:p>
                              </w:tc>
                              <w:tc>
                                <w:tcPr>
                                  <w:tcW w:w="2390" w:type="dxa"/>
                                  <w:shd w:val="clear" w:color="auto" w:fill="FFFFFF"/>
                                </w:tcPr>
                                <w:p w:rsidR="00B30E06" w:rsidRDefault="006D636F">
                                  <w:pPr>
                                    <w:pStyle w:val="Style2"/>
                                    <w:shd w:val="clear" w:color="auto" w:fill="auto"/>
                                    <w:spacing w:line="240" w:lineRule="auto"/>
                                    <w:ind w:left="1160"/>
                                  </w:pPr>
                                  <w:r>
                                    <w:t>0,9</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300"/>
                                  </w:pPr>
                                  <w:r>
                                    <w:t>m3</w:t>
                                  </w:r>
                                </w:p>
                              </w:tc>
                            </w:tr>
                            <w:tr w:rsidR="00B30E06">
                              <w:trPr>
                                <w:trHeight w:hRule="exact" w:val="216"/>
                              </w:trPr>
                              <w:tc>
                                <w:tcPr>
                                  <w:tcW w:w="2750" w:type="dxa"/>
                                  <w:shd w:val="clear" w:color="auto" w:fill="FFFFFF"/>
                                </w:tcPr>
                                <w:p w:rsidR="00B30E06" w:rsidRDefault="006D636F">
                                  <w:pPr>
                                    <w:pStyle w:val="Style2"/>
                                    <w:shd w:val="clear" w:color="auto" w:fill="auto"/>
                                    <w:spacing w:line="240" w:lineRule="auto"/>
                                  </w:pPr>
                                  <w:r>
                                    <w:t>B lehce propustné zpevněné</w:t>
                                  </w:r>
                                </w:p>
                              </w:tc>
                              <w:tc>
                                <w:tcPr>
                                  <w:tcW w:w="2390" w:type="dxa"/>
                                  <w:shd w:val="clear" w:color="auto" w:fill="FFFFFF"/>
                                </w:tcPr>
                                <w:p w:rsidR="00B30E06" w:rsidRDefault="006D636F">
                                  <w:pPr>
                                    <w:pStyle w:val="Style2"/>
                                    <w:shd w:val="clear" w:color="auto" w:fill="auto"/>
                                    <w:spacing w:line="240" w:lineRule="auto"/>
                                    <w:ind w:left="1160"/>
                                  </w:pPr>
                                  <w:r>
                                    <w:t>0,4</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300"/>
                                  </w:pPr>
                                  <w:r>
                                    <w:t>m3</w:t>
                                  </w:r>
                                </w:p>
                              </w:tc>
                            </w:tr>
                            <w:tr w:rsidR="00B30E06">
                              <w:trPr>
                                <w:trHeight w:hRule="exact" w:val="221"/>
                              </w:trPr>
                              <w:tc>
                                <w:tcPr>
                                  <w:tcW w:w="2750" w:type="dxa"/>
                                  <w:shd w:val="clear" w:color="auto" w:fill="FFFFFF"/>
                                </w:tcPr>
                                <w:p w:rsidR="00B30E06" w:rsidRDefault="006D636F">
                                  <w:pPr>
                                    <w:pStyle w:val="Style2"/>
                                    <w:shd w:val="clear" w:color="auto" w:fill="auto"/>
                                    <w:spacing w:line="240" w:lineRule="auto"/>
                                  </w:pPr>
                                  <w:r>
                                    <w:t>C plochy kryté vegetací</w:t>
                                  </w:r>
                                </w:p>
                              </w:tc>
                              <w:tc>
                                <w:tcPr>
                                  <w:tcW w:w="2390" w:type="dxa"/>
                                  <w:shd w:val="clear" w:color="auto" w:fill="FFFFFF"/>
                                </w:tcPr>
                                <w:p w:rsidR="00B30E06" w:rsidRDefault="006D636F">
                                  <w:pPr>
                                    <w:pStyle w:val="Style2"/>
                                    <w:shd w:val="clear" w:color="auto" w:fill="auto"/>
                                    <w:tabs>
                                      <w:tab w:val="left" w:pos="1934"/>
                                    </w:tabs>
                                    <w:spacing w:line="240" w:lineRule="auto"/>
                                    <w:ind w:firstLine="460"/>
                                  </w:pPr>
                                  <w:r>
                                    <w:t>0,05</w:t>
                                  </w:r>
                                  <w:r>
                                    <w:tab/>
                                    <w:t>m^</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6D636F">
                                  <w:pPr>
                                    <w:pStyle w:val="Style2"/>
                                    <w:shd w:val="clear" w:color="auto" w:fill="auto"/>
                                    <w:spacing w:line="240" w:lineRule="auto"/>
                                    <w:ind w:firstLine="320"/>
                                    <w:jc w:val="both"/>
                                  </w:pPr>
                                  <w:r>
                                    <w:t>m3</w:t>
                                  </w:r>
                                </w:p>
                              </w:tc>
                              <w:tc>
                                <w:tcPr>
                                  <w:tcW w:w="1987" w:type="dxa"/>
                                  <w:shd w:val="clear" w:color="auto" w:fill="FFFFFF"/>
                                </w:tcPr>
                                <w:p w:rsidR="00B30E06" w:rsidRDefault="00B30E06">
                                  <w:pPr>
                                    <w:rPr>
                                      <w:sz w:val="10"/>
                                      <w:szCs w:val="10"/>
                                    </w:rPr>
                                  </w:pPr>
                                </w:p>
                              </w:tc>
                            </w:tr>
                            <w:tr w:rsidR="00B30E06">
                              <w:trPr>
                                <w:trHeight w:hRule="exact" w:val="211"/>
                              </w:trPr>
                              <w:tc>
                                <w:tcPr>
                                  <w:tcW w:w="2750" w:type="dxa"/>
                                  <w:shd w:val="clear" w:color="auto" w:fill="FFFFFF"/>
                                </w:tcPr>
                                <w:p w:rsidR="00B30E06" w:rsidRDefault="006D636F">
                                  <w:pPr>
                                    <w:pStyle w:val="Style2"/>
                                    <w:shd w:val="clear" w:color="auto" w:fill="auto"/>
                                    <w:spacing w:line="240" w:lineRule="auto"/>
                                  </w:pPr>
                                  <w:r>
                                    <w:t>SOUČET ploch</w:t>
                                  </w:r>
                                </w:p>
                              </w:tc>
                              <w:tc>
                                <w:tcPr>
                                  <w:tcW w:w="2390" w:type="dxa"/>
                                  <w:shd w:val="clear" w:color="auto" w:fill="FFFFFF"/>
                                </w:tcPr>
                                <w:p w:rsidR="00B30E06" w:rsidRDefault="00B30E06">
                                  <w:pPr>
                                    <w:rPr>
                                      <w:sz w:val="10"/>
                                      <w:szCs w:val="10"/>
                                    </w:rPr>
                                  </w:pP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240"/>
                                  </w:pPr>
                                  <w:r>
                                    <w:t>0 m3</w:t>
                                  </w:r>
                                </w:p>
                              </w:tc>
                            </w:tr>
                            <w:tr w:rsidR="00B30E06">
                              <w:trPr>
                                <w:trHeight w:hRule="exact" w:val="230"/>
                              </w:trPr>
                              <w:tc>
                                <w:tcPr>
                                  <w:tcW w:w="5140" w:type="dxa"/>
                                  <w:gridSpan w:val="2"/>
                                  <w:shd w:val="clear" w:color="auto" w:fill="FFFFFF"/>
                                </w:tcPr>
                                <w:p w:rsidR="00B30E06" w:rsidRDefault="006D636F">
                                  <w:pPr>
                                    <w:pStyle w:val="Style2"/>
                                    <w:shd w:val="clear" w:color="auto" w:fill="auto"/>
                                    <w:spacing w:line="240" w:lineRule="auto"/>
                                  </w:pPr>
                                  <w:r>
                                    <w:t>Roční množství odváděných srážkových vod Q v (m^)</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240"/>
                                  </w:pPr>
                                  <w:r>
                                    <w:t>0 m3</w:t>
                                  </w:r>
                                </w:p>
                              </w:tc>
                            </w:tr>
                          </w:tbl>
                          <w:p w:rsidR="00B30E06" w:rsidRDefault="00B30E06">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55pt;margin-top:11pt;width:462.25pt;height:66.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50"/>
                        <w:gridCol w:w="2390"/>
                        <w:gridCol w:w="1349"/>
                        <w:gridCol w:w="768"/>
                        <w:gridCol w:w="1987"/>
                      </w:tblGrid>
                      <w:tr w:rsidR="00B30E06">
                        <w:trPr>
                          <w:trHeight w:hRule="exact" w:val="235"/>
                          <w:tblHeader/>
                        </w:trPr>
                        <w:tc>
                          <w:tcPr>
                            <w:tcW w:w="2750" w:type="dxa"/>
                            <w:shd w:val="clear" w:color="auto" w:fill="FFFFFF"/>
                            <w:vAlign w:val="bottom"/>
                          </w:tcPr>
                          <w:p w:rsidR="00B30E06" w:rsidRDefault="006D636F">
                            <w:pPr>
                              <w:pStyle w:val="Style2"/>
                              <w:shd w:val="clear" w:color="auto" w:fill="auto"/>
                              <w:spacing w:line="240" w:lineRule="auto"/>
                            </w:pPr>
                            <w:r>
                              <w:t>Druh ploch (plochy zastavěné )</w:t>
                            </w:r>
                          </w:p>
                        </w:tc>
                        <w:tc>
                          <w:tcPr>
                            <w:tcW w:w="2390" w:type="dxa"/>
                            <w:shd w:val="clear" w:color="auto" w:fill="FFFFFF"/>
                            <w:vAlign w:val="bottom"/>
                          </w:tcPr>
                          <w:p w:rsidR="00B30E06" w:rsidRDefault="006D636F">
                            <w:pPr>
                              <w:pStyle w:val="Style2"/>
                              <w:shd w:val="clear" w:color="auto" w:fill="auto"/>
                              <w:spacing w:line="240" w:lineRule="auto"/>
                              <w:jc w:val="center"/>
                            </w:pPr>
                            <w:r>
                              <w:t>Odtokový součinitel</w:t>
                            </w:r>
                          </w:p>
                        </w:tc>
                        <w:tc>
                          <w:tcPr>
                            <w:tcW w:w="1349" w:type="dxa"/>
                            <w:shd w:val="clear" w:color="auto" w:fill="FFFFFF"/>
                            <w:vAlign w:val="bottom"/>
                          </w:tcPr>
                          <w:p w:rsidR="00B30E06" w:rsidRDefault="006D636F">
                            <w:pPr>
                              <w:pStyle w:val="Style2"/>
                              <w:shd w:val="clear" w:color="auto" w:fill="auto"/>
                              <w:spacing w:line="240" w:lineRule="auto"/>
                              <w:jc w:val="center"/>
                            </w:pPr>
                            <w:r>
                              <w:t>Plocha( m^)</w:t>
                            </w:r>
                          </w:p>
                        </w:tc>
                        <w:tc>
                          <w:tcPr>
                            <w:tcW w:w="768" w:type="dxa"/>
                            <w:shd w:val="clear" w:color="auto" w:fill="FFFFFF"/>
                          </w:tcPr>
                          <w:p w:rsidR="00B30E06" w:rsidRDefault="00B30E06">
                            <w:pPr>
                              <w:rPr>
                                <w:sz w:val="10"/>
                                <w:szCs w:val="10"/>
                              </w:rPr>
                            </w:pPr>
                          </w:p>
                        </w:tc>
                        <w:tc>
                          <w:tcPr>
                            <w:tcW w:w="1987" w:type="dxa"/>
                            <w:shd w:val="clear" w:color="auto" w:fill="FFFFFF"/>
                            <w:vAlign w:val="bottom"/>
                          </w:tcPr>
                          <w:p w:rsidR="00B30E06" w:rsidRDefault="006D636F">
                            <w:pPr>
                              <w:pStyle w:val="Style2"/>
                              <w:shd w:val="clear" w:color="auto" w:fill="auto"/>
                              <w:spacing w:line="240" w:lineRule="auto"/>
                              <w:ind w:firstLine="240"/>
                            </w:pPr>
                            <w:r>
                              <w:t>Redukovaná plocha(</w:t>
                            </w:r>
                          </w:p>
                        </w:tc>
                      </w:tr>
                      <w:tr w:rsidR="00B30E06">
                        <w:trPr>
                          <w:trHeight w:hRule="exact" w:val="221"/>
                        </w:trPr>
                        <w:tc>
                          <w:tcPr>
                            <w:tcW w:w="2750" w:type="dxa"/>
                            <w:shd w:val="clear" w:color="auto" w:fill="FFFFFF"/>
                          </w:tcPr>
                          <w:p w:rsidR="00B30E06" w:rsidRDefault="006D636F">
                            <w:pPr>
                              <w:pStyle w:val="Style2"/>
                              <w:shd w:val="clear" w:color="auto" w:fill="auto"/>
                              <w:spacing w:line="240" w:lineRule="auto"/>
                            </w:pPr>
                            <w:r>
                              <w:t>A těžce propustné zpevněné</w:t>
                            </w:r>
                          </w:p>
                        </w:tc>
                        <w:tc>
                          <w:tcPr>
                            <w:tcW w:w="2390" w:type="dxa"/>
                            <w:shd w:val="clear" w:color="auto" w:fill="FFFFFF"/>
                          </w:tcPr>
                          <w:p w:rsidR="00B30E06" w:rsidRDefault="006D636F">
                            <w:pPr>
                              <w:pStyle w:val="Style2"/>
                              <w:shd w:val="clear" w:color="auto" w:fill="auto"/>
                              <w:spacing w:line="240" w:lineRule="auto"/>
                              <w:ind w:left="1160"/>
                            </w:pPr>
                            <w:r>
                              <w:t>0,9</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300"/>
                            </w:pPr>
                            <w:r>
                              <w:t>m3</w:t>
                            </w:r>
                          </w:p>
                        </w:tc>
                      </w:tr>
                      <w:tr w:rsidR="00B30E06">
                        <w:trPr>
                          <w:trHeight w:hRule="exact" w:val="216"/>
                        </w:trPr>
                        <w:tc>
                          <w:tcPr>
                            <w:tcW w:w="2750" w:type="dxa"/>
                            <w:shd w:val="clear" w:color="auto" w:fill="FFFFFF"/>
                          </w:tcPr>
                          <w:p w:rsidR="00B30E06" w:rsidRDefault="006D636F">
                            <w:pPr>
                              <w:pStyle w:val="Style2"/>
                              <w:shd w:val="clear" w:color="auto" w:fill="auto"/>
                              <w:spacing w:line="240" w:lineRule="auto"/>
                            </w:pPr>
                            <w:r>
                              <w:t>B lehce propustné zpevněné</w:t>
                            </w:r>
                          </w:p>
                        </w:tc>
                        <w:tc>
                          <w:tcPr>
                            <w:tcW w:w="2390" w:type="dxa"/>
                            <w:shd w:val="clear" w:color="auto" w:fill="FFFFFF"/>
                          </w:tcPr>
                          <w:p w:rsidR="00B30E06" w:rsidRDefault="006D636F">
                            <w:pPr>
                              <w:pStyle w:val="Style2"/>
                              <w:shd w:val="clear" w:color="auto" w:fill="auto"/>
                              <w:spacing w:line="240" w:lineRule="auto"/>
                              <w:ind w:left="1160"/>
                            </w:pPr>
                            <w:r>
                              <w:t>0,4</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300"/>
                            </w:pPr>
                            <w:r>
                              <w:t>m3</w:t>
                            </w:r>
                          </w:p>
                        </w:tc>
                      </w:tr>
                      <w:tr w:rsidR="00B30E06">
                        <w:trPr>
                          <w:trHeight w:hRule="exact" w:val="221"/>
                        </w:trPr>
                        <w:tc>
                          <w:tcPr>
                            <w:tcW w:w="2750" w:type="dxa"/>
                            <w:shd w:val="clear" w:color="auto" w:fill="FFFFFF"/>
                          </w:tcPr>
                          <w:p w:rsidR="00B30E06" w:rsidRDefault="006D636F">
                            <w:pPr>
                              <w:pStyle w:val="Style2"/>
                              <w:shd w:val="clear" w:color="auto" w:fill="auto"/>
                              <w:spacing w:line="240" w:lineRule="auto"/>
                            </w:pPr>
                            <w:r>
                              <w:t>C plochy kryté vegetací</w:t>
                            </w:r>
                          </w:p>
                        </w:tc>
                        <w:tc>
                          <w:tcPr>
                            <w:tcW w:w="2390" w:type="dxa"/>
                            <w:shd w:val="clear" w:color="auto" w:fill="FFFFFF"/>
                          </w:tcPr>
                          <w:p w:rsidR="00B30E06" w:rsidRDefault="006D636F">
                            <w:pPr>
                              <w:pStyle w:val="Style2"/>
                              <w:shd w:val="clear" w:color="auto" w:fill="auto"/>
                              <w:tabs>
                                <w:tab w:val="left" w:pos="1934"/>
                              </w:tabs>
                              <w:spacing w:line="240" w:lineRule="auto"/>
                              <w:ind w:firstLine="460"/>
                            </w:pPr>
                            <w:r>
                              <w:t>0,05</w:t>
                            </w:r>
                            <w:r>
                              <w:tab/>
                              <w:t>m^</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6D636F">
                            <w:pPr>
                              <w:pStyle w:val="Style2"/>
                              <w:shd w:val="clear" w:color="auto" w:fill="auto"/>
                              <w:spacing w:line="240" w:lineRule="auto"/>
                              <w:ind w:firstLine="320"/>
                              <w:jc w:val="both"/>
                            </w:pPr>
                            <w:r>
                              <w:t>m3</w:t>
                            </w:r>
                          </w:p>
                        </w:tc>
                        <w:tc>
                          <w:tcPr>
                            <w:tcW w:w="1987" w:type="dxa"/>
                            <w:shd w:val="clear" w:color="auto" w:fill="FFFFFF"/>
                          </w:tcPr>
                          <w:p w:rsidR="00B30E06" w:rsidRDefault="00B30E06">
                            <w:pPr>
                              <w:rPr>
                                <w:sz w:val="10"/>
                                <w:szCs w:val="10"/>
                              </w:rPr>
                            </w:pPr>
                          </w:p>
                        </w:tc>
                      </w:tr>
                      <w:tr w:rsidR="00B30E06">
                        <w:trPr>
                          <w:trHeight w:hRule="exact" w:val="211"/>
                        </w:trPr>
                        <w:tc>
                          <w:tcPr>
                            <w:tcW w:w="2750" w:type="dxa"/>
                            <w:shd w:val="clear" w:color="auto" w:fill="FFFFFF"/>
                          </w:tcPr>
                          <w:p w:rsidR="00B30E06" w:rsidRDefault="006D636F">
                            <w:pPr>
                              <w:pStyle w:val="Style2"/>
                              <w:shd w:val="clear" w:color="auto" w:fill="auto"/>
                              <w:spacing w:line="240" w:lineRule="auto"/>
                            </w:pPr>
                            <w:r>
                              <w:t>SOUČET ploch</w:t>
                            </w:r>
                          </w:p>
                        </w:tc>
                        <w:tc>
                          <w:tcPr>
                            <w:tcW w:w="2390" w:type="dxa"/>
                            <w:shd w:val="clear" w:color="auto" w:fill="FFFFFF"/>
                          </w:tcPr>
                          <w:p w:rsidR="00B30E06" w:rsidRDefault="00B30E06">
                            <w:pPr>
                              <w:rPr>
                                <w:sz w:val="10"/>
                                <w:szCs w:val="10"/>
                              </w:rPr>
                            </w:pP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240"/>
                            </w:pPr>
                            <w:r>
                              <w:t>0 m3</w:t>
                            </w:r>
                          </w:p>
                        </w:tc>
                      </w:tr>
                      <w:tr w:rsidR="00B30E06">
                        <w:trPr>
                          <w:trHeight w:hRule="exact" w:val="230"/>
                        </w:trPr>
                        <w:tc>
                          <w:tcPr>
                            <w:tcW w:w="5140" w:type="dxa"/>
                            <w:gridSpan w:val="2"/>
                            <w:shd w:val="clear" w:color="auto" w:fill="FFFFFF"/>
                          </w:tcPr>
                          <w:p w:rsidR="00B30E06" w:rsidRDefault="006D636F">
                            <w:pPr>
                              <w:pStyle w:val="Style2"/>
                              <w:shd w:val="clear" w:color="auto" w:fill="auto"/>
                              <w:spacing w:line="240" w:lineRule="auto"/>
                            </w:pPr>
                            <w:r>
                              <w:t>Roční množství odváděných srážkových vod Q v (m^)</w:t>
                            </w:r>
                          </w:p>
                        </w:tc>
                        <w:tc>
                          <w:tcPr>
                            <w:tcW w:w="1349" w:type="dxa"/>
                            <w:shd w:val="clear" w:color="auto" w:fill="FFFFFF"/>
                          </w:tcPr>
                          <w:p w:rsidR="00B30E06" w:rsidRDefault="00B30E06">
                            <w:pPr>
                              <w:rPr>
                                <w:sz w:val="10"/>
                                <w:szCs w:val="10"/>
                              </w:rPr>
                            </w:pPr>
                          </w:p>
                        </w:tc>
                        <w:tc>
                          <w:tcPr>
                            <w:tcW w:w="768" w:type="dxa"/>
                            <w:shd w:val="clear" w:color="auto" w:fill="FFFFFF"/>
                          </w:tcPr>
                          <w:p w:rsidR="00B30E06" w:rsidRDefault="00B30E06">
                            <w:pPr>
                              <w:rPr>
                                <w:sz w:val="10"/>
                                <w:szCs w:val="10"/>
                              </w:rPr>
                            </w:pPr>
                          </w:p>
                        </w:tc>
                        <w:tc>
                          <w:tcPr>
                            <w:tcW w:w="1987" w:type="dxa"/>
                            <w:shd w:val="clear" w:color="auto" w:fill="FFFFFF"/>
                          </w:tcPr>
                          <w:p w:rsidR="00B30E06" w:rsidRDefault="006D636F">
                            <w:pPr>
                              <w:pStyle w:val="Style2"/>
                              <w:shd w:val="clear" w:color="auto" w:fill="auto"/>
                              <w:spacing w:line="240" w:lineRule="auto"/>
                              <w:ind w:firstLine="240"/>
                            </w:pPr>
                            <w:r>
                              <w:t>0 m3</w:t>
                            </w:r>
                          </w:p>
                        </w:tc>
                      </w:tr>
                    </w:tbl>
                    <w:p w:rsidR="00B30E06" w:rsidRDefault="00B30E06">
                      <w:pPr>
                        <w:spacing w:line="1" w:lineRule="exact"/>
                      </w:pPr>
                    </w:p>
                  </w:txbxContent>
                </v:textbox>
                <w10:wrap type="topAndBottom" anchorx="page"/>
              </v:shape>
            </w:pict>
          </mc:Fallback>
        </mc:AlternateContent>
      </w:r>
      <w:r>
        <w:t>Klasifikace ploch podle §20 odst. 6 zákona:</w:t>
      </w:r>
    </w:p>
    <w:p w:rsidR="00B30E06" w:rsidRDefault="006D636F">
      <w:pPr>
        <w:pStyle w:val="Style8"/>
        <w:shd w:val="clear" w:color="auto" w:fill="auto"/>
        <w:spacing w:line="290" w:lineRule="auto"/>
      </w:pPr>
      <w:r>
        <w:t>= součet redukovaných ploch (=Plocha x Odtokový součinitel) v m2 krát dlouhodobý srážkový normál v m/rok. V případě, že dojde ke změně podmínek zákona pro osvobození ploch od platby za srážkové vody, je Odběratel povinen do 15 dnů předat Provozovateli podklady pro příslušnou změnu Smlouvy.</w:t>
      </w:r>
    </w:p>
    <w:p w:rsidR="002E0E08" w:rsidRDefault="006D636F">
      <w:pPr>
        <w:pStyle w:val="Style8"/>
        <w:shd w:val="clear" w:color="auto" w:fill="auto"/>
        <w:spacing w:line="290" w:lineRule="auto"/>
      </w:pPr>
      <w:r>
        <w:t xml:space="preserve">Smluvní strany se dohodly, že Provozovatel je oprávněn údaj o hodnotě dlouhodobého srážkového normálu použitý pro výpočet množství srážkových vod odváděných do kanalizace pravidelně aktualizovat na základě statistických údajů poskytnutých Českým hydrometeorologickým </w:t>
      </w:r>
    </w:p>
    <w:p w:rsidR="002E0E08" w:rsidRDefault="002E0E08">
      <w:pPr>
        <w:pStyle w:val="Style8"/>
        <w:shd w:val="clear" w:color="auto" w:fill="auto"/>
        <w:spacing w:line="290" w:lineRule="auto"/>
      </w:pPr>
    </w:p>
    <w:p w:rsidR="002E0E08" w:rsidRDefault="002E0E08">
      <w:pPr>
        <w:pStyle w:val="Style8"/>
        <w:shd w:val="clear" w:color="auto" w:fill="auto"/>
        <w:spacing w:line="290" w:lineRule="auto"/>
      </w:pPr>
    </w:p>
    <w:p w:rsidR="00B30E06" w:rsidRDefault="006D636F">
      <w:pPr>
        <w:pStyle w:val="Style8"/>
        <w:shd w:val="clear" w:color="auto" w:fill="auto"/>
        <w:spacing w:line="290" w:lineRule="auto"/>
      </w:pPr>
      <w:r>
        <w:lastRenderedPageBreak/>
        <w:t>ústavem nebo jakoukoliv jinou organizací jej nahrazující. Platné hodnoty dlouhodobých srážkových normálů budou uveřejněny prostřednictvím vlastních webových stránek Provozovatele nebo jiným v místě obvyklým způsobem a budou k dispozici na pracovištích Provozovatele {obchodní oddělení).</w:t>
      </w:r>
    </w:p>
    <w:p w:rsidR="00B30E06" w:rsidRDefault="006D636F">
      <w:pPr>
        <w:pStyle w:val="Style8"/>
        <w:shd w:val="clear" w:color="auto" w:fill="auto"/>
      </w:pPr>
      <w:r>
        <w:t>Povinnost platit za odvádění srážkových vod do kanalizace se nevztahuje na plochy nemovitostí určených k trvalému bydlení a na domácnosti, dále pak na plochy dálnic, silnic, místních komunikací a účelových komunikací veřejně přístupných, plochy drah celostátních a regionálních včetně pevných zařízení potřebných pro přímé zajištění bezpečnosti a plynulosti drážní dopravy s výjimkou staveb, pozemků nebo jejich částí využívaných pro služby, které nesouvisí s činností provozovatele dráhy nebo drážního dopravce a zoologické zahrady.</w:t>
      </w:r>
    </w:p>
    <w:p w:rsidR="00B30E06" w:rsidRDefault="006D636F">
      <w:pPr>
        <w:pStyle w:val="Style8"/>
        <w:numPr>
          <w:ilvl w:val="0"/>
          <w:numId w:val="2"/>
        </w:numPr>
        <w:shd w:val="clear" w:color="auto" w:fill="auto"/>
        <w:tabs>
          <w:tab w:val="left" w:pos="260"/>
        </w:tabs>
      </w:pPr>
      <w:r>
        <w:t>Smluvní strany se dohodly, že limit množství dodávané vody a přípustné limity znečištění odváděných odpadních vod budou:</w:t>
      </w:r>
    </w:p>
    <w:p w:rsidR="00B30E06" w:rsidRDefault="006D636F">
      <w:pPr>
        <w:pStyle w:val="Style8"/>
        <w:shd w:val="clear" w:color="auto" w:fill="auto"/>
      </w:pPr>
      <w:r>
        <w:t>Limit množství dodávané vody určuje kapacita vodoměru: 2,5 m3/h</w:t>
      </w:r>
    </w:p>
    <w:p w:rsidR="00B30E06" w:rsidRDefault="006D636F">
      <w:pPr>
        <w:pStyle w:val="Style8"/>
        <w:shd w:val="clear" w:color="auto" w:fill="auto"/>
      </w:pPr>
      <w:r>
        <w:t>Limit množství vypouštěných odpadních vod určuje kapacita vodoměru nebo směrná čísla potřeby vody a počet osob trvale připojených. Míra znečištění odpadních vod je stanovena v Kanalizačním řádu, není-li v této smlouvě stanoveno jinak. Bilance znečištění vypouštěných odpadních vod je dána součtem průměrného denního množství odváděných odpadních vod a nejvyšší přípustné míry znečištění.</w:t>
      </w:r>
    </w:p>
    <w:p w:rsidR="002E0E08" w:rsidRPr="002E0E08" w:rsidRDefault="006D636F">
      <w:pPr>
        <w:pStyle w:val="Style8"/>
        <w:numPr>
          <w:ilvl w:val="0"/>
          <w:numId w:val="2"/>
        </w:numPr>
        <w:shd w:val="clear" w:color="auto" w:fill="auto"/>
        <w:tabs>
          <w:tab w:val="left" w:pos="265"/>
        </w:tabs>
      </w:pPr>
      <w:r>
        <w:t xml:space="preserve">Počet trvale připojených osob pro dodávku vody či pro odvádění odpadních vod činí dle sdělení odběratele: </w:t>
      </w:r>
      <w:r>
        <w:rPr>
          <w:sz w:val="26"/>
          <w:szCs w:val="26"/>
        </w:rPr>
        <w:t xml:space="preserve">3 </w:t>
      </w:r>
    </w:p>
    <w:p w:rsidR="00B30E06" w:rsidRDefault="006D636F" w:rsidP="002E0E08">
      <w:pPr>
        <w:pStyle w:val="Style8"/>
        <w:shd w:val="clear" w:color="auto" w:fill="auto"/>
        <w:tabs>
          <w:tab w:val="left" w:pos="265"/>
        </w:tabs>
      </w:pPr>
      <w:r>
        <w:t>Provozovatel má právo si tento údaj podle dohody smluvních stran ověřit na příslušném obecním či městském úřadu.</w:t>
      </w:r>
    </w:p>
    <w:p w:rsidR="00B30E06" w:rsidRDefault="006D636F">
      <w:pPr>
        <w:pStyle w:val="Style8"/>
        <w:numPr>
          <w:ilvl w:val="0"/>
          <w:numId w:val="2"/>
        </w:numPr>
        <w:shd w:val="clear" w:color="auto" w:fill="auto"/>
        <w:tabs>
          <w:tab w:val="left" w:pos="265"/>
        </w:tabs>
      </w:pPr>
      <w:r>
        <w:t xml:space="preserve">Tlakové poměry v místě vodovodní přípojky: minimální tlak: 0,15 </w:t>
      </w:r>
      <w:proofErr w:type="spellStart"/>
      <w:r>
        <w:t>MPa</w:t>
      </w:r>
      <w:proofErr w:type="spellEnd"/>
      <w:r>
        <w:t xml:space="preserve">, maximální tlak: 0,60 </w:t>
      </w:r>
      <w:proofErr w:type="spellStart"/>
      <w:r>
        <w:t>MPa</w:t>
      </w:r>
      <w:proofErr w:type="spellEnd"/>
      <w:r>
        <w:t xml:space="preserve">, v odůvodněných případech: 0,7 </w:t>
      </w:r>
      <w:proofErr w:type="spellStart"/>
      <w:r>
        <w:t>MPa</w:t>
      </w:r>
      <w:proofErr w:type="spellEnd"/>
      <w:r>
        <w:t>.</w:t>
      </w:r>
    </w:p>
    <w:p w:rsidR="00B30E06" w:rsidRDefault="006D636F">
      <w:pPr>
        <w:pStyle w:val="Style8"/>
        <w:numPr>
          <w:ilvl w:val="0"/>
          <w:numId w:val="2"/>
        </w:numPr>
        <w:shd w:val="clear" w:color="auto" w:fill="auto"/>
        <w:tabs>
          <w:tab w:val="left" w:pos="265"/>
        </w:tabs>
      </w:pPr>
      <w:r>
        <w:t xml:space="preserve">Ukazatele jakosti dodávané pitné vody jsou: vápník 159 mg/l, hořčík 18,7 mg/l, dusičnany 35 mg/l, celková tvrdost 4,7 </w:t>
      </w:r>
      <w:proofErr w:type="spellStart"/>
      <w:r>
        <w:t>mmol</w:t>
      </w:r>
      <w:proofErr w:type="spellEnd"/>
      <w:r>
        <w:t>/l</w:t>
      </w:r>
    </w:p>
    <w:p w:rsidR="00B30E06" w:rsidRDefault="006D636F">
      <w:pPr>
        <w:pStyle w:val="Style8"/>
        <w:shd w:val="clear" w:color="auto" w:fill="auto"/>
        <w:spacing w:after="140"/>
      </w:pPr>
      <w:r>
        <w:t>Aktuální hodnoty ukazatelů jakosti dodávané pitné vody jsou k dispozici na webových stránkách Provozovatele.</w:t>
      </w:r>
    </w:p>
    <w:p w:rsidR="00B30E06" w:rsidRDefault="006D636F">
      <w:pPr>
        <w:pStyle w:val="Style18"/>
        <w:keepNext/>
        <w:keepLines/>
        <w:numPr>
          <w:ilvl w:val="0"/>
          <w:numId w:val="1"/>
        </w:numPr>
        <w:shd w:val="clear" w:color="auto" w:fill="auto"/>
        <w:tabs>
          <w:tab w:val="left" w:pos="299"/>
        </w:tabs>
      </w:pPr>
      <w:bookmarkStart w:id="7" w:name="bookmark7"/>
      <w:bookmarkStart w:id="8" w:name="bookmark8"/>
      <w:bookmarkStart w:id="9" w:name="bookmark9"/>
      <w:r>
        <w:t>Stanovení ceny vodného a stočného a způsob Jejího vyhlášení</w:t>
      </w:r>
      <w:bookmarkEnd w:id="7"/>
      <w:bookmarkEnd w:id="8"/>
      <w:bookmarkEnd w:id="9"/>
    </w:p>
    <w:p w:rsidR="00B30E06" w:rsidRDefault="006D636F">
      <w:pPr>
        <w:pStyle w:val="Style8"/>
        <w:shd w:val="clear" w:color="auto" w:fill="auto"/>
        <w:spacing w:line="288" w:lineRule="auto"/>
      </w:pPr>
      <w:r>
        <w:t>stanovení ceny vodného a stočného odpovídá platným cenovým předpisům. Provozovatel uplatňuje jednosložkovou formu ceny.</w:t>
      </w:r>
    </w:p>
    <w:p w:rsidR="00B30E06" w:rsidRDefault="006D636F">
      <w:pPr>
        <w:pStyle w:val="Style8"/>
        <w:shd w:val="clear" w:color="auto" w:fill="auto"/>
        <w:spacing w:line="288" w:lineRule="auto"/>
      </w:pPr>
      <w:r>
        <w:t>Ceny vodného a stočného jsou k dispozici v sídle Provozovatel, na místně příslušném Obecním či Městském úřadě a na webových stránkách Provozovatele.</w:t>
      </w:r>
    </w:p>
    <w:p w:rsidR="00B30E06" w:rsidRDefault="006D636F">
      <w:pPr>
        <w:pStyle w:val="Style8"/>
        <w:shd w:val="clear" w:color="auto" w:fill="auto"/>
        <w:spacing w:after="140" w:line="288" w:lineRule="auto"/>
      </w:pPr>
      <w:r>
        <w:t>Změny cen Provozovatel oznámí písemně místně příslušnému Obecnímu či Městskému úřadu.</w:t>
      </w:r>
    </w:p>
    <w:p w:rsidR="00B30E06" w:rsidRDefault="006D636F">
      <w:pPr>
        <w:pStyle w:val="Style18"/>
        <w:keepNext/>
        <w:keepLines/>
        <w:numPr>
          <w:ilvl w:val="0"/>
          <w:numId w:val="1"/>
        </w:numPr>
        <w:shd w:val="clear" w:color="auto" w:fill="auto"/>
        <w:tabs>
          <w:tab w:val="left" w:pos="356"/>
        </w:tabs>
      </w:pPr>
      <w:bookmarkStart w:id="10" w:name="bookmark10"/>
      <w:bookmarkStart w:id="11" w:name="bookmark11"/>
      <w:bookmarkStart w:id="12" w:name="bookmark12"/>
      <w:r>
        <w:t>Platební podmínky</w:t>
      </w:r>
      <w:bookmarkEnd w:id="10"/>
      <w:bookmarkEnd w:id="11"/>
      <w:bookmarkEnd w:id="12"/>
    </w:p>
    <w:p w:rsidR="00B30E06" w:rsidRDefault="006D636F">
      <w:pPr>
        <w:pStyle w:val="Style8"/>
        <w:shd w:val="clear" w:color="auto" w:fill="auto"/>
        <w:spacing w:line="283" w:lineRule="auto"/>
      </w:pPr>
      <w:r>
        <w:t>Smluvní strany se dohodly, že vodné a stočné hradí Odběratel Provozovateli formou zálohových plateb a na základě vyúčtování vodného a stočného takto:</w:t>
      </w:r>
    </w:p>
    <w:p w:rsidR="00B30E06" w:rsidRDefault="006D636F">
      <w:pPr>
        <w:pStyle w:val="Style8"/>
        <w:shd w:val="clear" w:color="auto" w:fill="auto"/>
        <w:spacing w:line="283" w:lineRule="auto"/>
      </w:pPr>
      <w:r>
        <w:t>vyúčtování vodného: - fakturace a platby - režim: roční</w:t>
      </w:r>
    </w:p>
    <w:p w:rsidR="00B30E06" w:rsidRDefault="002E0E08">
      <w:pPr>
        <w:pStyle w:val="Style8"/>
        <w:shd w:val="clear" w:color="auto" w:fill="auto"/>
        <w:spacing w:line="283" w:lineRule="auto"/>
      </w:pPr>
      <w:r>
        <w:t>vy</w:t>
      </w:r>
      <w:r w:rsidR="006D636F">
        <w:t>účtování stočného:</w:t>
      </w:r>
    </w:p>
    <w:p w:rsidR="00B30E06" w:rsidRPr="002E0E08" w:rsidRDefault="002E0E08" w:rsidP="002E0E08">
      <w:pPr>
        <w:pStyle w:val="Style8"/>
        <w:shd w:val="clear" w:color="auto" w:fill="auto"/>
        <w:spacing w:line="283" w:lineRule="auto"/>
      </w:pPr>
      <w:r>
        <w:rPr>
          <w:b/>
          <w:bCs/>
        </w:rPr>
        <w:t xml:space="preserve">a)   </w:t>
      </w:r>
      <w:r w:rsidR="006D636F" w:rsidRPr="002E0E08">
        <w:t>fakturace a platby - režim: roční</w:t>
      </w:r>
    </w:p>
    <w:p w:rsidR="00B30E06" w:rsidRDefault="002E0E08" w:rsidP="002E0E08">
      <w:pPr>
        <w:pStyle w:val="Style8"/>
        <w:shd w:val="clear" w:color="auto" w:fill="auto"/>
        <w:tabs>
          <w:tab w:val="left" w:pos="275"/>
        </w:tabs>
        <w:spacing w:after="80" w:line="283" w:lineRule="auto"/>
      </w:pPr>
      <w:r>
        <w:t xml:space="preserve">b)   </w:t>
      </w:r>
      <w:r w:rsidR="006D636F">
        <w:t>fakturace a platby - režim: čtvrtletní</w:t>
      </w:r>
    </w:p>
    <w:p w:rsidR="00B30E06" w:rsidRDefault="006D636F">
      <w:pPr>
        <w:pStyle w:val="Style8"/>
        <w:shd w:val="clear" w:color="auto" w:fill="auto"/>
      </w:pPr>
      <w:r>
        <w:t>zá</w:t>
      </w:r>
      <w:r w:rsidR="002E0E08">
        <w:t>l</w:t>
      </w:r>
      <w:r>
        <w:t>oh</w:t>
      </w:r>
      <w:r w:rsidR="002E0E08">
        <w:t>o</w:t>
      </w:r>
      <w:r>
        <w:t>v</w:t>
      </w:r>
      <w:r w:rsidR="002E0E08">
        <w:t xml:space="preserve">é </w:t>
      </w:r>
      <w:r>
        <w:t>pl</w:t>
      </w:r>
      <w:r w:rsidR="002E0E08">
        <w:t>atby</w:t>
      </w:r>
      <w:r>
        <w:t xml:space="preserve"> s následným vyúčtováním</w:t>
      </w:r>
      <w:r w:rsidR="002E0E08">
        <w:t xml:space="preserve"> jednou ročně v příslušném</w:t>
      </w:r>
      <w:r>
        <w:t xml:space="preserve"> kalendářním roce:</w:t>
      </w:r>
    </w:p>
    <w:p w:rsidR="00B30E06" w:rsidRDefault="006D636F">
      <w:pPr>
        <w:pStyle w:val="Style8"/>
        <w:numPr>
          <w:ilvl w:val="0"/>
          <w:numId w:val="4"/>
        </w:numPr>
        <w:shd w:val="clear" w:color="auto" w:fill="auto"/>
        <w:tabs>
          <w:tab w:val="left" w:pos="270"/>
          <w:tab w:val="left" w:pos="4598"/>
          <w:tab w:val="left" w:pos="6422"/>
        </w:tabs>
      </w:pPr>
      <w:r>
        <w:t>režim měsíční prostřednictvím SIPO číslo:</w:t>
      </w:r>
      <w:r>
        <w:tab/>
        <w:t>aktuální výše zálohy:</w:t>
      </w:r>
      <w:r>
        <w:tab/>
      </w:r>
      <w:r w:rsidR="002E0E08">
        <w:t xml:space="preserve">      Kč</w:t>
      </w:r>
    </w:p>
    <w:p w:rsidR="00B30E06" w:rsidRDefault="006D636F">
      <w:pPr>
        <w:pStyle w:val="Style8"/>
        <w:numPr>
          <w:ilvl w:val="0"/>
          <w:numId w:val="4"/>
        </w:numPr>
        <w:shd w:val="clear" w:color="auto" w:fill="auto"/>
        <w:tabs>
          <w:tab w:val="left" w:pos="270"/>
          <w:tab w:val="left" w:pos="6715"/>
        </w:tabs>
      </w:pPr>
      <w:r>
        <w:t>režim čtvrtletní na základě zálohových faktur Provozovatele, aktuální výše zálohy:</w:t>
      </w:r>
      <w:r>
        <w:tab/>
        <w:t>Kč</w:t>
      </w:r>
    </w:p>
    <w:p w:rsidR="00B30E06" w:rsidRDefault="002E0E08" w:rsidP="002E0E08">
      <w:pPr>
        <w:pStyle w:val="Style8"/>
        <w:shd w:val="clear" w:color="auto" w:fill="auto"/>
        <w:spacing w:after="140"/>
      </w:pPr>
      <w:r w:rsidRPr="002E0E08">
        <w:rPr>
          <w:b/>
          <w:bCs/>
        </w:rPr>
        <w:t>c)</w:t>
      </w:r>
      <w:r>
        <w:t xml:space="preserve">   </w:t>
      </w:r>
      <w:r w:rsidR="006D636F">
        <w:t>zálohy nesjednány</w:t>
      </w:r>
    </w:p>
    <w:p w:rsidR="00B30E06" w:rsidRDefault="006D636F">
      <w:pPr>
        <w:pStyle w:val="Style8"/>
        <w:shd w:val="clear" w:color="auto" w:fill="auto"/>
        <w:spacing w:line="283" w:lineRule="auto"/>
      </w:pPr>
      <w:r>
        <w:t xml:space="preserve">Četnost odečtů: </w:t>
      </w:r>
      <w:r w:rsidR="002E0E08">
        <w:t>1</w:t>
      </w:r>
      <w:r>
        <w:t>x za rok a v odůvodněných případech podle potřeby Provozovatele</w:t>
      </w:r>
    </w:p>
    <w:p w:rsidR="00B30E06" w:rsidRDefault="006D636F">
      <w:pPr>
        <w:pStyle w:val="Style8"/>
        <w:shd w:val="clear" w:color="auto" w:fill="auto"/>
        <w:spacing w:line="283" w:lineRule="auto"/>
      </w:pPr>
      <w:r>
        <w:t>Elektronický přenos faktur: NE E-mailová adresa pro přenos elektronických faktur:</w:t>
      </w:r>
    </w:p>
    <w:p w:rsidR="00B30E06" w:rsidRDefault="006D636F">
      <w:pPr>
        <w:pStyle w:val="Style8"/>
        <w:shd w:val="clear" w:color="auto" w:fill="auto"/>
        <w:spacing w:after="260" w:line="283" w:lineRule="auto"/>
      </w:pPr>
      <w:r>
        <w:t>Přeplatky, resp. nedoplatky, do 100,-- Kč vzniklé v rámci ročního vyúčtování zálohových plateb budou započteny do dalšího vyúčtování. Toto ujednání se netýká případů, kdy dochází k ukončení smluvního vztahu.</w:t>
      </w:r>
    </w:p>
    <w:p w:rsidR="00B30E06" w:rsidRDefault="006D636F">
      <w:pPr>
        <w:pStyle w:val="Style18"/>
        <w:keepNext/>
        <w:keepLines/>
        <w:numPr>
          <w:ilvl w:val="0"/>
          <w:numId w:val="1"/>
        </w:numPr>
        <w:shd w:val="clear" w:color="auto" w:fill="auto"/>
        <w:tabs>
          <w:tab w:val="left" w:pos="366"/>
        </w:tabs>
      </w:pPr>
      <w:bookmarkStart w:id="13" w:name="bookmark13"/>
      <w:bookmarkStart w:id="14" w:name="bookmark14"/>
      <w:bookmarkStart w:id="15" w:name="bookmark15"/>
      <w:r>
        <w:t>Podmínky dodávky vody z vodovodu a odvádění odpadních vod kanalizací</w:t>
      </w:r>
      <w:bookmarkEnd w:id="13"/>
      <w:bookmarkEnd w:id="14"/>
      <w:bookmarkEnd w:id="15"/>
    </w:p>
    <w:p w:rsidR="00B30E06" w:rsidRDefault="006D636F">
      <w:pPr>
        <w:pStyle w:val="Style8"/>
        <w:shd w:val="clear" w:color="auto" w:fill="auto"/>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a odpadní vody získané z jiných zdrojů.</w:t>
      </w:r>
    </w:p>
    <w:p w:rsidR="00B30E06" w:rsidRDefault="006D636F">
      <w:pPr>
        <w:pStyle w:val="Style8"/>
        <w:shd w:val="clear" w:color="auto" w:fill="auto"/>
      </w:pPr>
      <w:r>
        <w:t>Odběratel se zavazuje platit Provozovateli vodné a stočné v souladu a za podmínek stanovených touto Smlouvou. K vodnému a stočnému je Provozovatel oprávněn připočítat DPH v souladu s platnými právními předpisy.</w:t>
      </w:r>
    </w:p>
    <w:p w:rsidR="00B30E06" w:rsidRDefault="006D636F">
      <w:pPr>
        <w:pStyle w:val="Style8"/>
        <w:shd w:val="clear" w:color="auto" w:fill="auto"/>
        <w:spacing w:after="260"/>
      </w:pPr>
      <w:r>
        <w:t>Nedohodnou-li se Smluvní strany jinak, jsou povinny si poskytovat vzájemná plnění za podmínek stanovených touto Smlouvou ode dne její účinností.</w:t>
      </w:r>
    </w:p>
    <w:p w:rsidR="00B30E06" w:rsidRDefault="006D636F">
      <w:pPr>
        <w:pStyle w:val="Style18"/>
        <w:keepNext/>
        <w:keepLines/>
        <w:numPr>
          <w:ilvl w:val="0"/>
          <w:numId w:val="1"/>
        </w:numPr>
        <w:shd w:val="clear" w:color="auto" w:fill="auto"/>
        <w:tabs>
          <w:tab w:val="left" w:pos="366"/>
        </w:tabs>
      </w:pPr>
      <w:bookmarkStart w:id="16" w:name="bookmark16"/>
      <w:bookmarkStart w:id="17" w:name="bookmark17"/>
      <w:bookmarkStart w:id="18" w:name="bookmark18"/>
      <w:r>
        <w:t>Prohlášení smluvních stran</w:t>
      </w:r>
      <w:bookmarkEnd w:id="16"/>
      <w:bookmarkEnd w:id="17"/>
      <w:bookmarkEnd w:id="18"/>
    </w:p>
    <w:p w:rsidR="00B30E06" w:rsidRDefault="006D636F">
      <w:pPr>
        <w:pStyle w:val="Style8"/>
        <w:shd w:val="clear" w:color="auto" w:fill="auto"/>
        <w:spacing w:line="283" w:lineRule="auto"/>
      </w:pPr>
      <w:r>
        <w:t>Provozovatel prohlašuje, že je provozovatelem vodovodů a kanalizací pro veřejnou potřebu a osobou oprávněnou k provozování vodovodů a kanalizací ve smyslu příslušných ustanovení platných právních předpisů. Provozovatel dále prohlašuje, že byl k uzavření této Smlouvy zmocněn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sídle Provozovatele.</w:t>
      </w:r>
    </w:p>
    <w:p w:rsidR="00B30E06" w:rsidRDefault="006D636F">
      <w:pPr>
        <w:pStyle w:val="Style8"/>
        <w:shd w:val="clear" w:color="auto" w:fill="auto"/>
        <w:spacing w:after="260" w:line="283" w:lineRule="auto"/>
      </w:pPr>
      <w:r>
        <w:t>Smluvní strany prohlašují, že veškeré údaje uvedené v této Smlouvě jsou pravdivé a správné. Provozovatel dále prohlašuje, že splňuje všechny podmínky stanovené zákonem o vodovodech a kanalizacích pro připojení na vodovod a kanalizaci.</w:t>
      </w:r>
    </w:p>
    <w:p w:rsidR="00B30E06" w:rsidRDefault="006D636F">
      <w:pPr>
        <w:pStyle w:val="Style18"/>
        <w:keepNext/>
        <w:keepLines/>
        <w:numPr>
          <w:ilvl w:val="0"/>
          <w:numId w:val="1"/>
        </w:numPr>
        <w:shd w:val="clear" w:color="auto" w:fill="auto"/>
        <w:tabs>
          <w:tab w:val="left" w:pos="380"/>
        </w:tabs>
      </w:pPr>
      <w:bookmarkStart w:id="19" w:name="bookmark19"/>
      <w:bookmarkStart w:id="20" w:name="bookmark20"/>
      <w:bookmarkStart w:id="21" w:name="bookmark21"/>
      <w:r>
        <w:t>Způsob zjišťování množství dodané vody a odváděných odpadních vod</w:t>
      </w:r>
      <w:bookmarkEnd w:id="19"/>
      <w:bookmarkEnd w:id="20"/>
      <w:bookmarkEnd w:id="21"/>
    </w:p>
    <w:p w:rsidR="00B30E06" w:rsidRDefault="006D636F">
      <w:pPr>
        <w:pStyle w:val="Style8"/>
        <w:shd w:val="clear" w:color="auto" w:fill="auto"/>
        <w:spacing w:line="288" w:lineRule="auto"/>
      </w:pPr>
      <w: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B30E06" w:rsidRDefault="006D636F">
      <w:pPr>
        <w:pStyle w:val="Style8"/>
        <w:shd w:val="clear" w:color="auto" w:fill="auto"/>
        <w:spacing w:line="288" w:lineRule="auto"/>
      </w:pPr>
      <w: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V případě, kdy je měřen odběr z vodovodu, ale dochází rovněž k odběru vody z vlastního zdroje odběratele (studny), použijí se pro zjištění spotřeby vody směrná čísla roční potřeby nebo se k naměřenému odběru z vodovodu připočte množství vody získané z jiných, odběratelem měřených zdrojů vody. Pro tento případ je odběratel povinen na vlastní náklady osadit tento zdroj vody vodoměrem s platným úředním ověřením, o tomto předem uvědomit Provozovatele a Provozovatel vodoměr zajistí montážní plombou. Z ploch osvobozených ze zákona od povinnosti platit za odvádění srážkových vod (viz. článek I., odstavec 5), Odběratel hradí pouze množství odváděných odpadních vod zjištěné dle věty první bez srážkových vod. Takto zjištěné množství vypouštěných odpadních vod je podkladem pro vyúčtování stočného (fakturaci stočného).</w:t>
      </w:r>
    </w:p>
    <w:p w:rsidR="002E0E08" w:rsidRDefault="002E0E08">
      <w:pPr>
        <w:pStyle w:val="Style8"/>
        <w:shd w:val="clear" w:color="auto" w:fill="auto"/>
        <w:spacing w:line="288" w:lineRule="auto"/>
      </w:pPr>
    </w:p>
    <w:p w:rsidR="002E0E08" w:rsidRDefault="002E0E08">
      <w:pPr>
        <w:pStyle w:val="Style8"/>
        <w:shd w:val="clear" w:color="auto" w:fill="auto"/>
        <w:spacing w:line="288" w:lineRule="auto"/>
      </w:pPr>
    </w:p>
    <w:p w:rsidR="002E0E08" w:rsidRDefault="002E0E08">
      <w:pPr>
        <w:pStyle w:val="Style8"/>
        <w:shd w:val="clear" w:color="auto" w:fill="auto"/>
        <w:spacing w:line="288" w:lineRule="auto"/>
      </w:pPr>
    </w:p>
    <w:p w:rsidR="002E0E08" w:rsidRDefault="002E0E08">
      <w:pPr>
        <w:pStyle w:val="Style8"/>
        <w:shd w:val="clear" w:color="auto" w:fill="auto"/>
        <w:spacing w:line="288" w:lineRule="auto"/>
      </w:pPr>
    </w:p>
    <w:p w:rsidR="002E0E08" w:rsidRDefault="002E0E08">
      <w:pPr>
        <w:pStyle w:val="Style8"/>
        <w:shd w:val="clear" w:color="auto" w:fill="auto"/>
        <w:spacing w:line="288" w:lineRule="auto"/>
      </w:pPr>
    </w:p>
    <w:p w:rsidR="00B30E06" w:rsidRDefault="006D636F">
      <w:pPr>
        <w:pStyle w:val="Style8"/>
        <w:shd w:val="clear" w:color="auto" w:fill="auto"/>
        <w:spacing w:after="280"/>
      </w:pPr>
      <w:r>
        <w:lastRenderedPageBreak/>
        <w:t>Jestliže Odběratel vodu dodanou vodovodem zčásti spotřebuje bez vypuštění do kanalizace a toto množství je prokazatelně větší než 30 m3 za rok, zjistí se množství odpadních vod odváděných do kanalizace měřením. Množství spotřebované dodané vody nevypouštěné do kanalizace bude měřeno vodoměrem Odběratele s platným úředním ověřením, umístěným na samostatné odbočce a odsouhlaseným Provozovatelem, který jej opatří montážní plombou.</w:t>
      </w:r>
    </w:p>
    <w:p w:rsidR="00B30E06" w:rsidRDefault="006D636F">
      <w:pPr>
        <w:pStyle w:val="Style18"/>
        <w:keepNext/>
        <w:keepLines/>
        <w:numPr>
          <w:ilvl w:val="0"/>
          <w:numId w:val="1"/>
        </w:numPr>
        <w:shd w:val="clear" w:color="auto" w:fill="auto"/>
        <w:tabs>
          <w:tab w:val="left" w:pos="433"/>
        </w:tabs>
      </w:pPr>
      <w:bookmarkStart w:id="22" w:name="bookmark22"/>
      <w:bookmarkStart w:id="23" w:name="bookmark23"/>
      <w:bookmarkStart w:id="24" w:name="bookmark24"/>
      <w:r>
        <w:t>Způsob stanovení vodného a stočného, fakturace</w:t>
      </w:r>
      <w:bookmarkEnd w:id="22"/>
      <w:bookmarkEnd w:id="23"/>
      <w:bookmarkEnd w:id="24"/>
    </w:p>
    <w:p w:rsidR="00B30E06" w:rsidRDefault="006D636F">
      <w:pPr>
        <w:pStyle w:val="Style8"/>
        <w:numPr>
          <w:ilvl w:val="0"/>
          <w:numId w:val="5"/>
        </w:numPr>
        <w:shd w:val="clear" w:color="auto" w:fill="auto"/>
        <w:tabs>
          <w:tab w:val="left" w:pos="265"/>
        </w:tabs>
        <w:spacing w:line="288" w:lineRule="auto"/>
      </w:pPr>
      <w:r>
        <w:t>Cena a forma vodného a stočného je stanovována podle cenových předpisů a rozhodnutí Provozovatele vodovodu a kanalizace na příslušné cenové období, kterým je zpravidla období 12 měsíců. Cena a forma vodného a stočného jsou uveřejněny prostřednictvím městský či obecních úřadů, regionálních informačních médií, pracovišť Provozovatele (obchodní a fakturační oddělení), vlastních webových stránek Provozovatele.</w:t>
      </w:r>
    </w:p>
    <w:p w:rsidR="00B30E06" w:rsidRDefault="006D636F">
      <w:pPr>
        <w:pStyle w:val="Style8"/>
        <w:numPr>
          <w:ilvl w:val="0"/>
          <w:numId w:val="5"/>
        </w:numPr>
        <w:shd w:val="clear" w:color="auto" w:fill="auto"/>
        <w:tabs>
          <w:tab w:val="left" w:pos="260"/>
        </w:tabs>
        <w:spacing w:line="288" w:lineRule="auto"/>
      </w:pPr>
      <w: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rsidR="00B30E06" w:rsidRDefault="006D636F">
      <w:pPr>
        <w:pStyle w:val="Style8"/>
        <w:numPr>
          <w:ilvl w:val="0"/>
          <w:numId w:val="5"/>
        </w:numPr>
        <w:shd w:val="clear" w:color="auto" w:fill="auto"/>
        <w:tabs>
          <w:tab w:val="left" w:pos="255"/>
        </w:tabs>
        <w:spacing w:line="288" w:lineRule="auto"/>
      </w:pPr>
      <w:r>
        <w:t>Vodné a stočné má jednosložkovou formu. Jednosložková forma vodného a stočného je součinem ceny a množství odebrané nebo vypouštěné odpadní vody a srážkových vod stanoveným v souladu s touto Smlouvou.</w:t>
      </w:r>
    </w:p>
    <w:p w:rsidR="00B30E06" w:rsidRDefault="006D636F">
      <w:pPr>
        <w:pStyle w:val="Style8"/>
        <w:numPr>
          <w:ilvl w:val="0"/>
          <w:numId w:val="5"/>
        </w:numPr>
        <w:shd w:val="clear" w:color="auto" w:fill="auto"/>
        <w:tabs>
          <w:tab w:val="left" w:pos="265"/>
        </w:tabs>
        <w:spacing w:line="288" w:lineRule="auto"/>
      </w:pPr>
      <w:r>
        <w:t>Pokud Odběratel při úhradě plateb za dodávku vody a odvádění odpadních vod neurčí, na který závazek plní, použije Provozovatel plnění nejprve na smluvní pokutu, náklady spojené s vymáháním pohledávky, pak na zákonný úrok z prodlení, a poté na úhradu zbytku nejstaršího splatného závazku vůči Provozovateli.</w:t>
      </w:r>
    </w:p>
    <w:p w:rsidR="00B30E06" w:rsidRDefault="006D636F">
      <w:pPr>
        <w:pStyle w:val="Style8"/>
        <w:numPr>
          <w:ilvl w:val="0"/>
          <w:numId w:val="5"/>
        </w:numPr>
        <w:shd w:val="clear" w:color="auto" w:fill="auto"/>
        <w:tabs>
          <w:tab w:val="left" w:pos="270"/>
        </w:tabs>
        <w:spacing w:line="288" w:lineRule="auto"/>
      </w:pPr>
      <w:r>
        <w:t>Provozovatel je oprávněn započíst případný přeplatek Odběratele na uhrazení veškerých splatných pohledávek na jiných odběrných místech téhož Odběratele. O takto provedených zápočtech bude Provozovatel Odběratele informovat.</w:t>
      </w:r>
    </w:p>
    <w:p w:rsidR="00B30E06" w:rsidRDefault="006D636F">
      <w:pPr>
        <w:pStyle w:val="Style8"/>
        <w:numPr>
          <w:ilvl w:val="0"/>
          <w:numId w:val="5"/>
        </w:numPr>
        <w:shd w:val="clear" w:color="auto" w:fill="auto"/>
        <w:tabs>
          <w:tab w:val="left" w:pos="260"/>
        </w:tabs>
        <w:spacing w:line="288" w:lineRule="auto"/>
      </w:pPr>
      <w:r>
        <w:t>Vyšší odběratelem uhrazená platba, než je předpis Provozovatele, se nevrací a bude započtena jako záloha pro příští období. Toto ujednání neplatí, pokud dojde k ukončení Smlouvy.</w:t>
      </w:r>
    </w:p>
    <w:p w:rsidR="00B30E06" w:rsidRDefault="006D636F">
      <w:pPr>
        <w:pStyle w:val="Style8"/>
        <w:numPr>
          <w:ilvl w:val="0"/>
          <w:numId w:val="5"/>
        </w:numPr>
        <w:shd w:val="clear" w:color="auto" w:fill="auto"/>
        <w:tabs>
          <w:tab w:val="left" w:pos="260"/>
        </w:tabs>
        <w:spacing w:line="288" w:lineRule="auto"/>
      </w:pPr>
      <w: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 Odběratel má možnost hotovostní platby v pokladně Provozovatele. Za okamžik peněžitého plnění je den úhrady.</w:t>
      </w:r>
    </w:p>
    <w:p w:rsidR="00B30E06" w:rsidRDefault="006D636F">
      <w:pPr>
        <w:pStyle w:val="Style8"/>
        <w:numPr>
          <w:ilvl w:val="0"/>
          <w:numId w:val="5"/>
        </w:numPr>
        <w:shd w:val="clear" w:color="auto" w:fill="auto"/>
        <w:tabs>
          <w:tab w:val="left" w:pos="265"/>
        </w:tabs>
        <w:spacing w:after="280" w:line="288" w:lineRule="auto"/>
      </w:pPr>
      <w:r>
        <w:t>Provozovatel je oprávněn jednostranně změnit výši a četnost zálohových nebo pravidelných plateb a četnost konečného vyúčtování podle článku lil.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B30E06" w:rsidRDefault="006D636F">
      <w:pPr>
        <w:pStyle w:val="Style18"/>
        <w:keepNext/>
        <w:keepLines/>
        <w:shd w:val="clear" w:color="auto" w:fill="auto"/>
      </w:pPr>
      <w:bookmarkStart w:id="25" w:name="bookmark25"/>
      <w:bookmarkStart w:id="26" w:name="bookmark26"/>
      <w:bookmarkStart w:id="27" w:name="bookmark27"/>
      <w:proofErr w:type="spellStart"/>
      <w:r>
        <w:t>Vl</w:t>
      </w:r>
      <w:r w:rsidR="002E0E08">
        <w:t>l</w:t>
      </w:r>
      <w:r>
        <w:t>l</w:t>
      </w:r>
      <w:proofErr w:type="spellEnd"/>
      <w:r>
        <w:t>. Odpovědnost za vady, reklamace</w:t>
      </w:r>
      <w:bookmarkEnd w:id="25"/>
      <w:bookmarkEnd w:id="26"/>
      <w:bookmarkEnd w:id="27"/>
    </w:p>
    <w:p w:rsidR="00B30E06" w:rsidRDefault="006D636F">
      <w:pPr>
        <w:pStyle w:val="Style8"/>
        <w:numPr>
          <w:ilvl w:val="0"/>
          <w:numId w:val="6"/>
        </w:numPr>
        <w:shd w:val="clear" w:color="auto" w:fill="auto"/>
        <w:tabs>
          <w:tab w:val="left" w:pos="255"/>
        </w:tabs>
      </w:pPr>
      <w: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obchodním oddělení. Odběratel tímto prohlašuje, že byl s Reklamačním řádem Provozovatele seznámen, a že mu porozuměl v plném rozsahu.</w:t>
      </w:r>
    </w:p>
    <w:p w:rsidR="00B30E06" w:rsidRDefault="006D636F">
      <w:pPr>
        <w:pStyle w:val="Style8"/>
        <w:numPr>
          <w:ilvl w:val="0"/>
          <w:numId w:val="6"/>
        </w:numPr>
        <w:shd w:val="clear" w:color="auto" w:fill="auto"/>
        <w:tabs>
          <w:tab w:val="left" w:pos="270"/>
        </w:tabs>
      </w:pPr>
      <w:r>
        <w:t>Jakost pitné vody je určena platnými právními předpisy, kterými se stanoví požadavky na zdravotní nezávadnost pitné vody a rozsah a četnost její kontroly.</w:t>
      </w:r>
    </w:p>
    <w:p w:rsidR="00B30E06" w:rsidRDefault="006D636F">
      <w:pPr>
        <w:pStyle w:val="Style8"/>
        <w:numPr>
          <w:ilvl w:val="0"/>
          <w:numId w:val="6"/>
        </w:numPr>
        <w:shd w:val="clear" w:color="auto" w:fill="auto"/>
        <w:tabs>
          <w:tab w:val="left" w:pos="260"/>
        </w:tabs>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B30E06" w:rsidRDefault="006D636F">
      <w:pPr>
        <w:pStyle w:val="Style8"/>
        <w:numPr>
          <w:ilvl w:val="0"/>
          <w:numId w:val="6"/>
        </w:numPr>
        <w:shd w:val="clear" w:color="auto" w:fill="auto"/>
        <w:tabs>
          <w:tab w:val="left" w:pos="260"/>
        </w:tabs>
      </w:pPr>
      <w:r>
        <w:t>Vzn</w:t>
      </w:r>
      <w:r w:rsidR="002E0E08">
        <w:t>i</w:t>
      </w:r>
      <w:r>
        <w:t>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obchodním oddělení Provozovatele. Neuplatní-li však Odběratel reklamaci nesprávně účtovaných částek nejpozději do dne splatnosti příslušné faktury, je povinen takovou fakturu uhradit.</w:t>
      </w:r>
    </w:p>
    <w:p w:rsidR="00B30E06" w:rsidRDefault="006D636F">
      <w:pPr>
        <w:pStyle w:val="Style8"/>
        <w:numPr>
          <w:ilvl w:val="0"/>
          <w:numId w:val="6"/>
        </w:numPr>
        <w:shd w:val="clear" w:color="auto" w:fill="auto"/>
        <w:tabs>
          <w:tab w:val="left" w:pos="260"/>
        </w:tabs>
        <w:spacing w:after="280"/>
      </w:pPr>
      <w:r>
        <w:t>Provozovatel reklamaci přezkoumá a výsledek písemně oznámí Odběrateli ve lhůtě 30 dnů ode dne, kdy reklamaci obdržel. Je-li na základě reklamace vystaven opravný daňový doklad - faktura, považuje se současně za písemné oznámení o výsledku reklamace.</w:t>
      </w:r>
    </w:p>
    <w:p w:rsidR="00B30E06" w:rsidRDefault="006D636F">
      <w:pPr>
        <w:pStyle w:val="Style18"/>
        <w:keepNext/>
        <w:keepLines/>
        <w:numPr>
          <w:ilvl w:val="0"/>
          <w:numId w:val="7"/>
        </w:numPr>
        <w:shd w:val="clear" w:color="auto" w:fill="auto"/>
        <w:tabs>
          <w:tab w:val="left" w:pos="351"/>
        </w:tabs>
      </w:pPr>
      <w:bookmarkStart w:id="28" w:name="bookmark28"/>
      <w:bookmarkStart w:id="29" w:name="bookmark29"/>
      <w:bookmarkStart w:id="30" w:name="bookmark30"/>
      <w:r>
        <w:t>Další práva a povinnosti Smluvních stran</w:t>
      </w:r>
      <w:bookmarkEnd w:id="28"/>
      <w:bookmarkEnd w:id="29"/>
      <w:bookmarkEnd w:id="30"/>
    </w:p>
    <w:p w:rsidR="00B30E06" w:rsidRDefault="006D636F">
      <w:pPr>
        <w:pStyle w:val="Style8"/>
        <w:numPr>
          <w:ilvl w:val="0"/>
          <w:numId w:val="8"/>
        </w:numPr>
        <w:shd w:val="clear" w:color="auto" w:fill="auto"/>
        <w:tabs>
          <w:tab w:val="left" w:pos="255"/>
        </w:tabs>
        <w:spacing w:line="288" w:lineRule="auto"/>
      </w:pPr>
      <w:r>
        <w:t>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a nebo o Odběrném místě a nebo údaje pro fakturaci vodného a stočného.</w:t>
      </w:r>
    </w:p>
    <w:p w:rsidR="00B30E06" w:rsidRDefault="006D636F">
      <w:pPr>
        <w:pStyle w:val="Style8"/>
        <w:numPr>
          <w:ilvl w:val="0"/>
          <w:numId w:val="8"/>
        </w:numPr>
        <w:shd w:val="clear" w:color="auto" w:fill="auto"/>
        <w:tabs>
          <w:tab w:val="left" w:pos="270"/>
        </w:tabs>
        <w:spacing w:line="288" w:lineRule="auto"/>
      </w:pPr>
      <w: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B30E06" w:rsidRDefault="006D636F">
      <w:pPr>
        <w:pStyle w:val="Style8"/>
        <w:numPr>
          <w:ilvl w:val="0"/>
          <w:numId w:val="8"/>
        </w:numPr>
        <w:shd w:val="clear" w:color="auto" w:fill="auto"/>
        <w:tabs>
          <w:tab w:val="left" w:pos="270"/>
        </w:tabs>
        <w:spacing w:line="288" w:lineRule="auto"/>
      </w:pPr>
      <w:r>
        <w:t>Byl-li Smluvními stranami dohodnut elektronický přenos faktur, budou tyto doručovány Odběrateli na emailovou adresu uvedenou v záhlaví této Smlouvy.</w:t>
      </w:r>
    </w:p>
    <w:p w:rsidR="00B30E06" w:rsidRDefault="006D636F">
      <w:pPr>
        <w:pStyle w:val="Style8"/>
        <w:numPr>
          <w:ilvl w:val="0"/>
          <w:numId w:val="8"/>
        </w:numPr>
        <w:shd w:val="clear" w:color="auto" w:fill="auto"/>
        <w:tabs>
          <w:tab w:val="left" w:pos="265"/>
        </w:tabs>
        <w:spacing w:line="288" w:lineRule="auto"/>
      </w:pPr>
      <w: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v sídle Provozovatele.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X. této Smlouvy. Odběratel je v takovém případě povinen uhradit Provozovateli náklady takové kontroly.</w:t>
      </w:r>
    </w:p>
    <w:p w:rsidR="002E0E08" w:rsidRDefault="006D636F">
      <w:pPr>
        <w:pStyle w:val="Style21"/>
        <w:numPr>
          <w:ilvl w:val="0"/>
          <w:numId w:val="8"/>
        </w:numPr>
        <w:shd w:val="clear" w:color="auto" w:fill="auto"/>
        <w:tabs>
          <w:tab w:val="left" w:pos="260"/>
        </w:tabs>
        <w:rPr>
          <w:sz w:val="16"/>
          <w:szCs w:val="16"/>
        </w:rPr>
      </w:pPr>
      <w:r>
        <w:rPr>
          <w:sz w:val="16"/>
          <w:szCs w:val="16"/>
        </w:rPr>
        <w:t>Vodoměr ke zjišťování množství odebírané vody a měřicí zařízení Odběratele, případně vodoměr osazený na vlastním zdroji vody Odběratele,</w:t>
      </w:r>
      <w:r w:rsidR="002E0E08">
        <w:rPr>
          <w:sz w:val="16"/>
          <w:szCs w:val="16"/>
        </w:rPr>
        <w:t xml:space="preserve"> </w:t>
      </w:r>
    </w:p>
    <w:p w:rsidR="002E0E08" w:rsidRDefault="002E0E08" w:rsidP="002E0E08">
      <w:pPr>
        <w:pStyle w:val="Style21"/>
        <w:shd w:val="clear" w:color="auto" w:fill="auto"/>
        <w:tabs>
          <w:tab w:val="left" w:pos="260"/>
        </w:tabs>
        <w:rPr>
          <w:sz w:val="16"/>
          <w:szCs w:val="16"/>
        </w:rPr>
      </w:pPr>
      <w:r>
        <w:rPr>
          <w:sz w:val="16"/>
          <w:szCs w:val="16"/>
        </w:rPr>
        <w:t>ke zjišťování množství vypouštěných odpadních a odváděných srážkových vod podléhá úřednímu ověření podle patných právních předpisů a toto</w:t>
      </w:r>
      <w:r w:rsidR="006D636F">
        <w:rPr>
          <w:sz w:val="16"/>
          <w:szCs w:val="16"/>
        </w:rPr>
        <w:t xml:space="preserve"> </w:t>
      </w:r>
    </w:p>
    <w:p w:rsidR="002E0E08" w:rsidRDefault="002E0E08" w:rsidP="002E0E08">
      <w:pPr>
        <w:pStyle w:val="Style21"/>
        <w:shd w:val="clear" w:color="auto" w:fill="auto"/>
        <w:tabs>
          <w:tab w:val="left" w:pos="260"/>
        </w:tabs>
        <w:rPr>
          <w:sz w:val="16"/>
          <w:szCs w:val="16"/>
        </w:rPr>
      </w:pPr>
    </w:p>
    <w:p w:rsidR="002E0E08" w:rsidRDefault="002E0E08" w:rsidP="002E0E08">
      <w:pPr>
        <w:pStyle w:val="Style21"/>
        <w:shd w:val="clear" w:color="auto" w:fill="auto"/>
        <w:tabs>
          <w:tab w:val="left" w:pos="260"/>
        </w:tabs>
        <w:rPr>
          <w:sz w:val="16"/>
          <w:szCs w:val="16"/>
        </w:rPr>
      </w:pPr>
    </w:p>
    <w:p w:rsidR="002E0E08" w:rsidRDefault="002E0E08" w:rsidP="002E0E08">
      <w:pPr>
        <w:pStyle w:val="Style21"/>
        <w:shd w:val="clear" w:color="auto" w:fill="auto"/>
        <w:tabs>
          <w:tab w:val="left" w:pos="260"/>
        </w:tabs>
        <w:rPr>
          <w:sz w:val="16"/>
          <w:szCs w:val="16"/>
        </w:rPr>
      </w:pPr>
    </w:p>
    <w:p w:rsidR="00B30E06" w:rsidRDefault="006D636F" w:rsidP="002E0E08">
      <w:pPr>
        <w:pStyle w:val="Style21"/>
        <w:shd w:val="clear" w:color="auto" w:fill="auto"/>
        <w:tabs>
          <w:tab w:val="left" w:pos="260"/>
        </w:tabs>
        <w:rPr>
          <w:sz w:val="16"/>
          <w:szCs w:val="16"/>
        </w:rPr>
      </w:pPr>
      <w:r>
        <w:rPr>
          <w:rStyle w:val="CharStyle9"/>
        </w:rPr>
        <w:lastRenderedPageBreak/>
        <w:t>ověřování je povinen zajistit v případě vodoměru na své náklady Provozovatel a v případě měřicího zařízení Odběratele, případně vodoměru osazeném na vlastním zdroji vody Odběratele, ke zjišťování množství vypouštěných odpadních a odváděných srážkových vod Odběratel. Dodávky a služby související se zřízením, provozem a zrušením měřicího zařízení ve vlastnictví Odběratele, případně vodoměru na vlastním zdroji vody Odběratele, provede Provozovatel po dohodě za úplatu a v rozsahu a za podmínek stanovených dohodou Smluvních stran.</w:t>
      </w:r>
    </w:p>
    <w:p w:rsidR="00B30E06" w:rsidRDefault="006D636F">
      <w:pPr>
        <w:pStyle w:val="Style8"/>
        <w:numPr>
          <w:ilvl w:val="0"/>
          <w:numId w:val="8"/>
        </w:numPr>
        <w:shd w:val="clear" w:color="auto" w:fill="auto"/>
        <w:tabs>
          <w:tab w:val="left" w:pos="279"/>
        </w:tabs>
      </w:pPr>
      <w:r>
        <w:t>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případně vodoměrem na vlastním zdroji vody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B30E06" w:rsidRDefault="006D636F">
      <w:pPr>
        <w:pStyle w:val="Style8"/>
        <w:numPr>
          <w:ilvl w:val="0"/>
          <w:numId w:val="8"/>
        </w:numPr>
        <w:shd w:val="clear" w:color="auto" w:fill="auto"/>
        <w:tabs>
          <w:tab w:val="left" w:pos="260"/>
        </w:tabs>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B30E06" w:rsidRDefault="006D636F">
      <w:pPr>
        <w:pStyle w:val="Style8"/>
        <w:numPr>
          <w:ilvl w:val="0"/>
          <w:numId w:val="8"/>
        </w:numPr>
        <w:shd w:val="clear" w:color="auto" w:fill="auto"/>
        <w:tabs>
          <w:tab w:val="left" w:pos="260"/>
        </w:tabs>
      </w:pPr>
      <w:r>
        <w:t>Provozovatel je oprávněn přerušit nebo omezit dodávku vody nebo odvádění odpadních vod za podmínek stanovených zákonem. V případě přerušení dodávky pitné vody Odběrateli z důvodu porušení smlouvy způsobem uvedeným v zákonu č. 274/2001 S., § 9, odstavec 6, písmena:</w:t>
      </w:r>
    </w:p>
    <w:p w:rsidR="00B30E06" w:rsidRDefault="006D636F">
      <w:pPr>
        <w:pStyle w:val="Style8"/>
        <w:numPr>
          <w:ilvl w:val="0"/>
          <w:numId w:val="9"/>
        </w:numPr>
        <w:shd w:val="clear" w:color="auto" w:fill="auto"/>
        <w:tabs>
          <w:tab w:val="left" w:pos="274"/>
        </w:tabs>
      </w:pPr>
      <w:r>
        <w:t>nevyhovuje-li zařízení odběratele technickým požadavkům tak, že jakost nebo tlak vody ve vodovodu může ohrozit zdraví a bezpečnost osob a způsobit škodu na majetku,</w:t>
      </w:r>
    </w:p>
    <w:p w:rsidR="00B30E06" w:rsidRDefault="006D636F">
      <w:pPr>
        <w:pStyle w:val="Style8"/>
        <w:numPr>
          <w:ilvl w:val="0"/>
          <w:numId w:val="9"/>
        </w:numPr>
        <w:shd w:val="clear" w:color="auto" w:fill="auto"/>
        <w:tabs>
          <w:tab w:val="left" w:pos="265"/>
        </w:tabs>
      </w:pPr>
      <w:r>
        <w:t>neumožní-li Odběratel Provozovateli, po jeho opakované výzvě, přístup k vodoměru, přípojce nebo zařízení vnitřního vodovodu nebo kanalizace za podmínek uvedených v této smlouvě,</w:t>
      </w:r>
    </w:p>
    <w:p w:rsidR="00B30E06" w:rsidRDefault="006D636F">
      <w:pPr>
        <w:pStyle w:val="Style8"/>
        <w:numPr>
          <w:ilvl w:val="0"/>
          <w:numId w:val="9"/>
        </w:numPr>
        <w:shd w:val="clear" w:color="auto" w:fill="auto"/>
        <w:tabs>
          <w:tab w:val="left" w:pos="270"/>
        </w:tabs>
      </w:pPr>
      <w:r>
        <w:t>bylo-li zjištěno neoprávněné připojení vodovodní přípojky nebo kanalizační přípojky,</w:t>
      </w:r>
    </w:p>
    <w:p w:rsidR="00B30E06" w:rsidRDefault="006D636F">
      <w:pPr>
        <w:pStyle w:val="Style8"/>
        <w:numPr>
          <w:ilvl w:val="0"/>
          <w:numId w:val="9"/>
        </w:numPr>
        <w:shd w:val="clear" w:color="auto" w:fill="auto"/>
        <w:tabs>
          <w:tab w:val="left" w:pos="270"/>
        </w:tabs>
      </w:pPr>
      <w:r>
        <w:t>neodstraní-li Odběratel závady na vodovodní přípojce nebo kanalizační přípojce nebo na vnitřním vodovodu nebo vnitřní kanalizaci zjištěné Provozovatelem ve lhůtě jím stanovené, která nesmí být kratší než 3 dny,</w:t>
      </w:r>
    </w:p>
    <w:p w:rsidR="00B30E06" w:rsidRDefault="006D636F">
      <w:pPr>
        <w:pStyle w:val="Style8"/>
        <w:numPr>
          <w:ilvl w:val="0"/>
          <w:numId w:val="9"/>
        </w:numPr>
        <w:shd w:val="clear" w:color="auto" w:fill="auto"/>
        <w:tabs>
          <w:tab w:val="left" w:pos="270"/>
        </w:tabs>
      </w:pPr>
      <w:r>
        <w:t>při prokázání neoprávněného odběru vody nebo neoprávněného vypouštění odpadních vod,</w:t>
      </w:r>
    </w:p>
    <w:p w:rsidR="00B30E06" w:rsidRDefault="006D636F">
      <w:pPr>
        <w:pStyle w:val="Style8"/>
        <w:numPr>
          <w:ilvl w:val="0"/>
          <w:numId w:val="9"/>
        </w:numPr>
        <w:shd w:val="clear" w:color="auto" w:fill="auto"/>
        <w:tabs>
          <w:tab w:val="left" w:pos="270"/>
        </w:tabs>
      </w:pPr>
      <w:r>
        <w:t>v případě prodlení Odběratele s placením podle sjednaného způsobu úhrady vodného nebo stočného po dobu delší než 30 dnů,</w:t>
      </w:r>
    </w:p>
    <w:p w:rsidR="00B30E06" w:rsidRDefault="006D636F">
      <w:pPr>
        <w:pStyle w:val="Style8"/>
        <w:shd w:val="clear" w:color="auto" w:fill="auto"/>
      </w:pPr>
      <w:r>
        <w:t>má Provozovatel právo na úhradu poplatku za opětovné připojení vodoměru v paušální částce Kč 1.800,- plus DPH v platné výši nebo domovního tlakového čerpadla v paušální částce Kč 2.200,- plus DPH v platné výši nebo řídící jednotky podtlakové kanalizace v paušální částce Kč 2.200,- plus DPH v platné výši, s čímž Odběratel souhlasí.</w:t>
      </w:r>
    </w:p>
    <w:p w:rsidR="00B30E06" w:rsidRDefault="006D636F">
      <w:pPr>
        <w:pStyle w:val="Style8"/>
        <w:numPr>
          <w:ilvl w:val="0"/>
          <w:numId w:val="8"/>
        </w:numPr>
        <w:shd w:val="clear" w:color="auto" w:fill="auto"/>
        <w:tabs>
          <w:tab w:val="left" w:pos="274"/>
        </w:tabs>
      </w:pPr>
      <w:r>
        <w:t>Vlastníkem vodoměru je Provozovatel vodovodu. Další podmínky měření a způsobu zjišťování dodávané vody a odváděných odpadních vod jsou upraveny zákonem o vodovodech a kanalizacích a prováděcími předpisy k tomuto zákonu.</w:t>
      </w:r>
    </w:p>
    <w:p w:rsidR="00B30E06" w:rsidRDefault="006D636F">
      <w:pPr>
        <w:pStyle w:val="Style8"/>
        <w:numPr>
          <w:ilvl w:val="0"/>
          <w:numId w:val="8"/>
        </w:numPr>
        <w:shd w:val="clear" w:color="auto" w:fill="auto"/>
        <w:tabs>
          <w:tab w:val="left" w:pos="356"/>
        </w:tabs>
      </w:pPr>
      <w: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B30E06" w:rsidRDefault="006D636F">
      <w:pPr>
        <w:pStyle w:val="Style8"/>
        <w:numPr>
          <w:ilvl w:val="0"/>
          <w:numId w:val="8"/>
        </w:numPr>
        <w:shd w:val="clear" w:color="auto" w:fill="auto"/>
        <w:tabs>
          <w:tab w:val="left" w:pos="356"/>
        </w:tabs>
      </w:pPr>
      <w:r>
        <w:t>Provozovatel může vodoměr kdykoliv vyměnit, nejpozději však před uplynutím lhůty úředního ověření vodoměru. Odběratel je povinen tuto činnost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B30E06" w:rsidRDefault="006D636F">
      <w:pPr>
        <w:pStyle w:val="Style8"/>
        <w:numPr>
          <w:ilvl w:val="0"/>
          <w:numId w:val="8"/>
        </w:numPr>
        <w:shd w:val="clear" w:color="auto" w:fill="auto"/>
        <w:tabs>
          <w:tab w:val="left" w:pos="356"/>
        </w:tabs>
        <w:spacing w:after="280"/>
      </w:pPr>
      <w:r>
        <w:t>Sazebník Provozovatele stanoví úhrady za další výkony a činnosti Provozovatele prováděné na základě žádosti Odběratele. Sazebník dále stanovuje paušální náklady, které je Odběratel povinen uhradit Provozovateli v souvislosti s uplatněním pohledávky Provozovatele z této Smlouvy. Sazebník je k dispozici na webových stránkách Provozovatele a v zákaznických centrech Provozovatele. Odběratel tímto prohlašuje, že byl s tímto sazebníkem Provozovatele před podpisem této Smlouvy seznámen, že mu porozuměl v plném rozsahu, a že s ním souhlasí.</w:t>
      </w:r>
    </w:p>
    <w:p w:rsidR="00B30E06" w:rsidRDefault="006D636F">
      <w:pPr>
        <w:pStyle w:val="Style18"/>
        <w:keepNext/>
        <w:keepLines/>
        <w:numPr>
          <w:ilvl w:val="0"/>
          <w:numId w:val="7"/>
        </w:numPr>
        <w:shd w:val="clear" w:color="auto" w:fill="auto"/>
        <w:tabs>
          <w:tab w:val="left" w:pos="313"/>
        </w:tabs>
      </w:pPr>
      <w:bookmarkStart w:id="31" w:name="bookmark31"/>
      <w:bookmarkStart w:id="32" w:name="bookmark32"/>
      <w:bookmarkStart w:id="33" w:name="bookmark33"/>
      <w:r>
        <w:t>Příslušenství pohledávky, smluvní pokuty a zajištění závazků Smluvních stran</w:t>
      </w:r>
      <w:bookmarkEnd w:id="31"/>
      <w:bookmarkEnd w:id="32"/>
      <w:bookmarkEnd w:id="33"/>
    </w:p>
    <w:p w:rsidR="00B30E06" w:rsidRDefault="006D636F">
      <w:pPr>
        <w:pStyle w:val="Style8"/>
        <w:numPr>
          <w:ilvl w:val="0"/>
          <w:numId w:val="10"/>
        </w:numPr>
        <w:shd w:val="clear" w:color="auto" w:fill="auto"/>
        <w:tabs>
          <w:tab w:val="left" w:pos="260"/>
        </w:tabs>
        <w:spacing w:line="288" w:lineRule="auto"/>
      </w:pPr>
      <w:r>
        <w:t>Pro případ prodlení kterékoliv Smluvní strany s plněním peněžitého závazku podle této Smlouvy, se povinná Smluvní strana zavazuje zaplatit oprávněné Smluvní straně za každý den prodlení zákonný úrok z prodlení ve výši stanovené v souladu s platnými právními předpisy. Vedle toho Smluvní strany sjednávají smluvní pokutu ve výši 0,05% z dlužné částky za každý den prodlení, tím není dotčeno právo vyúčtovat rovněž zákonný úrok z prodlení.</w:t>
      </w:r>
    </w:p>
    <w:p w:rsidR="00B30E06" w:rsidRDefault="006D636F">
      <w:pPr>
        <w:pStyle w:val="Style8"/>
        <w:numPr>
          <w:ilvl w:val="0"/>
          <w:numId w:val="10"/>
        </w:numPr>
        <w:shd w:val="clear" w:color="auto" w:fill="auto"/>
        <w:tabs>
          <w:tab w:val="left" w:pos="260"/>
        </w:tabs>
        <w:spacing w:after="280" w:line="288" w:lineRule="auto"/>
      </w:pPr>
      <w:r>
        <w:t>V případě porušení této Smlouvy v ustanoveních § 9, odstavec 6, písmena c), d) a f) zákona čísla 274/2001 Sbírky (viz. článek IX., odstavec 8 této Smlouvy ) sjednávají Smluvní strany smluvní pokutu Kč 5.000,- za každé jednotlivé to porušení, a to i opakovaně. Tímto není dotčeno právo Provozovatele na náhradu způsobené škody Odběratelem.</w:t>
      </w:r>
    </w:p>
    <w:p w:rsidR="00B30E06" w:rsidRDefault="006D636F">
      <w:pPr>
        <w:pStyle w:val="Style18"/>
        <w:keepNext/>
        <w:keepLines/>
        <w:numPr>
          <w:ilvl w:val="0"/>
          <w:numId w:val="7"/>
        </w:numPr>
        <w:shd w:val="clear" w:color="auto" w:fill="auto"/>
        <w:tabs>
          <w:tab w:val="left" w:pos="370"/>
        </w:tabs>
      </w:pPr>
      <w:bookmarkStart w:id="34" w:name="bookmark34"/>
      <w:bookmarkStart w:id="35" w:name="bookmark35"/>
      <w:bookmarkStart w:id="36" w:name="bookmark36"/>
      <w:r>
        <w:t>Doba platnosti a ukončení Smlouvy</w:t>
      </w:r>
      <w:bookmarkEnd w:id="34"/>
      <w:bookmarkEnd w:id="35"/>
      <w:bookmarkEnd w:id="36"/>
    </w:p>
    <w:p w:rsidR="00B30E06" w:rsidRDefault="006D636F">
      <w:pPr>
        <w:pStyle w:val="Style8"/>
        <w:numPr>
          <w:ilvl w:val="0"/>
          <w:numId w:val="11"/>
        </w:numPr>
        <w:shd w:val="clear" w:color="auto" w:fill="auto"/>
        <w:tabs>
          <w:tab w:val="left" w:pos="265"/>
        </w:tabs>
        <w:spacing w:line="288" w:lineRule="auto"/>
      </w:pPr>
      <w:r>
        <w:t>Tato Smlouva nabývá účinnosti dnem podpisu Smluvních stran a uzavírá se na dobu neurčitou. Smluvní strany se dohodly, že za dodávku pitné vody nebo za odvádění odpadních vod poskytnutých Odběrateli přede dnem účinnosti této smlouvy na výše specifikovaném Odběrném místě, je Provozovatel oprávněn fakturovat Odběrateli vodné či stočné, ve výši dohodnuté dle této smlouvy a Odběratel se zavazuje toto vodné či stočné, uhradit. Smluvní strany činí nesporným, že již přede dnem účinnosti této smlouvy byla Provozovatelem dodána voda nebo odvedena odpadní voda, a to s následujícími údaji:</w:t>
      </w:r>
    </w:p>
    <w:p w:rsidR="00B30E06" w:rsidRDefault="006D636F">
      <w:pPr>
        <w:pStyle w:val="Style8"/>
        <w:shd w:val="clear" w:color="auto" w:fill="auto"/>
        <w:spacing w:line="288" w:lineRule="auto"/>
      </w:pPr>
      <w:r>
        <w:t>Plnění poskytnuto ode dne: 28.08.2020</w:t>
      </w:r>
    </w:p>
    <w:p w:rsidR="00B30E06" w:rsidRDefault="006D636F">
      <w:pPr>
        <w:pStyle w:val="Style8"/>
        <w:shd w:val="clear" w:color="auto" w:fill="auto"/>
        <w:spacing w:line="288" w:lineRule="auto"/>
      </w:pPr>
      <w:r>
        <w:t>Čísla/stavy měřidel k tomuto datu: 5126140857 / 169 m3</w:t>
      </w:r>
    </w:p>
    <w:p w:rsidR="00B30E06" w:rsidRDefault="006D636F">
      <w:pPr>
        <w:pStyle w:val="Style8"/>
        <w:shd w:val="clear" w:color="auto" w:fill="auto"/>
        <w:spacing w:line="288" w:lineRule="auto"/>
      </w:pPr>
      <w:r>
        <w:t>Smluvní strany dále prohlašují, že toto plnění nebylo v rozporu s oprávněnými zájmy žádné ze Smluvních stran a považují je za plnění dle této Smlouvy.</w:t>
      </w:r>
    </w:p>
    <w:p w:rsidR="002E0E08" w:rsidRDefault="006D636F">
      <w:pPr>
        <w:pStyle w:val="Style8"/>
        <w:numPr>
          <w:ilvl w:val="0"/>
          <w:numId w:val="11"/>
        </w:numPr>
        <w:shd w:val="clear" w:color="auto" w:fill="auto"/>
        <w:tabs>
          <w:tab w:val="left" w:pos="255"/>
        </w:tabs>
        <w:spacing w:line="288" w:lineRule="auto"/>
      </w:pPr>
      <w:r>
        <w:t xml:space="preserve">Tuto Smlouvu jsou obě Smluvní strany oprávněny jednostranně písemně vypovědět s výpovědní lhůtou jednoho měsíce. Výpovědní lhůta začíná </w:t>
      </w:r>
    </w:p>
    <w:p w:rsidR="002E0E08" w:rsidRDefault="002E0E08" w:rsidP="002E0E08">
      <w:pPr>
        <w:pStyle w:val="Style8"/>
        <w:shd w:val="clear" w:color="auto" w:fill="auto"/>
        <w:tabs>
          <w:tab w:val="left" w:pos="255"/>
        </w:tabs>
        <w:spacing w:line="288" w:lineRule="auto"/>
      </w:pPr>
    </w:p>
    <w:p w:rsidR="002E0E08" w:rsidRDefault="002E0E08" w:rsidP="002E0E08">
      <w:pPr>
        <w:pStyle w:val="Style8"/>
        <w:shd w:val="clear" w:color="auto" w:fill="auto"/>
        <w:tabs>
          <w:tab w:val="left" w:pos="255"/>
        </w:tabs>
        <w:spacing w:line="288" w:lineRule="auto"/>
      </w:pPr>
    </w:p>
    <w:p w:rsidR="002E0E08" w:rsidRDefault="002E0E08" w:rsidP="002E0E08">
      <w:pPr>
        <w:pStyle w:val="Style8"/>
        <w:shd w:val="clear" w:color="auto" w:fill="auto"/>
        <w:tabs>
          <w:tab w:val="left" w:pos="255"/>
        </w:tabs>
        <w:spacing w:line="288" w:lineRule="auto"/>
      </w:pPr>
    </w:p>
    <w:p w:rsidR="00B30E06" w:rsidRDefault="006D636F" w:rsidP="002E0E08">
      <w:pPr>
        <w:pStyle w:val="Style8"/>
        <w:shd w:val="clear" w:color="auto" w:fill="auto"/>
        <w:tabs>
          <w:tab w:val="left" w:pos="255"/>
        </w:tabs>
        <w:spacing w:line="288" w:lineRule="auto"/>
      </w:pPr>
      <w:r>
        <w:lastRenderedPageBreak/>
        <w:t>běžet první den kalendářního měsíce následujícího po doručení výpovědi druhé Smluvní straně.</w:t>
      </w:r>
    </w:p>
    <w:p w:rsidR="00B30E06" w:rsidRDefault="006D636F">
      <w:pPr>
        <w:pStyle w:val="Style8"/>
        <w:numPr>
          <w:ilvl w:val="0"/>
          <w:numId w:val="11"/>
        </w:numPr>
        <w:shd w:val="clear" w:color="auto" w:fill="auto"/>
        <w:tabs>
          <w:tab w:val="left" w:pos="265"/>
        </w:tabs>
      </w:pPr>
      <w:r>
        <w:t>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vody/odvádění odpadních vod.</w:t>
      </w:r>
    </w:p>
    <w:p w:rsidR="00B30E06" w:rsidRDefault="006D636F">
      <w:pPr>
        <w:pStyle w:val="Style8"/>
        <w:numPr>
          <w:ilvl w:val="0"/>
          <w:numId w:val="11"/>
        </w:numPr>
        <w:shd w:val="clear" w:color="auto" w:fill="auto"/>
        <w:tabs>
          <w:tab w:val="left" w:pos="260"/>
        </w:tabs>
      </w:pPr>
      <w: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B30E06" w:rsidRDefault="006D636F">
      <w:pPr>
        <w:pStyle w:val="Style8"/>
        <w:numPr>
          <w:ilvl w:val="0"/>
          <w:numId w:val="11"/>
        </w:numPr>
        <w:shd w:val="clear" w:color="auto" w:fill="auto"/>
        <w:tabs>
          <w:tab w:val="left" w:pos="260"/>
        </w:tabs>
      </w:pPr>
      <w: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rsidR="00B30E06" w:rsidRDefault="006D636F">
      <w:pPr>
        <w:pStyle w:val="Style8"/>
        <w:numPr>
          <w:ilvl w:val="0"/>
          <w:numId w:val="11"/>
        </w:numPr>
        <w:shd w:val="clear" w:color="auto" w:fill="auto"/>
        <w:tabs>
          <w:tab w:val="left" w:pos="274"/>
        </w:tabs>
      </w:pPr>
      <w: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B30E06" w:rsidRDefault="006D636F">
      <w:pPr>
        <w:pStyle w:val="Style8"/>
        <w:numPr>
          <w:ilvl w:val="0"/>
          <w:numId w:val="11"/>
        </w:numPr>
        <w:shd w:val="clear" w:color="auto" w:fill="auto"/>
        <w:tabs>
          <w:tab w:val="left" w:pos="265"/>
        </w:tabs>
        <w:spacing w:after="280"/>
      </w:pPr>
      <w: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B30E06" w:rsidRDefault="006D636F">
      <w:pPr>
        <w:pStyle w:val="Style18"/>
        <w:keepNext/>
        <w:keepLines/>
        <w:numPr>
          <w:ilvl w:val="0"/>
          <w:numId w:val="7"/>
        </w:numPr>
        <w:shd w:val="clear" w:color="auto" w:fill="auto"/>
        <w:tabs>
          <w:tab w:val="left" w:pos="428"/>
        </w:tabs>
        <w:jc w:val="both"/>
      </w:pPr>
      <w:bookmarkStart w:id="37" w:name="bookmark37"/>
      <w:bookmarkStart w:id="38" w:name="bookmark38"/>
      <w:bookmarkStart w:id="39" w:name="bookmark39"/>
      <w:r>
        <w:t>Ostatní a závěrečná ujednání</w:t>
      </w:r>
      <w:bookmarkEnd w:id="37"/>
      <w:bookmarkEnd w:id="38"/>
      <w:bookmarkEnd w:id="39"/>
    </w:p>
    <w:p w:rsidR="00B30E06" w:rsidRDefault="006D636F">
      <w:pPr>
        <w:pStyle w:val="Style8"/>
        <w:numPr>
          <w:ilvl w:val="0"/>
          <w:numId w:val="12"/>
        </w:numPr>
        <w:shd w:val="clear" w:color="auto" w:fill="auto"/>
        <w:tabs>
          <w:tab w:val="left" w:pos="265"/>
        </w:tabs>
      </w:pPr>
      <w:r>
        <w:t>Provozovatel doručuje Odběrateli písemnosti zpravidla prostřednictvím držitele poštovní licence na adresu pro doručování uvedenou v záhlaví této Smlouvy, na poslední známou adresu písemně oznámenou Odběratelem Provozovateli podle ustanovení článku IX. odst. 1 této Smlouvy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den po odeslání. Uvedl-li Odběratel výše podrobnosti svého elektronického kontaktu, souhlasí Odběratel s doručováním písemností i tímto způsobem.</w:t>
      </w:r>
    </w:p>
    <w:p w:rsidR="00B30E06" w:rsidRDefault="006D636F">
      <w:pPr>
        <w:pStyle w:val="Style8"/>
        <w:numPr>
          <w:ilvl w:val="0"/>
          <w:numId w:val="12"/>
        </w:numPr>
        <w:shd w:val="clear" w:color="auto" w:fill="auto"/>
        <w:tabs>
          <w:tab w:val="left" w:pos="274"/>
        </w:tabs>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B30E06" w:rsidRDefault="006D636F">
      <w:pPr>
        <w:pStyle w:val="Style8"/>
        <w:numPr>
          <w:ilvl w:val="0"/>
          <w:numId w:val="12"/>
        </w:numPr>
        <w:shd w:val="clear" w:color="auto" w:fill="auto"/>
        <w:tabs>
          <w:tab w:val="left" w:pos="260"/>
        </w:tabs>
      </w:pPr>
      <w:r>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rsidR="00B30E06" w:rsidRDefault="006D636F">
      <w:pPr>
        <w:pStyle w:val="Style8"/>
        <w:numPr>
          <w:ilvl w:val="0"/>
          <w:numId w:val="12"/>
        </w:numPr>
        <w:shd w:val="clear" w:color="auto" w:fill="auto"/>
        <w:tabs>
          <w:tab w:val="left" w:pos="260"/>
        </w:tabs>
      </w:pPr>
      <w:r>
        <w:t>Tato Smlouva je vyhotovena ve dvou vyhotoveních, z nichž každá Smluvní strana obdrží jedno.</w:t>
      </w:r>
    </w:p>
    <w:p w:rsidR="00B30E06" w:rsidRDefault="006D636F">
      <w:pPr>
        <w:pStyle w:val="Style8"/>
        <w:numPr>
          <w:ilvl w:val="0"/>
          <w:numId w:val="12"/>
        </w:numPr>
        <w:shd w:val="clear" w:color="auto" w:fill="auto"/>
        <w:tabs>
          <w:tab w:val="left" w:pos="270"/>
        </w:tabs>
      </w:pPr>
      <w:r>
        <w:t>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B30E06" w:rsidRDefault="006D636F">
      <w:pPr>
        <w:pStyle w:val="Style8"/>
        <w:numPr>
          <w:ilvl w:val="0"/>
          <w:numId w:val="12"/>
        </w:numPr>
        <w:shd w:val="clear" w:color="auto" w:fill="auto"/>
        <w:tabs>
          <w:tab w:val="left" w:pos="265"/>
        </w:tabs>
      </w:pPr>
      <w:r>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B30E06" w:rsidRDefault="006D636F">
      <w:pPr>
        <w:pStyle w:val="Style8"/>
        <w:numPr>
          <w:ilvl w:val="0"/>
          <w:numId w:val="12"/>
        </w:numPr>
        <w:shd w:val="clear" w:color="auto" w:fill="auto"/>
        <w:tabs>
          <w:tab w:val="left" w:pos="260"/>
        </w:tabs>
      </w:pPr>
      <w:r>
        <w:t>Provozovatel vylučuje ve smyslu ustanovení § 1740 odst. 3, věta druhá OZ přijetí nabídky s dodatky nebo odchylkami.</w:t>
      </w:r>
    </w:p>
    <w:p w:rsidR="00B30E06" w:rsidRDefault="006D636F">
      <w:pPr>
        <w:pStyle w:val="Style8"/>
        <w:numPr>
          <w:ilvl w:val="0"/>
          <w:numId w:val="12"/>
        </w:numPr>
        <w:shd w:val="clear" w:color="auto" w:fill="auto"/>
        <w:tabs>
          <w:tab w:val="left" w:pos="260"/>
        </w:tabs>
        <w:spacing w:after="940"/>
      </w:pPr>
      <w:r>
        <w:t xml:space="preserve">Smluvní strany prohlašují, že se při zpracování osobních údajů v souvislosti s touto smlouvou řídí obecným nařízením EP č. 2016/679, o ochraně osobních údajů (GDPR), a dalšími právními předpisy. Nedílnou součástí této smlouvy je Informace společnosti Vodovody a kanalizace Nymburk, a.s. o zpracování osobních údajů, která je zveřejněna na webových stránkách společnosti </w:t>
      </w:r>
      <w:r w:rsidR="002E0E08">
        <w:rPr>
          <w:u w:val="single"/>
          <w:lang w:val="en-US" w:eastAsia="en-US" w:bidi="en-US"/>
        </w:rPr>
        <w:t>XXXXXXXXXXXXXXXXXXXXXXXXXXX</w:t>
      </w:r>
    </w:p>
    <w:p w:rsidR="00B30E06" w:rsidRDefault="006D636F">
      <w:pPr>
        <w:pStyle w:val="Style4"/>
        <w:shd w:val="clear" w:color="auto" w:fill="auto"/>
        <w:tabs>
          <w:tab w:val="left" w:leader="dot" w:pos="1704"/>
          <w:tab w:val="left" w:leader="dot" w:pos="3667"/>
          <w:tab w:val="left" w:pos="6206"/>
        </w:tabs>
        <w:spacing w:after="60" w:line="240" w:lineRule="auto"/>
      </w:pPr>
      <w:r>
        <w:t>V</w:t>
      </w:r>
      <w:r>
        <w:tab/>
        <w:t>dne</w:t>
      </w:r>
      <w:r>
        <w:tab/>
      </w:r>
      <w:r>
        <w:tab/>
        <w:t xml:space="preserve">V Nymburce dne </w:t>
      </w:r>
      <w:bookmarkStart w:id="40" w:name="_GoBack"/>
      <w:bookmarkEnd w:id="40"/>
    </w:p>
    <w:p w:rsidR="00B30E06" w:rsidRDefault="00B30E06">
      <w:pPr>
        <w:pStyle w:val="Style6"/>
        <w:keepNext/>
        <w:keepLines/>
        <w:shd w:val="clear" w:color="auto" w:fill="auto"/>
        <w:tabs>
          <w:tab w:val="left" w:leader="dot" w:pos="3701"/>
          <w:tab w:val="left" w:pos="7584"/>
        </w:tabs>
        <w:spacing w:after="60"/>
        <w:ind w:right="1900"/>
        <w:jc w:val="right"/>
        <w:rPr>
          <w:w w:val="60"/>
        </w:rPr>
      </w:pPr>
    </w:p>
    <w:p w:rsidR="00C76183" w:rsidRDefault="00C76183">
      <w:pPr>
        <w:pStyle w:val="Style6"/>
        <w:keepNext/>
        <w:keepLines/>
        <w:shd w:val="clear" w:color="auto" w:fill="auto"/>
        <w:tabs>
          <w:tab w:val="left" w:leader="dot" w:pos="3701"/>
          <w:tab w:val="left" w:pos="7584"/>
        </w:tabs>
        <w:spacing w:after="60"/>
        <w:ind w:right="1900"/>
        <w:jc w:val="right"/>
        <w:rPr>
          <w:w w:val="60"/>
        </w:rPr>
      </w:pPr>
    </w:p>
    <w:p w:rsidR="00C76183" w:rsidRDefault="00C76183">
      <w:pPr>
        <w:pStyle w:val="Style6"/>
        <w:keepNext/>
        <w:keepLines/>
        <w:shd w:val="clear" w:color="auto" w:fill="auto"/>
        <w:tabs>
          <w:tab w:val="left" w:leader="dot" w:pos="3701"/>
          <w:tab w:val="left" w:pos="7584"/>
        </w:tabs>
        <w:spacing w:after="60"/>
        <w:ind w:right="1900"/>
        <w:jc w:val="right"/>
        <w:rPr>
          <w:w w:val="60"/>
        </w:rPr>
      </w:pPr>
    </w:p>
    <w:p w:rsidR="00C76183" w:rsidRDefault="00C76183">
      <w:pPr>
        <w:pStyle w:val="Style6"/>
        <w:keepNext/>
        <w:keepLines/>
        <w:shd w:val="clear" w:color="auto" w:fill="auto"/>
        <w:tabs>
          <w:tab w:val="left" w:leader="dot" w:pos="3701"/>
          <w:tab w:val="left" w:pos="7584"/>
        </w:tabs>
        <w:spacing w:after="60"/>
        <w:ind w:right="1900"/>
        <w:jc w:val="right"/>
        <w:rPr>
          <w:sz w:val="22"/>
          <w:szCs w:val="22"/>
        </w:rPr>
      </w:pPr>
    </w:p>
    <w:p w:rsidR="00B30E06" w:rsidRDefault="006D636F">
      <w:pPr>
        <w:pStyle w:val="Style4"/>
        <w:shd w:val="clear" w:color="auto" w:fill="auto"/>
        <w:spacing w:line="240" w:lineRule="auto"/>
        <w:ind w:left="5840"/>
      </w:pPr>
      <w:r>
        <w:rPr>
          <w:noProof/>
        </w:rPr>
        <mc:AlternateContent>
          <mc:Choice Requires="wps">
            <w:drawing>
              <wp:anchor distT="0" distB="0" distL="114300" distR="114300" simplePos="0" relativeHeight="125829380" behindDoc="0" locked="0" layoutInCell="1" allowOverlap="1">
                <wp:simplePos x="0" y="0"/>
                <wp:positionH relativeFrom="page">
                  <wp:posOffset>532765</wp:posOffset>
                </wp:positionH>
                <wp:positionV relativeFrom="paragraph">
                  <wp:posOffset>12700</wp:posOffset>
                </wp:positionV>
                <wp:extent cx="545465" cy="1460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45465" cy="146050"/>
                        </a:xfrm>
                        <a:prstGeom prst="rect">
                          <a:avLst/>
                        </a:prstGeom>
                        <a:noFill/>
                      </wps:spPr>
                      <wps:txbx>
                        <w:txbxContent>
                          <w:p w:rsidR="00B30E06" w:rsidRDefault="006D636F">
                            <w:pPr>
                              <w:pStyle w:val="Style4"/>
                              <w:shd w:val="clear" w:color="auto" w:fill="auto"/>
                              <w:spacing w:line="240" w:lineRule="auto"/>
                            </w:pPr>
                            <w:r>
                              <w:t>Odběratel</w:t>
                            </w:r>
                          </w:p>
                        </w:txbxContent>
                      </wps:txbx>
                      <wps:bodyPr wrap="none" lIns="0" tIns="0" rIns="0" bIns="0"/>
                    </wps:wsp>
                  </a:graphicData>
                </a:graphic>
              </wp:anchor>
            </w:drawing>
          </mc:Choice>
          <mc:Fallback>
            <w:pict>
              <v:shape id="Shape 3" o:spid="_x0000_s1027" type="#_x0000_t202" style="position:absolute;left:0;text-align:left;margin-left:41.95pt;margin-top:1pt;width:42.95pt;height:11.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" filled="f" stroked="f">
                <v:textbox inset="0,0,0,0">
                  <w:txbxContent>
                    <w:p w:rsidR="00B30E06" w:rsidRDefault="006D636F">
                      <w:pPr>
                        <w:pStyle w:val="Style4"/>
                        <w:shd w:val="clear" w:color="auto" w:fill="auto"/>
                        <w:spacing w:line="240" w:lineRule="auto"/>
                      </w:pPr>
                      <w:r>
                        <w:t>Odběratel</w:t>
                      </w:r>
                    </w:p>
                  </w:txbxContent>
                </v:textbox>
                <w10:wrap type="square" side="right" anchorx="page"/>
              </v:shape>
            </w:pict>
          </mc:Fallback>
        </mc:AlternateContent>
      </w:r>
      <w:r>
        <w:t>Provozovatel</w:t>
      </w:r>
    </w:p>
    <w:sectPr w:rsidR="00B30E06">
      <w:pgSz w:w="11962" w:h="16872"/>
      <w:pgMar w:top="282" w:right="657" w:bottom="79" w:left="5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B6" w:rsidRDefault="00CF45B6">
      <w:r>
        <w:separator/>
      </w:r>
    </w:p>
  </w:endnote>
  <w:endnote w:type="continuationSeparator" w:id="0">
    <w:p w:rsidR="00CF45B6" w:rsidRDefault="00CF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B6" w:rsidRDefault="00CF45B6"/>
  </w:footnote>
  <w:footnote w:type="continuationSeparator" w:id="0">
    <w:p w:rsidR="00CF45B6" w:rsidRDefault="00CF45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51A"/>
    <w:multiLevelType w:val="multilevel"/>
    <w:tmpl w:val="C3DC72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409A8"/>
    <w:multiLevelType w:val="multilevel"/>
    <w:tmpl w:val="5A3E80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591A8B"/>
    <w:multiLevelType w:val="multilevel"/>
    <w:tmpl w:val="DE9A3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913F85"/>
    <w:multiLevelType w:val="multilevel"/>
    <w:tmpl w:val="3B7215DA"/>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D437E0"/>
    <w:multiLevelType w:val="multilevel"/>
    <w:tmpl w:val="BA90AFDE"/>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D403A1"/>
    <w:multiLevelType w:val="multilevel"/>
    <w:tmpl w:val="A84851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75A0"/>
    <w:multiLevelType w:val="multilevel"/>
    <w:tmpl w:val="84C85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DB5FC1"/>
    <w:multiLevelType w:val="multilevel"/>
    <w:tmpl w:val="76D41B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A3DED"/>
    <w:multiLevelType w:val="multilevel"/>
    <w:tmpl w:val="D66ED0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EF08CD"/>
    <w:multiLevelType w:val="multilevel"/>
    <w:tmpl w:val="756E6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771FC7"/>
    <w:multiLevelType w:val="multilevel"/>
    <w:tmpl w:val="9EACAA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8E5032"/>
    <w:multiLevelType w:val="multilevel"/>
    <w:tmpl w:val="CD70DCC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9"/>
  </w:num>
  <w:num w:numId="4">
    <w:abstractNumId w:val="1"/>
  </w:num>
  <w:num w:numId="5">
    <w:abstractNumId w:val="10"/>
  </w:num>
  <w:num w:numId="6">
    <w:abstractNumId w:val="8"/>
  </w:num>
  <w:num w:numId="7">
    <w:abstractNumId w:val="3"/>
  </w:num>
  <w:num w:numId="8">
    <w:abstractNumId w:val="7"/>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06"/>
    <w:rsid w:val="002E0E08"/>
    <w:rsid w:val="006D636F"/>
    <w:rsid w:val="00B30E06"/>
    <w:rsid w:val="00C613AD"/>
    <w:rsid w:val="00C76183"/>
    <w:rsid w:val="00CF45B6"/>
    <w:rsid w:val="00D53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A64A"/>
  <w15:docId w15:val="{61D97116-1E3B-4C04-939E-7BB447E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6"/>
      <w:szCs w:val="16"/>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8"/>
      <w:szCs w:val="18"/>
      <w:u w:val="none"/>
    </w:rPr>
  </w:style>
  <w:style w:type="character" w:customStyle="1" w:styleId="CharStyle7">
    <w:name w:val="Char Style 7"/>
    <w:basedOn w:val="Standardnpsmoodstavce"/>
    <w:link w:val="Style6"/>
    <w:rPr>
      <w:rFonts w:ascii="Arial" w:eastAsia="Arial" w:hAnsi="Arial" w:cs="Arial"/>
      <w:b/>
      <w:bCs/>
      <w:i w:val="0"/>
      <w:iCs w:val="0"/>
      <w:smallCaps w:val="0"/>
      <w:strike w:val="0"/>
      <w:u w:val="none"/>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6"/>
      <w:szCs w:val="16"/>
      <w:u w:val="none"/>
    </w:rPr>
  </w:style>
  <w:style w:type="character" w:customStyle="1" w:styleId="CharStyle12">
    <w:name w:val="Char Style 12"/>
    <w:basedOn w:val="Standardnpsmoodstavce"/>
    <w:link w:val="Style11"/>
    <w:rPr>
      <w:rFonts w:ascii="Arial" w:eastAsia="Arial" w:hAnsi="Arial" w:cs="Arial"/>
      <w:b/>
      <w:bCs/>
      <w:i w:val="0"/>
      <w:iCs w:val="0"/>
      <w:smallCaps w:val="0"/>
      <w:strike w:val="0"/>
      <w:sz w:val="20"/>
      <w:szCs w:val="20"/>
      <w:u w:val="none"/>
    </w:rPr>
  </w:style>
  <w:style w:type="character" w:customStyle="1" w:styleId="CharStyle16">
    <w:name w:val="Char Style 16"/>
    <w:basedOn w:val="Standardnpsmoodstavce"/>
    <w:link w:val="Style15"/>
    <w:rPr>
      <w:rFonts w:ascii="Arial" w:eastAsia="Arial" w:hAnsi="Arial" w:cs="Arial"/>
      <w:b w:val="0"/>
      <w:bCs w:val="0"/>
      <w:i w:val="0"/>
      <w:iCs w:val="0"/>
      <w:smallCaps w:val="0"/>
      <w:strike w:val="0"/>
      <w:sz w:val="18"/>
      <w:szCs w:val="18"/>
      <w:u w:val="none"/>
    </w:rPr>
  </w:style>
  <w:style w:type="character" w:customStyle="1" w:styleId="CharStyle19">
    <w:name w:val="Char Style 19"/>
    <w:basedOn w:val="Standardnpsmoodstavce"/>
    <w:link w:val="Style18"/>
    <w:rPr>
      <w:rFonts w:ascii="Arial" w:eastAsia="Arial" w:hAnsi="Arial" w:cs="Arial"/>
      <w:b/>
      <w:bCs/>
      <w:i w:val="0"/>
      <w:iCs w:val="0"/>
      <w:smallCaps w:val="0"/>
      <w:strike w:val="0"/>
      <w:sz w:val="19"/>
      <w:szCs w:val="19"/>
      <w:u w:val="non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3"/>
      <w:szCs w:val="13"/>
      <w:u w:val="none"/>
    </w:rPr>
  </w:style>
  <w:style w:type="paragraph" w:customStyle="1" w:styleId="Style2">
    <w:name w:val="Style 2"/>
    <w:basedOn w:val="Normln"/>
    <w:link w:val="CharStyle3"/>
    <w:pPr>
      <w:shd w:val="clear" w:color="auto" w:fill="FFFFFF"/>
      <w:spacing w:line="286" w:lineRule="auto"/>
    </w:pPr>
    <w:rPr>
      <w:rFonts w:ascii="Arial" w:eastAsia="Arial" w:hAnsi="Arial" w:cs="Arial"/>
      <w:sz w:val="16"/>
      <w:szCs w:val="16"/>
    </w:rPr>
  </w:style>
  <w:style w:type="paragraph" w:customStyle="1" w:styleId="Style4">
    <w:name w:val="Style 4"/>
    <w:basedOn w:val="Normln"/>
    <w:link w:val="CharStyle5"/>
    <w:pPr>
      <w:shd w:val="clear" w:color="auto" w:fill="FFFFFF"/>
      <w:spacing w:line="276" w:lineRule="auto"/>
    </w:pPr>
    <w:rPr>
      <w:rFonts w:ascii="Arial" w:eastAsia="Arial" w:hAnsi="Arial" w:cs="Arial"/>
      <w:sz w:val="18"/>
      <w:szCs w:val="18"/>
    </w:rPr>
  </w:style>
  <w:style w:type="paragraph" w:customStyle="1" w:styleId="Style6">
    <w:name w:val="Style 6"/>
    <w:basedOn w:val="Normln"/>
    <w:link w:val="CharStyle7"/>
    <w:pPr>
      <w:shd w:val="clear" w:color="auto" w:fill="FFFFFF"/>
      <w:spacing w:after="50"/>
      <w:ind w:right="950"/>
      <w:jc w:val="center"/>
      <w:outlineLvl w:val="0"/>
    </w:pPr>
    <w:rPr>
      <w:rFonts w:ascii="Arial" w:eastAsia="Arial" w:hAnsi="Arial" w:cs="Arial"/>
      <w:b/>
      <w:bCs/>
    </w:rPr>
  </w:style>
  <w:style w:type="paragraph" w:customStyle="1" w:styleId="Style8">
    <w:name w:val="Style 8"/>
    <w:basedOn w:val="Normln"/>
    <w:link w:val="CharStyle9"/>
    <w:pPr>
      <w:shd w:val="clear" w:color="auto" w:fill="FFFFFF"/>
      <w:spacing w:line="286" w:lineRule="auto"/>
    </w:pPr>
    <w:rPr>
      <w:rFonts w:ascii="Arial" w:eastAsia="Arial" w:hAnsi="Arial" w:cs="Arial"/>
      <w:sz w:val="16"/>
      <w:szCs w:val="16"/>
    </w:rPr>
  </w:style>
  <w:style w:type="paragraph" w:customStyle="1" w:styleId="Style11">
    <w:name w:val="Style 11"/>
    <w:basedOn w:val="Normln"/>
    <w:link w:val="CharStyle12"/>
    <w:pPr>
      <w:shd w:val="clear" w:color="auto" w:fill="FFFFFF"/>
      <w:spacing w:line="276" w:lineRule="auto"/>
    </w:pPr>
    <w:rPr>
      <w:rFonts w:ascii="Arial" w:eastAsia="Arial" w:hAnsi="Arial" w:cs="Arial"/>
      <w:b/>
      <w:bCs/>
      <w:sz w:val="20"/>
      <w:szCs w:val="20"/>
    </w:rPr>
  </w:style>
  <w:style w:type="paragraph" w:customStyle="1" w:styleId="Style15">
    <w:name w:val="Style 15"/>
    <w:basedOn w:val="Normln"/>
    <w:link w:val="CharStyle16"/>
    <w:pPr>
      <w:shd w:val="clear" w:color="auto" w:fill="FFFFFF"/>
      <w:spacing w:line="290" w:lineRule="auto"/>
    </w:pPr>
    <w:rPr>
      <w:rFonts w:ascii="Arial" w:eastAsia="Arial" w:hAnsi="Arial" w:cs="Arial"/>
      <w:sz w:val="18"/>
      <w:szCs w:val="18"/>
    </w:rPr>
  </w:style>
  <w:style w:type="paragraph" w:customStyle="1" w:styleId="Style18">
    <w:name w:val="Style 18"/>
    <w:basedOn w:val="Normln"/>
    <w:link w:val="CharStyle19"/>
    <w:pPr>
      <w:shd w:val="clear" w:color="auto" w:fill="FFFFFF"/>
      <w:outlineLvl w:val="1"/>
    </w:pPr>
    <w:rPr>
      <w:rFonts w:ascii="Arial" w:eastAsia="Arial" w:hAnsi="Arial" w:cs="Arial"/>
      <w:b/>
      <w:bCs/>
      <w:sz w:val="19"/>
      <w:szCs w:val="19"/>
    </w:rPr>
  </w:style>
  <w:style w:type="paragraph" w:customStyle="1" w:styleId="Style21">
    <w:name w:val="Style 21"/>
    <w:basedOn w:val="Normln"/>
    <w:link w:val="CharStyle22"/>
    <w:pPr>
      <w:shd w:val="clear" w:color="auto" w:fill="FFFFFF"/>
      <w:spacing w:line="317" w:lineRule="auto"/>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4624</Words>
  <Characters>27288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Kristýna Kofroňová</cp:lastModifiedBy>
  <cp:revision>4</cp:revision>
  <dcterms:created xsi:type="dcterms:W3CDTF">2020-10-05T10:37:00Z</dcterms:created>
  <dcterms:modified xsi:type="dcterms:W3CDTF">2020-10-06T11:19:00Z</dcterms:modified>
</cp:coreProperties>
</file>