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19C" w:rsidRDefault="00E140D0">
      <w:pPr>
        <w:pStyle w:val="Style2"/>
        <w:keepNext/>
        <w:keepLines/>
        <w:shd w:val="clear" w:color="auto" w:fill="auto"/>
      </w:pPr>
      <w:bookmarkStart w:id="0" w:name="bookmark0"/>
      <w:bookmarkStart w:id="1" w:name="bookmark1"/>
      <w:bookmarkStart w:id="2" w:name="bookmark2"/>
      <w:r>
        <w:t>Závěrkový list č. EL-20200630-1879-2</w:t>
      </w:r>
      <w:bookmarkEnd w:id="0"/>
      <w:bookmarkEnd w:id="1"/>
      <w:bookmarkEnd w:id="2"/>
    </w:p>
    <w:p w:rsidR="00E7419C" w:rsidRDefault="00E140D0">
      <w:pPr>
        <w:pStyle w:val="Style8"/>
        <w:shd w:val="clear" w:color="auto" w:fill="auto"/>
        <w:spacing w:line="240" w:lineRule="auto"/>
        <w:jc w:val="center"/>
      </w:pPr>
      <w:r>
        <w:t>(pro burzovní obchody se silovou elektřinou v rámci sdružených služeb dodávky elektřiny)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5942"/>
      </w:tblGrid>
      <w:tr w:rsidR="00E7419C">
        <w:tblPrEx>
          <w:tblCellMar>
            <w:top w:w="0" w:type="dxa"/>
            <w:bottom w:w="0" w:type="dxa"/>
          </w:tblCellMar>
        </w:tblPrEx>
        <w:trPr>
          <w:trHeight w:hRule="exact" w:val="355"/>
          <w:jc w:val="center"/>
        </w:trPr>
        <w:tc>
          <w:tcPr>
            <w:tcW w:w="2842" w:type="dxa"/>
            <w:shd w:val="clear" w:color="auto" w:fill="FFFFFF"/>
          </w:tcPr>
          <w:p w:rsidR="00E7419C" w:rsidRDefault="00E140D0">
            <w:pPr>
              <w:pStyle w:val="Style10"/>
              <w:shd w:val="clear" w:color="auto" w:fill="auto"/>
              <w:spacing w:after="0" w:line="240" w:lineRule="auto"/>
            </w:pPr>
            <w:r>
              <w:t>Číslo aukce; 1879</w:t>
            </w:r>
          </w:p>
        </w:tc>
        <w:tc>
          <w:tcPr>
            <w:tcW w:w="5942" w:type="dxa"/>
            <w:shd w:val="clear" w:color="auto" w:fill="FFFFFF"/>
          </w:tcPr>
          <w:p w:rsidR="00E7419C" w:rsidRDefault="00E140D0">
            <w:pPr>
              <w:pStyle w:val="Style10"/>
              <w:shd w:val="clear" w:color="auto" w:fill="auto"/>
              <w:spacing w:after="0" w:line="240" w:lineRule="auto"/>
              <w:ind w:left="1360"/>
            </w:pPr>
            <w:r>
              <w:t>Datum konání burzovního shromáždění: 30. června 2020</w:t>
            </w:r>
          </w:p>
        </w:tc>
      </w:tr>
      <w:tr w:rsidR="00E7419C">
        <w:tblPrEx>
          <w:tblCellMar>
            <w:top w:w="0" w:type="dxa"/>
            <w:bottom w:w="0" w:type="dxa"/>
          </w:tblCellMar>
        </w:tblPrEx>
        <w:trPr>
          <w:trHeight w:hRule="exact" w:val="442"/>
          <w:jc w:val="center"/>
        </w:trPr>
        <w:tc>
          <w:tcPr>
            <w:tcW w:w="2842" w:type="dxa"/>
            <w:shd w:val="clear" w:color="auto" w:fill="FFFFFF"/>
            <w:vAlign w:val="center"/>
          </w:tcPr>
          <w:p w:rsidR="00E7419C" w:rsidRDefault="00E140D0">
            <w:pPr>
              <w:pStyle w:val="Style10"/>
              <w:shd w:val="clear" w:color="auto" w:fill="auto"/>
              <w:spacing w:after="0" w:line="240" w:lineRule="auto"/>
            </w:pPr>
            <w:r>
              <w:rPr>
                <w:b/>
                <w:bCs/>
              </w:rPr>
              <w:t>Dodavatel (prodávající);</w:t>
            </w:r>
          </w:p>
        </w:tc>
        <w:tc>
          <w:tcPr>
            <w:tcW w:w="5942" w:type="dxa"/>
            <w:shd w:val="clear" w:color="auto" w:fill="FFFFFF"/>
            <w:vAlign w:val="center"/>
          </w:tcPr>
          <w:p w:rsidR="00E7419C" w:rsidRDefault="00E140D0">
            <w:pPr>
              <w:pStyle w:val="Style10"/>
              <w:shd w:val="clear" w:color="auto" w:fill="auto"/>
              <w:spacing w:after="0" w:line="240" w:lineRule="auto"/>
              <w:ind w:firstLine="680"/>
            </w:pPr>
            <w:r>
              <w:t xml:space="preserve">EP ENERGY </w:t>
            </w:r>
            <w:r>
              <w:rPr>
                <w:lang w:val="en-US" w:eastAsia="en-US" w:bidi="en-US"/>
              </w:rPr>
              <w:t xml:space="preserve">TRADING, </w:t>
            </w:r>
            <w:r>
              <w:t>a.s.</w:t>
            </w:r>
          </w:p>
        </w:tc>
      </w:tr>
      <w:tr w:rsidR="00E7419C">
        <w:tblPrEx>
          <w:tblCellMar>
            <w:top w:w="0" w:type="dxa"/>
            <w:bottom w:w="0" w:type="dxa"/>
          </w:tblCellMar>
        </w:tblPrEx>
        <w:trPr>
          <w:trHeight w:hRule="exact" w:val="331"/>
          <w:jc w:val="center"/>
        </w:trPr>
        <w:tc>
          <w:tcPr>
            <w:tcW w:w="2842" w:type="dxa"/>
            <w:shd w:val="clear" w:color="auto" w:fill="FFFFFF"/>
            <w:vAlign w:val="bottom"/>
          </w:tcPr>
          <w:p w:rsidR="00E7419C" w:rsidRDefault="00E140D0">
            <w:pPr>
              <w:pStyle w:val="Style10"/>
              <w:shd w:val="clear" w:color="auto" w:fill="auto"/>
              <w:spacing w:after="0" w:line="240" w:lineRule="auto"/>
            </w:pPr>
            <w:r>
              <w:t>Zapsán v:</w:t>
            </w:r>
          </w:p>
        </w:tc>
        <w:tc>
          <w:tcPr>
            <w:tcW w:w="5942" w:type="dxa"/>
            <w:shd w:val="clear" w:color="auto" w:fill="FFFFFF"/>
            <w:vAlign w:val="bottom"/>
          </w:tcPr>
          <w:p w:rsidR="00E7419C" w:rsidRDefault="00E140D0">
            <w:pPr>
              <w:pStyle w:val="Style10"/>
              <w:shd w:val="clear" w:color="auto" w:fill="auto"/>
              <w:spacing w:after="0" w:line="240" w:lineRule="auto"/>
              <w:ind w:firstLine="680"/>
            </w:pPr>
            <w:r>
              <w:rPr>
                <w:lang w:val="en-US" w:eastAsia="en-US" w:bidi="en-US"/>
              </w:rPr>
              <w:t xml:space="preserve">OR </w:t>
            </w:r>
            <w:r>
              <w:t>vedeném Městským soudem v Praze, oddíl B, vložka 10233</w:t>
            </w:r>
          </w:p>
        </w:tc>
      </w:tr>
      <w:tr w:rsidR="00E7419C">
        <w:tblPrEx>
          <w:tblCellMar>
            <w:top w:w="0" w:type="dxa"/>
            <w:bottom w:w="0" w:type="dxa"/>
          </w:tblCellMar>
        </w:tblPrEx>
        <w:trPr>
          <w:trHeight w:hRule="exact" w:val="202"/>
          <w:jc w:val="center"/>
        </w:trPr>
        <w:tc>
          <w:tcPr>
            <w:tcW w:w="2842" w:type="dxa"/>
            <w:shd w:val="clear" w:color="auto" w:fill="FFFFFF"/>
            <w:vAlign w:val="bottom"/>
          </w:tcPr>
          <w:p w:rsidR="00E7419C" w:rsidRDefault="00E140D0">
            <w:pPr>
              <w:pStyle w:val="Style10"/>
              <w:shd w:val="clear" w:color="auto" w:fill="auto"/>
              <w:spacing w:after="0" w:line="240" w:lineRule="auto"/>
            </w:pPr>
            <w:r>
              <w:t>Sídlo:</w:t>
            </w:r>
          </w:p>
        </w:tc>
        <w:tc>
          <w:tcPr>
            <w:tcW w:w="5942" w:type="dxa"/>
            <w:shd w:val="clear" w:color="auto" w:fill="FFFFFF"/>
            <w:vAlign w:val="bottom"/>
          </w:tcPr>
          <w:p w:rsidR="00E7419C" w:rsidRDefault="00E140D0">
            <w:pPr>
              <w:pStyle w:val="Style10"/>
              <w:shd w:val="clear" w:color="auto" w:fill="auto"/>
              <w:spacing w:after="0" w:line="240" w:lineRule="auto"/>
              <w:ind w:firstLine="680"/>
            </w:pPr>
            <w:r>
              <w:t>Klimentská 46, 110 02 Praha 1</w:t>
            </w:r>
          </w:p>
        </w:tc>
      </w:tr>
      <w:tr w:rsidR="00E7419C">
        <w:tblPrEx>
          <w:tblCellMar>
            <w:top w:w="0" w:type="dxa"/>
            <w:bottom w:w="0" w:type="dxa"/>
          </w:tblCellMar>
        </w:tblPrEx>
        <w:trPr>
          <w:trHeight w:hRule="exact" w:val="475"/>
          <w:jc w:val="center"/>
        </w:trPr>
        <w:tc>
          <w:tcPr>
            <w:tcW w:w="2842" w:type="dxa"/>
            <w:shd w:val="clear" w:color="auto" w:fill="FFFFFF"/>
          </w:tcPr>
          <w:p w:rsidR="00E7419C" w:rsidRDefault="00E140D0">
            <w:pPr>
              <w:pStyle w:val="Style10"/>
              <w:shd w:val="clear" w:color="auto" w:fill="auto"/>
              <w:spacing w:after="0" w:line="240" w:lineRule="auto"/>
            </w:pPr>
            <w:r>
              <w:t>IČO: 27386643</w:t>
            </w:r>
          </w:p>
          <w:p w:rsidR="00E7419C" w:rsidRDefault="00E140D0">
            <w:pPr>
              <w:pStyle w:val="Style10"/>
              <w:shd w:val="clear" w:color="auto" w:fill="auto"/>
              <w:spacing w:after="0" w:line="240" w:lineRule="auto"/>
            </w:pPr>
            <w:r>
              <w:t>Bankovní spojení:</w:t>
            </w:r>
          </w:p>
        </w:tc>
        <w:tc>
          <w:tcPr>
            <w:tcW w:w="5942" w:type="dxa"/>
            <w:shd w:val="clear" w:color="auto" w:fill="FFFFFF"/>
          </w:tcPr>
          <w:p w:rsidR="00E7419C" w:rsidRDefault="00E140D0">
            <w:pPr>
              <w:pStyle w:val="Style10"/>
              <w:shd w:val="clear" w:color="auto" w:fill="auto"/>
              <w:spacing w:after="0" w:line="240" w:lineRule="auto"/>
              <w:ind w:firstLine="680"/>
            </w:pPr>
            <w:r>
              <w:t>DIČ: CZ27386643</w:t>
            </w:r>
          </w:p>
          <w:p w:rsidR="00E7419C" w:rsidRDefault="00862131">
            <w:pPr>
              <w:pStyle w:val="Style10"/>
              <w:shd w:val="clear" w:color="auto" w:fill="auto"/>
              <w:spacing w:after="0" w:line="240" w:lineRule="auto"/>
              <w:ind w:firstLine="680"/>
              <w:jc w:val="both"/>
            </w:pPr>
            <w:r>
              <w:t>XXXXXXXXXX</w:t>
            </w:r>
          </w:p>
        </w:tc>
      </w:tr>
    </w:tbl>
    <w:p w:rsidR="00E7419C" w:rsidRDefault="00E140D0">
      <w:pPr>
        <w:pStyle w:val="Style13"/>
        <w:shd w:val="clear" w:color="auto" w:fill="auto"/>
        <w:spacing w:line="240" w:lineRule="auto"/>
        <w:ind w:left="10"/>
        <w:rPr>
          <w:sz w:val="18"/>
          <w:szCs w:val="18"/>
        </w:rPr>
      </w:pPr>
      <w:r>
        <w:rPr>
          <w:sz w:val="18"/>
          <w:szCs w:val="18"/>
        </w:rP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5938"/>
      </w:tblGrid>
      <w:tr w:rsidR="00E7419C">
        <w:tblPrEx>
          <w:tblCellMar>
            <w:top w:w="0" w:type="dxa"/>
            <w:bottom w:w="0" w:type="dxa"/>
          </w:tblCellMar>
        </w:tblPrEx>
        <w:trPr>
          <w:trHeight w:hRule="exact" w:val="235"/>
          <w:jc w:val="center"/>
        </w:trPr>
        <w:tc>
          <w:tcPr>
            <w:tcW w:w="2842" w:type="dxa"/>
            <w:shd w:val="clear" w:color="auto" w:fill="FFFFFF"/>
            <w:vAlign w:val="bottom"/>
          </w:tcPr>
          <w:p w:rsidR="00E7419C" w:rsidRDefault="00E140D0">
            <w:pPr>
              <w:pStyle w:val="Style10"/>
              <w:shd w:val="clear" w:color="auto" w:fill="auto"/>
              <w:spacing w:after="0" w:line="240" w:lineRule="auto"/>
            </w:pPr>
            <w:r>
              <w:t>Jméno a příjmení makléře:</w:t>
            </w:r>
          </w:p>
        </w:tc>
        <w:tc>
          <w:tcPr>
            <w:tcW w:w="5938" w:type="dxa"/>
            <w:shd w:val="clear" w:color="auto" w:fill="FFFFFF"/>
            <w:vAlign w:val="bottom"/>
          </w:tcPr>
          <w:p w:rsidR="00E7419C" w:rsidRDefault="00862131">
            <w:pPr>
              <w:pStyle w:val="Style10"/>
              <w:shd w:val="clear" w:color="auto" w:fill="auto"/>
              <w:spacing w:after="0" w:line="240" w:lineRule="auto"/>
              <w:ind w:firstLine="660"/>
            </w:pPr>
            <w:r>
              <w:t>XXXXXXXXXXXXXX</w:t>
            </w:r>
          </w:p>
        </w:tc>
      </w:tr>
      <w:tr w:rsidR="00E7419C">
        <w:tblPrEx>
          <w:tblCellMar>
            <w:top w:w="0" w:type="dxa"/>
            <w:bottom w:w="0" w:type="dxa"/>
          </w:tblCellMar>
        </w:tblPrEx>
        <w:trPr>
          <w:trHeight w:hRule="exact" w:val="322"/>
          <w:jc w:val="center"/>
        </w:trPr>
        <w:tc>
          <w:tcPr>
            <w:tcW w:w="2842" w:type="dxa"/>
            <w:shd w:val="clear" w:color="auto" w:fill="FFFFFF"/>
          </w:tcPr>
          <w:p w:rsidR="00E7419C" w:rsidRDefault="00E140D0">
            <w:pPr>
              <w:pStyle w:val="Style10"/>
              <w:shd w:val="clear" w:color="auto" w:fill="auto"/>
              <w:spacing w:after="0" w:line="240" w:lineRule="auto"/>
            </w:pPr>
            <w:r>
              <w:t>Evidenční číslo makléře:</w:t>
            </w:r>
          </w:p>
        </w:tc>
        <w:tc>
          <w:tcPr>
            <w:tcW w:w="5938" w:type="dxa"/>
            <w:shd w:val="clear" w:color="auto" w:fill="FFFFFF"/>
          </w:tcPr>
          <w:p w:rsidR="00E7419C" w:rsidRDefault="00E140D0">
            <w:pPr>
              <w:pStyle w:val="Style10"/>
              <w:shd w:val="clear" w:color="auto" w:fill="auto"/>
              <w:spacing w:after="0" w:line="240" w:lineRule="auto"/>
              <w:ind w:firstLine="660"/>
            </w:pPr>
            <w:r>
              <w:t>41039</w:t>
            </w:r>
          </w:p>
        </w:tc>
      </w:tr>
      <w:tr w:rsidR="00E7419C">
        <w:tblPrEx>
          <w:tblCellMar>
            <w:top w:w="0" w:type="dxa"/>
            <w:bottom w:w="0" w:type="dxa"/>
          </w:tblCellMar>
        </w:tblPrEx>
        <w:trPr>
          <w:trHeight w:hRule="exact" w:val="446"/>
          <w:jc w:val="center"/>
        </w:trPr>
        <w:tc>
          <w:tcPr>
            <w:tcW w:w="2842" w:type="dxa"/>
            <w:shd w:val="clear" w:color="auto" w:fill="FFFFFF"/>
            <w:vAlign w:val="center"/>
          </w:tcPr>
          <w:p w:rsidR="00E7419C" w:rsidRDefault="00E140D0">
            <w:pPr>
              <w:pStyle w:val="Style10"/>
              <w:shd w:val="clear" w:color="auto" w:fill="auto"/>
              <w:spacing w:after="0" w:line="240" w:lineRule="auto"/>
            </w:pPr>
            <w:r>
              <w:rPr>
                <w:b/>
                <w:bCs/>
              </w:rPr>
              <w:t>Odběratel (kupující);</w:t>
            </w:r>
          </w:p>
        </w:tc>
        <w:tc>
          <w:tcPr>
            <w:tcW w:w="5938" w:type="dxa"/>
            <w:shd w:val="clear" w:color="auto" w:fill="FFFFFF"/>
            <w:vAlign w:val="center"/>
          </w:tcPr>
          <w:p w:rsidR="00E7419C" w:rsidRDefault="00E140D0">
            <w:pPr>
              <w:pStyle w:val="Style10"/>
              <w:shd w:val="clear" w:color="auto" w:fill="auto"/>
              <w:spacing w:after="0" w:line="240" w:lineRule="auto"/>
              <w:ind w:firstLine="660"/>
            </w:pPr>
            <w:r>
              <w:t>Národní muzeum</w:t>
            </w:r>
          </w:p>
        </w:tc>
      </w:tr>
      <w:tr w:rsidR="00E7419C">
        <w:tblPrEx>
          <w:tblCellMar>
            <w:top w:w="0" w:type="dxa"/>
            <w:bottom w:w="0" w:type="dxa"/>
          </w:tblCellMar>
        </w:tblPrEx>
        <w:trPr>
          <w:trHeight w:hRule="exact" w:val="341"/>
          <w:jc w:val="center"/>
        </w:trPr>
        <w:tc>
          <w:tcPr>
            <w:tcW w:w="2842" w:type="dxa"/>
            <w:shd w:val="clear" w:color="auto" w:fill="FFFFFF"/>
            <w:vAlign w:val="bottom"/>
          </w:tcPr>
          <w:p w:rsidR="00E7419C" w:rsidRDefault="00E140D0">
            <w:pPr>
              <w:pStyle w:val="Style10"/>
              <w:shd w:val="clear" w:color="auto" w:fill="auto"/>
              <w:spacing w:after="0" w:line="240" w:lineRule="auto"/>
            </w:pPr>
            <w:r>
              <w:t>Zapsán v:</w:t>
            </w:r>
          </w:p>
        </w:tc>
        <w:tc>
          <w:tcPr>
            <w:tcW w:w="5938" w:type="dxa"/>
            <w:shd w:val="clear" w:color="auto" w:fill="FFFFFF"/>
            <w:vAlign w:val="bottom"/>
          </w:tcPr>
          <w:p w:rsidR="00E7419C" w:rsidRDefault="00E140D0">
            <w:pPr>
              <w:pStyle w:val="Style10"/>
              <w:shd w:val="clear" w:color="auto" w:fill="auto"/>
              <w:spacing w:after="0" w:line="240" w:lineRule="auto"/>
              <w:ind w:firstLine="660"/>
            </w:pPr>
            <w:r>
              <w:t>Registru ekonomických subjektů</w:t>
            </w:r>
          </w:p>
        </w:tc>
      </w:tr>
      <w:tr w:rsidR="00E7419C">
        <w:tblPrEx>
          <w:tblCellMar>
            <w:top w:w="0" w:type="dxa"/>
            <w:bottom w:w="0" w:type="dxa"/>
          </w:tblCellMar>
        </w:tblPrEx>
        <w:trPr>
          <w:trHeight w:hRule="exact" w:val="202"/>
          <w:jc w:val="center"/>
        </w:trPr>
        <w:tc>
          <w:tcPr>
            <w:tcW w:w="2842" w:type="dxa"/>
            <w:shd w:val="clear" w:color="auto" w:fill="FFFFFF"/>
          </w:tcPr>
          <w:p w:rsidR="00E7419C" w:rsidRDefault="00E140D0">
            <w:pPr>
              <w:pStyle w:val="Style10"/>
              <w:shd w:val="clear" w:color="auto" w:fill="auto"/>
              <w:spacing w:after="0" w:line="240" w:lineRule="auto"/>
            </w:pPr>
            <w:r>
              <w:t>Sídlo:</w:t>
            </w:r>
          </w:p>
        </w:tc>
        <w:tc>
          <w:tcPr>
            <w:tcW w:w="5938" w:type="dxa"/>
            <w:shd w:val="clear" w:color="auto" w:fill="FFFFFF"/>
          </w:tcPr>
          <w:p w:rsidR="00E7419C" w:rsidRDefault="00E140D0">
            <w:pPr>
              <w:pStyle w:val="Style10"/>
              <w:shd w:val="clear" w:color="auto" w:fill="auto"/>
              <w:spacing w:after="0" w:line="240" w:lineRule="auto"/>
              <w:ind w:firstLine="660"/>
            </w:pPr>
            <w:r>
              <w:t>Václavské náměstí 1700/68, 11579 Praha 1</w:t>
            </w:r>
          </w:p>
        </w:tc>
      </w:tr>
      <w:tr w:rsidR="00E7419C">
        <w:tblPrEx>
          <w:tblCellMar>
            <w:top w:w="0" w:type="dxa"/>
            <w:bottom w:w="0" w:type="dxa"/>
          </w:tblCellMar>
        </w:tblPrEx>
        <w:trPr>
          <w:trHeight w:hRule="exact" w:val="470"/>
          <w:jc w:val="center"/>
        </w:trPr>
        <w:tc>
          <w:tcPr>
            <w:tcW w:w="2842" w:type="dxa"/>
            <w:shd w:val="clear" w:color="auto" w:fill="FFFFFF"/>
          </w:tcPr>
          <w:p w:rsidR="00E7419C" w:rsidRDefault="00E140D0">
            <w:pPr>
              <w:pStyle w:val="Style10"/>
              <w:shd w:val="clear" w:color="auto" w:fill="auto"/>
              <w:spacing w:after="0" w:line="240" w:lineRule="auto"/>
            </w:pPr>
            <w:r>
              <w:t>IČO: 00023272</w:t>
            </w:r>
          </w:p>
          <w:p w:rsidR="00E7419C" w:rsidRDefault="00E140D0">
            <w:pPr>
              <w:pStyle w:val="Style10"/>
              <w:shd w:val="clear" w:color="auto" w:fill="auto"/>
              <w:spacing w:after="0" w:line="240" w:lineRule="auto"/>
            </w:pPr>
            <w:r>
              <w:t>Bankovní spojení:</w:t>
            </w:r>
          </w:p>
        </w:tc>
        <w:tc>
          <w:tcPr>
            <w:tcW w:w="5938" w:type="dxa"/>
            <w:shd w:val="clear" w:color="auto" w:fill="FFFFFF"/>
          </w:tcPr>
          <w:p w:rsidR="00E7419C" w:rsidRDefault="00E140D0">
            <w:pPr>
              <w:pStyle w:val="Style10"/>
              <w:shd w:val="clear" w:color="auto" w:fill="auto"/>
              <w:spacing w:after="0" w:line="262" w:lineRule="auto"/>
              <w:ind w:left="660" w:firstLine="20"/>
            </w:pPr>
            <w:r>
              <w:t>DIČ: CZ00023272 6331011/0710</w:t>
            </w:r>
          </w:p>
        </w:tc>
      </w:tr>
    </w:tbl>
    <w:p w:rsidR="00E7419C" w:rsidRDefault="00E140D0">
      <w:pPr>
        <w:pStyle w:val="Style13"/>
        <w:shd w:val="clear" w:color="auto" w:fill="auto"/>
        <w:spacing w:line="240" w:lineRule="auto"/>
        <w:rPr>
          <w:sz w:val="18"/>
          <w:szCs w:val="18"/>
        </w:rPr>
      </w:pPr>
      <w:r>
        <w:rPr>
          <w:sz w:val="18"/>
          <w:szCs w:val="18"/>
        </w:rP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5938"/>
      </w:tblGrid>
      <w:tr w:rsidR="00E7419C">
        <w:tblPrEx>
          <w:tblCellMar>
            <w:top w:w="0" w:type="dxa"/>
            <w:bottom w:w="0" w:type="dxa"/>
          </w:tblCellMar>
        </w:tblPrEx>
        <w:trPr>
          <w:trHeight w:hRule="exact" w:val="245"/>
          <w:jc w:val="center"/>
        </w:trPr>
        <w:tc>
          <w:tcPr>
            <w:tcW w:w="2842" w:type="dxa"/>
            <w:shd w:val="clear" w:color="auto" w:fill="FFFFFF"/>
            <w:vAlign w:val="bottom"/>
          </w:tcPr>
          <w:p w:rsidR="00E7419C" w:rsidRDefault="00E140D0">
            <w:pPr>
              <w:pStyle w:val="Style10"/>
              <w:shd w:val="clear" w:color="auto" w:fill="auto"/>
              <w:spacing w:after="0" w:line="240" w:lineRule="auto"/>
            </w:pPr>
            <w:r>
              <w:t>Jméno a příjmení makléře:</w:t>
            </w:r>
          </w:p>
        </w:tc>
        <w:tc>
          <w:tcPr>
            <w:tcW w:w="5938" w:type="dxa"/>
            <w:shd w:val="clear" w:color="auto" w:fill="FFFFFF"/>
            <w:vAlign w:val="bottom"/>
          </w:tcPr>
          <w:p w:rsidR="00E7419C" w:rsidRDefault="00862131">
            <w:pPr>
              <w:pStyle w:val="Style10"/>
              <w:shd w:val="clear" w:color="auto" w:fill="auto"/>
              <w:spacing w:after="0" w:line="240" w:lineRule="auto"/>
              <w:ind w:firstLine="660"/>
            </w:pPr>
            <w:r>
              <w:t>XXXXXXXXXXXXXXXXX</w:t>
            </w:r>
          </w:p>
        </w:tc>
      </w:tr>
      <w:tr w:rsidR="00E7419C">
        <w:tblPrEx>
          <w:tblCellMar>
            <w:top w:w="0" w:type="dxa"/>
            <w:bottom w:w="0" w:type="dxa"/>
          </w:tblCellMar>
        </w:tblPrEx>
        <w:trPr>
          <w:trHeight w:hRule="exact" w:val="202"/>
          <w:jc w:val="center"/>
        </w:trPr>
        <w:tc>
          <w:tcPr>
            <w:tcW w:w="2842" w:type="dxa"/>
            <w:shd w:val="clear" w:color="auto" w:fill="FFFFFF"/>
            <w:vAlign w:val="bottom"/>
          </w:tcPr>
          <w:p w:rsidR="00E7419C" w:rsidRDefault="00E140D0">
            <w:pPr>
              <w:pStyle w:val="Style10"/>
              <w:shd w:val="clear" w:color="auto" w:fill="auto"/>
              <w:spacing w:after="0" w:line="240" w:lineRule="auto"/>
            </w:pPr>
            <w:r>
              <w:t>Evidenční číslo makléře:</w:t>
            </w:r>
          </w:p>
        </w:tc>
        <w:tc>
          <w:tcPr>
            <w:tcW w:w="5938" w:type="dxa"/>
            <w:shd w:val="clear" w:color="auto" w:fill="FFFFFF"/>
            <w:vAlign w:val="bottom"/>
          </w:tcPr>
          <w:p w:rsidR="00E7419C" w:rsidRDefault="00E140D0">
            <w:pPr>
              <w:pStyle w:val="Style10"/>
              <w:shd w:val="clear" w:color="auto" w:fill="auto"/>
              <w:spacing w:after="0" w:line="240" w:lineRule="auto"/>
              <w:ind w:firstLine="660"/>
            </w:pPr>
            <w:r>
              <w:t>41019</w:t>
            </w:r>
          </w:p>
        </w:tc>
      </w:tr>
    </w:tbl>
    <w:p w:rsidR="00E7419C" w:rsidRDefault="00E7419C">
      <w:pPr>
        <w:spacing w:after="1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5270"/>
      </w:tblGrid>
      <w:tr w:rsidR="00E7419C">
        <w:tblPrEx>
          <w:tblCellMar>
            <w:top w:w="0" w:type="dxa"/>
            <w:bottom w:w="0" w:type="dxa"/>
          </w:tblCellMar>
        </w:tblPrEx>
        <w:trPr>
          <w:trHeight w:hRule="exact" w:val="552"/>
          <w:jc w:val="center"/>
        </w:trPr>
        <w:tc>
          <w:tcPr>
            <w:tcW w:w="2962" w:type="dxa"/>
            <w:shd w:val="clear" w:color="auto" w:fill="FFFFFF"/>
          </w:tcPr>
          <w:p w:rsidR="00E7419C" w:rsidRDefault="00E140D0">
            <w:pPr>
              <w:pStyle w:val="Style10"/>
              <w:shd w:val="clear" w:color="auto" w:fill="auto"/>
              <w:spacing w:after="0" w:line="240" w:lineRule="auto"/>
            </w:pPr>
            <w:r>
              <w:rPr>
                <w:b/>
                <w:bCs/>
              </w:rPr>
              <w:t>Popis produktu;</w:t>
            </w:r>
          </w:p>
        </w:tc>
        <w:tc>
          <w:tcPr>
            <w:tcW w:w="5270" w:type="dxa"/>
            <w:shd w:val="clear" w:color="auto" w:fill="FFFFFF"/>
          </w:tcPr>
          <w:p w:rsidR="00E7419C" w:rsidRDefault="00E140D0">
            <w:pPr>
              <w:pStyle w:val="Style10"/>
              <w:shd w:val="clear" w:color="auto" w:fill="auto"/>
              <w:spacing w:after="0" w:line="257" w:lineRule="auto"/>
              <w:ind w:left="560"/>
            </w:pPr>
            <w:r>
              <w:rPr>
                <w:b/>
                <w:bCs/>
              </w:rPr>
              <w:t>Dodávka elektřiny v rámci sdružených služeb dodávky elektřiny v napěťové hladině nízkého napětí</w:t>
            </w:r>
          </w:p>
        </w:tc>
      </w:tr>
      <w:tr w:rsidR="00E7419C">
        <w:tblPrEx>
          <w:tblCellMar>
            <w:top w:w="0" w:type="dxa"/>
            <w:bottom w:w="0" w:type="dxa"/>
          </w:tblCellMar>
        </w:tblPrEx>
        <w:trPr>
          <w:trHeight w:hRule="exact" w:val="432"/>
          <w:jc w:val="center"/>
        </w:trPr>
        <w:tc>
          <w:tcPr>
            <w:tcW w:w="2962" w:type="dxa"/>
            <w:shd w:val="clear" w:color="auto" w:fill="FFFFFF"/>
            <w:vAlign w:val="center"/>
          </w:tcPr>
          <w:p w:rsidR="00E7419C" w:rsidRDefault="00E140D0">
            <w:pPr>
              <w:pStyle w:val="Style10"/>
              <w:shd w:val="clear" w:color="auto" w:fill="auto"/>
              <w:spacing w:after="0" w:line="240" w:lineRule="auto"/>
            </w:pPr>
            <w:r>
              <w:rPr>
                <w:b/>
                <w:bCs/>
              </w:rPr>
              <w:t>Počet odběrných míst;</w:t>
            </w:r>
          </w:p>
        </w:tc>
        <w:tc>
          <w:tcPr>
            <w:tcW w:w="5270" w:type="dxa"/>
            <w:shd w:val="clear" w:color="auto" w:fill="FFFFFF"/>
            <w:vAlign w:val="center"/>
          </w:tcPr>
          <w:p w:rsidR="00E7419C" w:rsidRDefault="00E140D0">
            <w:pPr>
              <w:pStyle w:val="Style10"/>
              <w:shd w:val="clear" w:color="auto" w:fill="auto"/>
              <w:spacing w:after="0" w:line="240" w:lineRule="auto"/>
              <w:ind w:firstLine="560"/>
            </w:pPr>
            <w:r>
              <w:rPr>
                <w:b/>
                <w:bCs/>
              </w:rPr>
              <w:t>22</w:t>
            </w:r>
          </w:p>
        </w:tc>
      </w:tr>
      <w:tr w:rsidR="00E7419C">
        <w:tblPrEx>
          <w:tblCellMar>
            <w:top w:w="0" w:type="dxa"/>
            <w:bottom w:w="0" w:type="dxa"/>
          </w:tblCellMar>
        </w:tblPrEx>
        <w:trPr>
          <w:trHeight w:hRule="exact" w:val="432"/>
          <w:jc w:val="center"/>
        </w:trPr>
        <w:tc>
          <w:tcPr>
            <w:tcW w:w="2962" w:type="dxa"/>
            <w:shd w:val="clear" w:color="auto" w:fill="FFFFFF"/>
            <w:vAlign w:val="center"/>
          </w:tcPr>
          <w:p w:rsidR="00E7419C" w:rsidRDefault="00E140D0">
            <w:pPr>
              <w:pStyle w:val="Style10"/>
              <w:shd w:val="clear" w:color="auto" w:fill="auto"/>
              <w:spacing w:after="0" w:line="240" w:lineRule="auto"/>
            </w:pPr>
            <w:r>
              <w:rPr>
                <w:b/>
                <w:bCs/>
              </w:rPr>
              <w:t>Termín dodávky;</w:t>
            </w:r>
          </w:p>
        </w:tc>
        <w:tc>
          <w:tcPr>
            <w:tcW w:w="5270" w:type="dxa"/>
            <w:shd w:val="clear" w:color="auto" w:fill="FFFFFF"/>
            <w:vAlign w:val="center"/>
          </w:tcPr>
          <w:p w:rsidR="00E7419C" w:rsidRDefault="00E140D0">
            <w:pPr>
              <w:pStyle w:val="Style10"/>
              <w:shd w:val="clear" w:color="auto" w:fill="auto"/>
              <w:spacing w:after="0" w:line="240" w:lineRule="auto"/>
              <w:ind w:firstLine="560"/>
            </w:pPr>
            <w:r>
              <w:rPr>
                <w:b/>
                <w:bCs/>
              </w:rPr>
              <w:t>1. 1.2021 -31. 12. 2021</w:t>
            </w:r>
          </w:p>
        </w:tc>
      </w:tr>
      <w:tr w:rsidR="00E7419C">
        <w:tblPrEx>
          <w:tblCellMar>
            <w:top w:w="0" w:type="dxa"/>
            <w:bottom w:w="0" w:type="dxa"/>
          </w:tblCellMar>
        </w:tblPrEx>
        <w:trPr>
          <w:trHeight w:hRule="exact" w:val="346"/>
          <w:jc w:val="center"/>
        </w:trPr>
        <w:tc>
          <w:tcPr>
            <w:tcW w:w="2962" w:type="dxa"/>
            <w:shd w:val="clear" w:color="auto" w:fill="FFFFFF"/>
            <w:vAlign w:val="bottom"/>
          </w:tcPr>
          <w:p w:rsidR="00E7419C" w:rsidRDefault="00E140D0">
            <w:pPr>
              <w:pStyle w:val="Style10"/>
              <w:shd w:val="clear" w:color="auto" w:fill="auto"/>
              <w:spacing w:after="0" w:line="240" w:lineRule="auto"/>
            </w:pPr>
            <w:r>
              <w:rPr>
                <w:b/>
                <w:bCs/>
              </w:rPr>
              <w:t>Celkové množství dodávky;</w:t>
            </w:r>
          </w:p>
        </w:tc>
        <w:tc>
          <w:tcPr>
            <w:tcW w:w="5270" w:type="dxa"/>
            <w:shd w:val="clear" w:color="auto" w:fill="FFFFFF"/>
            <w:vAlign w:val="bottom"/>
          </w:tcPr>
          <w:p w:rsidR="00E7419C" w:rsidRDefault="00E140D0">
            <w:pPr>
              <w:pStyle w:val="Style10"/>
              <w:shd w:val="clear" w:color="auto" w:fill="auto"/>
              <w:spacing w:after="0" w:line="240" w:lineRule="auto"/>
              <w:ind w:left="1420"/>
            </w:pPr>
            <w:r>
              <w:rPr>
                <w:b/>
                <w:bCs/>
              </w:rPr>
              <w:t xml:space="preserve">857 </w:t>
            </w:r>
            <w:proofErr w:type="spellStart"/>
            <w:r>
              <w:rPr>
                <w:b/>
                <w:bCs/>
              </w:rPr>
              <w:t>MWh</w:t>
            </w:r>
            <w:proofErr w:type="spellEnd"/>
          </w:p>
        </w:tc>
      </w:tr>
    </w:tbl>
    <w:p w:rsidR="00E7419C" w:rsidRDefault="00E7419C">
      <w:pPr>
        <w:spacing w:after="1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19"/>
        <w:gridCol w:w="1805"/>
        <w:gridCol w:w="1814"/>
      </w:tblGrid>
      <w:tr w:rsidR="00E7419C">
        <w:tblPrEx>
          <w:tblCellMar>
            <w:top w:w="0" w:type="dxa"/>
            <w:bottom w:w="0" w:type="dxa"/>
          </w:tblCellMar>
        </w:tblPrEx>
        <w:trPr>
          <w:trHeight w:hRule="exact" w:val="226"/>
          <w:jc w:val="center"/>
        </w:trPr>
        <w:tc>
          <w:tcPr>
            <w:tcW w:w="3624" w:type="dxa"/>
            <w:gridSpan w:val="2"/>
            <w:shd w:val="clear" w:color="auto" w:fill="FFFFFF"/>
          </w:tcPr>
          <w:p w:rsidR="00E7419C" w:rsidRDefault="00E140D0">
            <w:pPr>
              <w:pStyle w:val="Style10"/>
              <w:shd w:val="clear" w:color="auto" w:fill="auto"/>
              <w:spacing w:after="0" w:line="240" w:lineRule="auto"/>
              <w:jc w:val="right"/>
            </w:pPr>
            <w:r>
              <w:rPr>
                <w:b/>
                <w:bCs/>
              </w:rPr>
              <w:t>Jednotková cena</w:t>
            </w:r>
          </w:p>
        </w:tc>
        <w:tc>
          <w:tcPr>
            <w:tcW w:w="1814" w:type="dxa"/>
            <w:tcBorders>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bez DPH) CZK/</w:t>
            </w:r>
            <w:proofErr w:type="spellStart"/>
            <w:r>
              <w:rPr>
                <w:b/>
                <w:bCs/>
              </w:rPr>
              <w:t>MWh</w:t>
            </w:r>
            <w:proofErr w:type="spellEnd"/>
          </w:p>
        </w:tc>
      </w:tr>
      <w:tr w:rsidR="00E7419C">
        <w:tblPrEx>
          <w:tblCellMar>
            <w:top w:w="0" w:type="dxa"/>
            <w:bottom w:w="0" w:type="dxa"/>
          </w:tblCellMar>
        </w:tblPrEx>
        <w:trPr>
          <w:trHeight w:hRule="exact" w:val="264"/>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Distribuční sazba</w:t>
            </w:r>
          </w:p>
        </w:tc>
        <w:tc>
          <w:tcPr>
            <w:tcW w:w="180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Nízký tarif</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Vysoký tarif</w:t>
            </w:r>
          </w:p>
        </w:tc>
      </w:tr>
      <w:tr w:rsidR="00E7419C">
        <w:tblPrEx>
          <w:tblCellMar>
            <w:top w:w="0" w:type="dxa"/>
            <w:bottom w:w="0" w:type="dxa"/>
          </w:tblCellMar>
        </w:tblPrEx>
        <w:trPr>
          <w:trHeight w:hRule="exact" w:val="264"/>
          <w:jc w:val="center"/>
        </w:trPr>
        <w:tc>
          <w:tcPr>
            <w:tcW w:w="1819" w:type="dxa"/>
            <w:tcBorders>
              <w:top w:val="single" w:sz="4" w:space="0" w:color="auto"/>
              <w:left w:val="single" w:sz="4" w:space="0" w:color="auto"/>
            </w:tcBorders>
            <w:shd w:val="clear" w:color="auto" w:fill="FFFFFF"/>
            <w:vAlign w:val="center"/>
          </w:tcPr>
          <w:p w:rsidR="00E7419C" w:rsidRDefault="00E140D0">
            <w:pPr>
              <w:pStyle w:val="Style10"/>
              <w:shd w:val="clear" w:color="auto" w:fill="auto"/>
              <w:spacing w:after="0" w:line="240" w:lineRule="auto"/>
            </w:pPr>
            <w:proofErr w:type="spellStart"/>
            <w:r>
              <w:rPr>
                <w:b/>
                <w:bCs/>
              </w:rPr>
              <w:t>COld</w:t>
            </w:r>
            <w:proofErr w:type="spellEnd"/>
          </w:p>
        </w:tc>
        <w:tc>
          <w:tcPr>
            <w:tcW w:w="1805" w:type="dxa"/>
            <w:tcBorders>
              <w:top w:val="single" w:sz="4" w:space="0" w:color="auto"/>
              <w:left w:val="single" w:sz="4" w:space="0" w:color="auto"/>
            </w:tcBorders>
            <w:shd w:val="clear" w:color="auto" w:fill="FFFFFF"/>
            <w:vAlign w:val="center"/>
          </w:tcPr>
          <w:p w:rsidR="00E7419C" w:rsidRDefault="00E140D0">
            <w:pPr>
              <w:pStyle w:val="Style10"/>
              <w:shd w:val="clear" w:color="auto" w:fill="auto"/>
              <w:spacing w:after="0" w:line="240" w:lineRule="auto"/>
              <w:jc w:val="center"/>
            </w:pPr>
            <w:r>
              <w:rPr>
                <w:b/>
                <w:bCs/>
              </w:rPr>
              <w:t>--</w:t>
            </w:r>
          </w:p>
        </w:tc>
        <w:tc>
          <w:tcPr>
            <w:tcW w:w="1814" w:type="dxa"/>
            <w:tcBorders>
              <w:top w:val="single" w:sz="4" w:space="0" w:color="auto"/>
              <w:left w:val="single" w:sz="4" w:space="0" w:color="auto"/>
              <w:right w:val="single" w:sz="4" w:space="0" w:color="auto"/>
            </w:tcBorders>
            <w:shd w:val="clear" w:color="auto" w:fill="FFFFFF"/>
            <w:vAlign w:val="center"/>
          </w:tcPr>
          <w:p w:rsidR="00E7419C" w:rsidRDefault="00E140D0">
            <w:pPr>
              <w:pStyle w:val="Style10"/>
              <w:shd w:val="clear" w:color="auto" w:fill="auto"/>
              <w:spacing w:after="0" w:line="240" w:lineRule="auto"/>
              <w:jc w:val="center"/>
            </w:pPr>
            <w:r>
              <w:rPr>
                <w:b/>
                <w:bCs/>
              </w:rPr>
              <w:t>1 396</w:t>
            </w:r>
          </w:p>
        </w:tc>
      </w:tr>
      <w:tr w:rsidR="00E7419C">
        <w:tblPrEx>
          <w:tblCellMar>
            <w:top w:w="0" w:type="dxa"/>
            <w:bottom w:w="0" w:type="dxa"/>
          </w:tblCellMar>
        </w:tblPrEx>
        <w:trPr>
          <w:trHeight w:hRule="exact" w:val="264"/>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C02d</w:t>
            </w:r>
          </w:p>
        </w:tc>
        <w:tc>
          <w:tcPr>
            <w:tcW w:w="1805" w:type="dxa"/>
            <w:tcBorders>
              <w:top w:val="single" w:sz="4" w:space="0" w:color="auto"/>
              <w:left w:val="single" w:sz="4" w:space="0" w:color="auto"/>
            </w:tcBorders>
            <w:shd w:val="clear" w:color="auto" w:fill="FFFFFF"/>
            <w:vAlign w:val="center"/>
          </w:tcPr>
          <w:p w:rsidR="00E7419C" w:rsidRDefault="00E140D0">
            <w:pPr>
              <w:pStyle w:val="Style10"/>
              <w:shd w:val="clear" w:color="auto" w:fill="auto"/>
              <w:spacing w:after="0" w:line="240" w:lineRule="auto"/>
              <w:jc w:val="center"/>
            </w:pPr>
            <w:r>
              <w:rPr>
                <w:b/>
                <w:bCs/>
              </w:rPr>
              <w:t>--</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1 396</w:t>
            </w:r>
          </w:p>
        </w:tc>
      </w:tr>
      <w:tr w:rsidR="00E7419C">
        <w:tblPrEx>
          <w:tblCellMar>
            <w:top w:w="0" w:type="dxa"/>
            <w:bottom w:w="0" w:type="dxa"/>
          </w:tblCellMar>
        </w:tblPrEx>
        <w:trPr>
          <w:trHeight w:hRule="exact" w:val="269"/>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C03d</w:t>
            </w:r>
          </w:p>
        </w:tc>
        <w:tc>
          <w:tcPr>
            <w:tcW w:w="1805" w:type="dxa"/>
            <w:tcBorders>
              <w:top w:val="single" w:sz="4" w:space="0" w:color="auto"/>
              <w:left w:val="single" w:sz="4" w:space="0" w:color="auto"/>
            </w:tcBorders>
            <w:shd w:val="clear" w:color="auto" w:fill="FFFFFF"/>
            <w:vAlign w:val="center"/>
          </w:tcPr>
          <w:p w:rsidR="00E7419C" w:rsidRDefault="00E140D0">
            <w:pPr>
              <w:pStyle w:val="Style10"/>
              <w:shd w:val="clear" w:color="auto" w:fill="auto"/>
              <w:spacing w:after="0" w:line="240" w:lineRule="auto"/>
              <w:jc w:val="center"/>
            </w:pPr>
            <w:r>
              <w:rPr>
                <w:b/>
                <w:bCs/>
              </w:rPr>
              <w:t>-</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1 396</w:t>
            </w:r>
          </w:p>
        </w:tc>
      </w:tr>
      <w:tr w:rsidR="00E7419C">
        <w:tblPrEx>
          <w:tblCellMar>
            <w:top w:w="0" w:type="dxa"/>
            <w:bottom w:w="0" w:type="dxa"/>
          </w:tblCellMar>
        </w:tblPrEx>
        <w:trPr>
          <w:trHeight w:hRule="exact" w:val="264"/>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C25d</w:t>
            </w:r>
          </w:p>
        </w:tc>
        <w:tc>
          <w:tcPr>
            <w:tcW w:w="180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1 174</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1 412</w:t>
            </w:r>
          </w:p>
        </w:tc>
      </w:tr>
      <w:tr w:rsidR="00E7419C">
        <w:tblPrEx>
          <w:tblCellMar>
            <w:top w:w="0" w:type="dxa"/>
            <w:bottom w:w="0" w:type="dxa"/>
          </w:tblCellMar>
        </w:tblPrEx>
        <w:trPr>
          <w:trHeight w:hRule="exact" w:val="264"/>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C26d</w:t>
            </w:r>
          </w:p>
        </w:tc>
        <w:tc>
          <w:tcPr>
            <w:tcW w:w="180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1 174</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1 412</w:t>
            </w:r>
          </w:p>
        </w:tc>
      </w:tr>
      <w:tr w:rsidR="00E7419C">
        <w:tblPrEx>
          <w:tblCellMar>
            <w:top w:w="0" w:type="dxa"/>
            <w:bottom w:w="0" w:type="dxa"/>
          </w:tblCellMar>
        </w:tblPrEx>
        <w:trPr>
          <w:trHeight w:hRule="exact" w:val="269"/>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C35d</w:t>
            </w:r>
          </w:p>
        </w:tc>
        <w:tc>
          <w:tcPr>
            <w:tcW w:w="180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1 308</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1 388</w:t>
            </w:r>
          </w:p>
        </w:tc>
      </w:tr>
      <w:tr w:rsidR="00E7419C">
        <w:tblPrEx>
          <w:tblCellMar>
            <w:top w:w="0" w:type="dxa"/>
            <w:bottom w:w="0" w:type="dxa"/>
          </w:tblCellMar>
        </w:tblPrEx>
        <w:trPr>
          <w:trHeight w:hRule="exact" w:val="264"/>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C45d</w:t>
            </w:r>
          </w:p>
        </w:tc>
        <w:tc>
          <w:tcPr>
            <w:tcW w:w="180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1 332</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1 412</w:t>
            </w:r>
          </w:p>
        </w:tc>
      </w:tr>
      <w:tr w:rsidR="00E7419C">
        <w:tblPrEx>
          <w:tblCellMar>
            <w:top w:w="0" w:type="dxa"/>
            <w:bottom w:w="0" w:type="dxa"/>
          </w:tblCellMar>
        </w:tblPrEx>
        <w:trPr>
          <w:trHeight w:hRule="exact" w:val="269"/>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C55d</w:t>
            </w:r>
          </w:p>
        </w:tc>
        <w:tc>
          <w:tcPr>
            <w:tcW w:w="180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1 348</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1 388</w:t>
            </w:r>
          </w:p>
        </w:tc>
      </w:tr>
      <w:tr w:rsidR="00E7419C">
        <w:tblPrEx>
          <w:tblCellMar>
            <w:top w:w="0" w:type="dxa"/>
            <w:bottom w:w="0" w:type="dxa"/>
          </w:tblCellMar>
        </w:tblPrEx>
        <w:trPr>
          <w:trHeight w:hRule="exact" w:val="264"/>
          <w:jc w:val="center"/>
        </w:trPr>
        <w:tc>
          <w:tcPr>
            <w:tcW w:w="18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pPr>
            <w:r>
              <w:rPr>
                <w:b/>
                <w:bCs/>
              </w:rPr>
              <w:t>C56d</w:t>
            </w:r>
          </w:p>
        </w:tc>
        <w:tc>
          <w:tcPr>
            <w:tcW w:w="180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pPr>
            <w:r>
              <w:rPr>
                <w:b/>
                <w:bCs/>
              </w:rPr>
              <w:t>1 348</w:t>
            </w:r>
          </w:p>
        </w:tc>
        <w:tc>
          <w:tcPr>
            <w:tcW w:w="1814" w:type="dxa"/>
            <w:tcBorders>
              <w:top w:val="single" w:sz="4" w:space="0" w:color="auto"/>
              <w:left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1 388</w:t>
            </w:r>
          </w:p>
        </w:tc>
      </w:tr>
      <w:tr w:rsidR="00E7419C">
        <w:tblPrEx>
          <w:tblCellMar>
            <w:top w:w="0" w:type="dxa"/>
            <w:bottom w:w="0" w:type="dxa"/>
          </w:tblCellMar>
        </w:tblPrEx>
        <w:trPr>
          <w:trHeight w:hRule="exact" w:val="278"/>
          <w:jc w:val="center"/>
        </w:trPr>
        <w:tc>
          <w:tcPr>
            <w:tcW w:w="1819" w:type="dxa"/>
            <w:tcBorders>
              <w:top w:val="single" w:sz="4" w:space="0" w:color="auto"/>
              <w:left w:val="single" w:sz="4" w:space="0" w:color="auto"/>
              <w:bottom w:val="single" w:sz="4" w:space="0" w:color="auto"/>
            </w:tcBorders>
            <w:shd w:val="clear" w:color="auto" w:fill="FFFFFF"/>
          </w:tcPr>
          <w:p w:rsidR="00E7419C" w:rsidRDefault="00E140D0">
            <w:pPr>
              <w:pStyle w:val="Style10"/>
              <w:shd w:val="clear" w:color="auto" w:fill="auto"/>
              <w:spacing w:after="0" w:line="240" w:lineRule="auto"/>
            </w:pPr>
            <w:r>
              <w:rPr>
                <w:b/>
                <w:bCs/>
              </w:rPr>
              <w:t>D25d</w:t>
            </w:r>
          </w:p>
        </w:tc>
        <w:tc>
          <w:tcPr>
            <w:tcW w:w="1805" w:type="dxa"/>
            <w:tcBorders>
              <w:top w:val="single" w:sz="4" w:space="0" w:color="auto"/>
              <w:left w:val="single" w:sz="4" w:space="0" w:color="auto"/>
              <w:bottom w:val="single" w:sz="4" w:space="0" w:color="auto"/>
            </w:tcBorders>
            <w:shd w:val="clear" w:color="auto" w:fill="FFFFFF"/>
          </w:tcPr>
          <w:p w:rsidR="00E7419C" w:rsidRDefault="00E140D0">
            <w:pPr>
              <w:pStyle w:val="Style10"/>
              <w:shd w:val="clear" w:color="auto" w:fill="auto"/>
              <w:spacing w:after="0" w:line="240" w:lineRule="auto"/>
              <w:jc w:val="center"/>
            </w:pPr>
            <w:r>
              <w:rPr>
                <w:b/>
                <w:bCs/>
              </w:rPr>
              <w:t>839</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E7419C" w:rsidRDefault="00E140D0">
            <w:pPr>
              <w:pStyle w:val="Style10"/>
              <w:shd w:val="clear" w:color="auto" w:fill="auto"/>
              <w:spacing w:after="0" w:line="240" w:lineRule="auto"/>
              <w:jc w:val="center"/>
            </w:pPr>
            <w:r>
              <w:rPr>
                <w:b/>
                <w:bCs/>
              </w:rPr>
              <w:t>1 198</w:t>
            </w:r>
          </w:p>
        </w:tc>
      </w:tr>
    </w:tbl>
    <w:p w:rsidR="00E7419C" w:rsidRDefault="00E7419C">
      <w:pPr>
        <w:spacing w:after="1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5227"/>
      </w:tblGrid>
      <w:tr w:rsidR="00E7419C">
        <w:tblPrEx>
          <w:tblCellMar>
            <w:top w:w="0" w:type="dxa"/>
            <w:bottom w:w="0" w:type="dxa"/>
          </w:tblCellMar>
        </w:tblPrEx>
        <w:trPr>
          <w:trHeight w:hRule="exact" w:val="355"/>
          <w:jc w:val="center"/>
        </w:trPr>
        <w:tc>
          <w:tcPr>
            <w:tcW w:w="3096" w:type="dxa"/>
            <w:shd w:val="clear" w:color="auto" w:fill="FFFFFF"/>
          </w:tcPr>
          <w:p w:rsidR="00E7419C" w:rsidRDefault="00E140D0">
            <w:pPr>
              <w:pStyle w:val="Style10"/>
              <w:shd w:val="clear" w:color="auto" w:fill="auto"/>
              <w:spacing w:after="0" w:line="240" w:lineRule="auto"/>
            </w:pPr>
            <w:r>
              <w:rPr>
                <w:b/>
                <w:bCs/>
              </w:rPr>
              <w:t>Technické parametry dodávky;</w:t>
            </w:r>
          </w:p>
        </w:tc>
        <w:tc>
          <w:tcPr>
            <w:tcW w:w="5227" w:type="dxa"/>
            <w:shd w:val="clear" w:color="auto" w:fill="FFFFFF"/>
          </w:tcPr>
          <w:p w:rsidR="00E7419C" w:rsidRDefault="00E140D0">
            <w:pPr>
              <w:pStyle w:val="Style10"/>
              <w:shd w:val="clear" w:color="auto" w:fill="auto"/>
              <w:spacing w:after="0" w:line="240" w:lineRule="auto"/>
              <w:ind w:firstLine="760"/>
            </w:pPr>
            <w:r>
              <w:t>viz Příloha závěrkového listu č. 1</w:t>
            </w:r>
          </w:p>
        </w:tc>
      </w:tr>
    </w:tbl>
    <w:p w:rsidR="00E7419C" w:rsidRDefault="00E7419C">
      <w:pPr>
        <w:spacing w:after="59" w:line="1" w:lineRule="exact"/>
      </w:pPr>
    </w:p>
    <w:p w:rsidR="00E7419C" w:rsidRDefault="00E140D0">
      <w:pPr>
        <w:pStyle w:val="Style13"/>
        <w:shd w:val="clear" w:color="auto" w:fill="auto"/>
        <w:spacing w:line="240" w:lineRule="auto"/>
        <w:ind w:left="5"/>
        <w:rPr>
          <w:sz w:val="18"/>
          <w:szCs w:val="18"/>
        </w:rPr>
      </w:pPr>
      <w:r>
        <w:rPr>
          <w:sz w:val="18"/>
          <w:szCs w:val="18"/>
          <w:u w:val="single"/>
        </w:rPr>
        <w:t>Zúčtovací podmínky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96"/>
        <w:gridCol w:w="5232"/>
      </w:tblGrid>
      <w:tr w:rsidR="00E7419C">
        <w:tblPrEx>
          <w:tblCellMar>
            <w:top w:w="0" w:type="dxa"/>
            <w:bottom w:w="0" w:type="dxa"/>
          </w:tblCellMar>
        </w:tblPrEx>
        <w:trPr>
          <w:trHeight w:hRule="exact" w:val="902"/>
          <w:jc w:val="center"/>
        </w:trPr>
        <w:tc>
          <w:tcPr>
            <w:tcW w:w="3096" w:type="dxa"/>
            <w:shd w:val="clear" w:color="auto" w:fill="FFFFFF"/>
          </w:tcPr>
          <w:p w:rsidR="00E7419C" w:rsidRDefault="00E140D0">
            <w:pPr>
              <w:pStyle w:val="Style10"/>
              <w:shd w:val="clear" w:color="auto" w:fill="auto"/>
              <w:spacing w:before="120" w:after="0" w:line="240" w:lineRule="auto"/>
            </w:pPr>
            <w:r>
              <w:rPr>
                <w:b/>
                <w:bCs/>
              </w:rPr>
              <w:t>Zúčtovací období;</w:t>
            </w:r>
          </w:p>
        </w:tc>
        <w:tc>
          <w:tcPr>
            <w:tcW w:w="5232" w:type="dxa"/>
            <w:shd w:val="clear" w:color="auto" w:fill="FFFFFF"/>
            <w:vAlign w:val="center"/>
          </w:tcPr>
          <w:p w:rsidR="00E7419C" w:rsidRDefault="00E140D0">
            <w:pPr>
              <w:pStyle w:val="Style10"/>
              <w:shd w:val="clear" w:color="auto" w:fill="auto"/>
              <w:spacing w:after="0"/>
              <w:ind w:left="420"/>
            </w:pPr>
            <w:proofErr w:type="gramStart"/>
            <w:r>
              <w:t>rok - vyúčtování</w:t>
            </w:r>
            <w:proofErr w:type="gramEnd"/>
            <w:r>
              <w:t xml:space="preserve"> bude provedeno 1 x ročně v termínu dle periodických odečtů příslušného provozovatele distribuční soustavy (Výjimky uvedeny v Příloze závěrkového listu č. 1)</w:t>
            </w:r>
          </w:p>
        </w:tc>
      </w:tr>
      <w:tr w:rsidR="00E7419C">
        <w:tblPrEx>
          <w:tblCellMar>
            <w:top w:w="0" w:type="dxa"/>
            <w:bottom w:w="0" w:type="dxa"/>
          </w:tblCellMar>
        </w:tblPrEx>
        <w:trPr>
          <w:trHeight w:hRule="exact" w:val="341"/>
          <w:jc w:val="center"/>
        </w:trPr>
        <w:tc>
          <w:tcPr>
            <w:tcW w:w="3096" w:type="dxa"/>
            <w:shd w:val="clear" w:color="auto" w:fill="FFFFFF"/>
            <w:vAlign w:val="bottom"/>
          </w:tcPr>
          <w:p w:rsidR="00E7419C" w:rsidRDefault="00E140D0">
            <w:pPr>
              <w:pStyle w:val="Style10"/>
              <w:shd w:val="clear" w:color="auto" w:fill="auto"/>
              <w:spacing w:after="0" w:line="240" w:lineRule="auto"/>
            </w:pPr>
            <w:r>
              <w:rPr>
                <w:b/>
                <w:bCs/>
              </w:rPr>
              <w:t>Splatnost zúčtovací faktury;</w:t>
            </w:r>
          </w:p>
        </w:tc>
        <w:tc>
          <w:tcPr>
            <w:tcW w:w="5232" w:type="dxa"/>
            <w:shd w:val="clear" w:color="auto" w:fill="FFFFFF"/>
            <w:vAlign w:val="bottom"/>
          </w:tcPr>
          <w:p w:rsidR="00E7419C" w:rsidRDefault="00E140D0">
            <w:pPr>
              <w:pStyle w:val="Style10"/>
              <w:shd w:val="clear" w:color="auto" w:fill="auto"/>
              <w:spacing w:after="0" w:line="240" w:lineRule="auto"/>
              <w:ind w:firstLine="420"/>
            </w:pPr>
            <w:r>
              <w:t>21 dní</w:t>
            </w:r>
          </w:p>
        </w:tc>
      </w:tr>
    </w:tbl>
    <w:p w:rsidR="00E7419C" w:rsidRDefault="00E140D0">
      <w:pPr>
        <w:pStyle w:val="Style8"/>
        <w:shd w:val="clear" w:color="auto" w:fill="auto"/>
        <w:ind w:left="3540" w:hanging="3540"/>
      </w:pPr>
      <w:r>
        <w:rPr>
          <w:b/>
          <w:bCs/>
        </w:rPr>
        <w:t xml:space="preserve">Zálohy v průběhu zúčtovacího období; </w:t>
      </w:r>
      <w:r>
        <w:t xml:space="preserve">čtvrtletní (Výjimky uvedeny v Příloze závěrkového listu č. 1) - Pro čtvrtletní zálohy: splatné k 15. dni druhého kalendářního měsíce </w:t>
      </w:r>
      <w:r>
        <w:lastRenderedPageBreak/>
        <w:t xml:space="preserve">čtvrtletí ve výši </w:t>
      </w:r>
      <w:proofErr w:type="gramStart"/>
      <w:r>
        <w:t>20%</w:t>
      </w:r>
      <w:proofErr w:type="gramEnd"/>
      <w:r>
        <w:t xml:space="preserve"> předpokládaného objemu roční dodávky. Pro měsíční zálohy: splatné k 15. dni měsíce ve výši </w:t>
      </w:r>
      <w:proofErr w:type="gramStart"/>
      <w:r>
        <w:t>80%</w:t>
      </w:r>
      <w:proofErr w:type="gramEnd"/>
      <w:r>
        <w:t xml:space="preserve"> předpokládaného objemu měsíční dodávky.</w:t>
      </w:r>
    </w:p>
    <w:p w:rsidR="00E7419C" w:rsidRDefault="00E140D0">
      <w:pPr>
        <w:pStyle w:val="Style18"/>
        <w:keepNext/>
        <w:keepLines/>
        <w:shd w:val="clear" w:color="auto" w:fill="auto"/>
        <w:spacing w:after="200" w:line="240" w:lineRule="auto"/>
      </w:pPr>
      <w:bookmarkStart w:id="3" w:name="bookmark3"/>
      <w:bookmarkStart w:id="4" w:name="bookmark4"/>
      <w:bookmarkStart w:id="5" w:name="bookmark5"/>
      <w:r>
        <w:t>Ostatní podmínky:</w:t>
      </w:r>
      <w:bookmarkEnd w:id="3"/>
      <w:bookmarkEnd w:id="4"/>
      <w:bookmarkEnd w:id="5"/>
    </w:p>
    <w:p w:rsidR="00E7419C" w:rsidRDefault="00E140D0">
      <w:pPr>
        <w:pStyle w:val="Style8"/>
        <w:shd w:val="clear" w:color="auto" w:fill="auto"/>
        <w:spacing w:line="257" w:lineRule="auto"/>
      </w:pPr>
      <w:r>
        <w:t>Dodavatel bude odběrateli účtovat dodávku samostatnou fakturou v listinné (papírové) podobě za každé odběrné místo zvlášť.</w:t>
      </w:r>
    </w:p>
    <w:p w:rsidR="00E7419C" w:rsidRDefault="00E140D0">
      <w:pPr>
        <w:pStyle w:val="Style8"/>
        <w:shd w:val="clear" w:color="auto" w:fill="auto"/>
        <w:spacing w:line="257" w:lineRule="auto"/>
      </w:pPr>
      <w:r>
        <w:t>Dodavatel bude odběrateli předepisovat a účtovat zálohy samostatným předpisem a samostatným daňovým dokladem o přijetí platby v listinné (papírové) podobě za každé odběrné místo zvlášť.</w:t>
      </w:r>
    </w:p>
    <w:p w:rsidR="00E7419C" w:rsidRDefault="00E140D0">
      <w:pPr>
        <w:pStyle w:val="Style8"/>
        <w:shd w:val="clear" w:color="auto" w:fill="auto"/>
        <w:spacing w:after="0" w:line="252" w:lineRule="auto"/>
      </w:pPr>
      <w:r>
        <w:t>Dodavatel je povinen na výslovné vyžádání jednotlivého odběratele:</w:t>
      </w:r>
    </w:p>
    <w:p w:rsidR="00E7419C" w:rsidRDefault="00E140D0">
      <w:pPr>
        <w:pStyle w:val="Style8"/>
        <w:numPr>
          <w:ilvl w:val="0"/>
          <w:numId w:val="1"/>
        </w:numPr>
        <w:shd w:val="clear" w:color="auto" w:fill="auto"/>
        <w:tabs>
          <w:tab w:val="left" w:pos="183"/>
        </w:tabs>
        <w:spacing w:after="0" w:line="252" w:lineRule="auto"/>
      </w:pPr>
      <w:r>
        <w:t>používat elektronickou fakturu s následným zasláním faktury v papírové podobě.</w:t>
      </w:r>
    </w:p>
    <w:p w:rsidR="00E7419C" w:rsidRDefault="00E140D0">
      <w:pPr>
        <w:pStyle w:val="Style8"/>
        <w:numPr>
          <w:ilvl w:val="0"/>
          <w:numId w:val="1"/>
        </w:numPr>
        <w:shd w:val="clear" w:color="auto" w:fill="auto"/>
        <w:tabs>
          <w:tab w:val="left" w:pos="183"/>
        </w:tabs>
        <w:spacing w:after="0" w:line="252" w:lineRule="auto"/>
      </w:pPr>
      <w:r>
        <w:t>namísto faktury za každé jednotlivé odběrné místo používat sloučenou fakturu s rozpisem jednotlivých odběrných míst.</w:t>
      </w:r>
    </w:p>
    <w:p w:rsidR="00E7419C" w:rsidRDefault="00E140D0">
      <w:pPr>
        <w:pStyle w:val="Style8"/>
        <w:numPr>
          <w:ilvl w:val="0"/>
          <w:numId w:val="1"/>
        </w:numPr>
        <w:shd w:val="clear" w:color="auto" w:fill="auto"/>
        <w:tabs>
          <w:tab w:val="left" w:pos="188"/>
        </w:tabs>
        <w:spacing w:after="0" w:line="252" w:lineRule="auto"/>
      </w:pPr>
      <w:r>
        <w:t>namísto předpisu záloh a daňového dokladu o přijetí platby za každé jednotlivé odběrné místo používat sloučený předpis záloh a sloučený daňový doklad o přijetí platby s rozpisem jednotlivých odběrných míst.</w:t>
      </w:r>
    </w:p>
    <w:p w:rsidR="00E7419C" w:rsidRDefault="00E140D0">
      <w:pPr>
        <w:pStyle w:val="Style8"/>
        <w:numPr>
          <w:ilvl w:val="0"/>
          <w:numId w:val="1"/>
        </w:numPr>
        <w:shd w:val="clear" w:color="auto" w:fill="auto"/>
        <w:tabs>
          <w:tab w:val="left" w:pos="183"/>
        </w:tabs>
        <w:spacing w:after="0" w:line="252" w:lineRule="auto"/>
      </w:pPr>
      <w:r>
        <w:t>namísto sloučené faktury používat fakturu na každé jednotlivé odběrné místo.</w:t>
      </w:r>
    </w:p>
    <w:p w:rsidR="00E7419C" w:rsidRDefault="00E140D0">
      <w:pPr>
        <w:pStyle w:val="Style8"/>
        <w:numPr>
          <w:ilvl w:val="0"/>
          <w:numId w:val="1"/>
        </w:numPr>
        <w:shd w:val="clear" w:color="auto" w:fill="auto"/>
        <w:tabs>
          <w:tab w:val="left" w:pos="188"/>
        </w:tabs>
        <w:spacing w:after="0" w:line="252" w:lineRule="auto"/>
      </w:pPr>
      <w:r>
        <w:t>namísto sloučeného předpisu záloh a sloučeného daňového dokladu o přijetí platby používat předpis záloh a daňový doklad o přijetí platby za každé jednotlivé odběrné místo.</w:t>
      </w:r>
    </w:p>
    <w:p w:rsidR="00E7419C" w:rsidRDefault="00E140D0">
      <w:pPr>
        <w:pStyle w:val="Style8"/>
        <w:numPr>
          <w:ilvl w:val="0"/>
          <w:numId w:val="1"/>
        </w:numPr>
        <w:shd w:val="clear" w:color="auto" w:fill="auto"/>
        <w:tabs>
          <w:tab w:val="left" w:pos="188"/>
        </w:tabs>
        <w:spacing w:after="0" w:line="252" w:lineRule="auto"/>
      </w:pPr>
      <w:r>
        <w:t>používat fakturu v listinné (papírové) podobě</w:t>
      </w:r>
    </w:p>
    <w:p w:rsidR="00E7419C" w:rsidRDefault="00E140D0">
      <w:pPr>
        <w:pStyle w:val="Style8"/>
        <w:numPr>
          <w:ilvl w:val="0"/>
          <w:numId w:val="1"/>
        </w:numPr>
        <w:shd w:val="clear" w:color="auto" w:fill="auto"/>
        <w:tabs>
          <w:tab w:val="left" w:pos="188"/>
        </w:tabs>
        <w:spacing w:line="252" w:lineRule="auto"/>
      </w:pPr>
      <w:r>
        <w:t>používat předpis záloh a daňový doklad o přijetí platby v listinné (papírové) podobě</w:t>
      </w:r>
    </w:p>
    <w:p w:rsidR="00E7419C" w:rsidRDefault="00E140D0">
      <w:pPr>
        <w:pStyle w:val="Style8"/>
        <w:shd w:val="clear" w:color="auto" w:fill="auto"/>
        <w:spacing w:line="252" w:lineRule="auto"/>
      </w:pPr>
      <w:r>
        <w:t>Dodavatel je povinen poskytnout odběrateli na jeho vyžádání bezplatné mimořádné vyúčtování k 31. prosinci kalendářního roku, pokud odběratel zašle dodavateli v termínu a způsobem stanoveným dodavatelem společně s vyžádáním mimořádného vyúčtování samoodečet provedený k poslednímu dni uplynulého kalendářního roku.</w:t>
      </w:r>
    </w:p>
    <w:p w:rsidR="00E7419C" w:rsidRDefault="00E140D0">
      <w:pPr>
        <w:pStyle w:val="Style8"/>
        <w:shd w:val="clear" w:color="auto" w:fill="auto"/>
        <w:spacing w:line="252" w:lineRule="auto"/>
      </w:pPr>
      <w:r>
        <w:t>Dodavatel je povinen poskytnout odběrateli na jeho vyžádání bezplatné mimořádné vyúčtování k datu zvolenému odběratelem (mimo 31.12.), pokud odběratel zašle dodavateli v termínu a způsobem stanoveným dodavatelem společně s vyžádáním mimořádného vyúčtování samoodečet provedený k datu zvolenému odběratelem (mimo 31.12.).</w:t>
      </w:r>
    </w:p>
    <w:p w:rsidR="00E7419C" w:rsidRDefault="00E140D0">
      <w:pPr>
        <w:pStyle w:val="Style8"/>
        <w:shd w:val="clear" w:color="auto" w:fill="auto"/>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w:t>
      </w:r>
      <w:proofErr w:type="gramStart"/>
      <w:r>
        <w:t>a pod.</w:t>
      </w:r>
      <w:proofErr w:type="gramEnd"/>
    </w:p>
    <w:p w:rsidR="00E7419C" w:rsidRDefault="00E140D0">
      <w:pPr>
        <w:pStyle w:val="Style8"/>
        <w:shd w:val="clear" w:color="auto" w:fill="auto"/>
        <w:spacing w:line="240" w:lineRule="auto"/>
      </w:pPr>
      <w:r>
        <w:t>Odběratel je oprávněn zveřejnit závěrkový list ve veřejně přístupných evidencích.</w:t>
      </w:r>
    </w:p>
    <w:p w:rsidR="00E7419C" w:rsidRDefault="00E140D0">
      <w:pPr>
        <w:pStyle w:val="Style8"/>
        <w:shd w:val="clear" w:color="auto" w:fill="auto"/>
        <w:spacing w:line="257" w:lineRule="auto"/>
      </w:pPr>
      <w:r>
        <w:t>Dodavatel je povinen vystavit odběrateli platební kalendář s uvedením počtu, výše a splatnosti záloh nejpozději do 15 kalendářních dnů po zahájení dodávky.</w:t>
      </w:r>
    </w:p>
    <w:p w:rsidR="00E7419C" w:rsidRDefault="00E140D0">
      <w:pPr>
        <w:pStyle w:val="Style8"/>
        <w:shd w:val="clear" w:color="auto" w:fill="auto"/>
        <w:spacing w:after="0"/>
      </w:pPr>
      <w:r>
        <w:t>Lhůta splatnosti faktury 21 dnů začíná dnem doručení faktury odběrateli.</w:t>
      </w:r>
    </w:p>
    <w:p w:rsidR="00E7419C" w:rsidRDefault="00E140D0">
      <w:pPr>
        <w:pStyle w:val="Style8"/>
        <w:shd w:val="clear" w:color="auto" w:fill="auto"/>
        <w:spacing w:after="0"/>
      </w:pPr>
      <w:r>
        <w:t>Odběratel je oprávněn požadovat po dodavateli zahájení dodávky elektřiny i do odběrného místa, které po uzavření burzovního obchodu (závěrkového listu) zřídí nově. V takovém případě je dodavatel povinen zahájit dodávku elektřiny za cenu a za podmínek uzavřeného burzovního obchodu. Dodavatel je oprávněn odmítnout zahájení dodávky pouze v případě, že roční množství dodávky silové elektřiny do nově zřízeného odběrného místa (odběrných míst) překročí 10 % celkového ročního množství dodávky, sjednaného pro odběratele burzovním obchodem (závěrkovým listem).</w:t>
      </w:r>
    </w:p>
    <w:p w:rsidR="00E7419C" w:rsidRDefault="00E140D0">
      <w:pPr>
        <w:pStyle w:val="Style8"/>
        <w:shd w:val="clear" w:color="auto" w:fill="auto"/>
        <w:spacing w:after="0"/>
      </w:pPr>
      <w:r>
        <w:t>Dodavatel je povinen po skončeni roku poskytnout data o odběrech a fakturaci na všech odběrných místech, kde fakturace proběhla, v elektronické podobě Centrálnímu zadavateli. Ministerstvu kultury ČR na e</w:t>
      </w:r>
      <w:r>
        <w:softHyphen/>
        <w:t xml:space="preserve">mailovou adresu </w:t>
      </w:r>
      <w:hyperlink r:id="rId7" w:history="1">
        <w:r w:rsidR="00862131">
          <w:rPr>
            <w:lang w:val="en-US" w:eastAsia="en-US" w:bidi="en-US"/>
          </w:rPr>
          <w:t>XXXXXXXXXXXXX</w:t>
        </w:r>
      </w:hyperlink>
      <w:r>
        <w:rPr>
          <w:lang w:val="en-US" w:eastAsia="en-US" w:bidi="en-US"/>
        </w:rPr>
        <w:t>.</w:t>
      </w:r>
    </w:p>
    <w:p w:rsidR="00E7419C" w:rsidRDefault="00E140D0">
      <w:pPr>
        <w:pStyle w:val="Style8"/>
        <w:shd w:val="clear" w:color="auto" w:fill="auto"/>
        <w:sectPr w:rsidR="00E7419C">
          <w:headerReference w:type="even" r:id="rId8"/>
          <w:headerReference w:type="default" r:id="rId9"/>
          <w:footerReference w:type="even" r:id="rId10"/>
          <w:footerReference w:type="default" r:id="rId11"/>
          <w:pgSz w:w="11909" w:h="16834"/>
          <w:pgMar w:top="1388" w:right="1483" w:bottom="2069" w:left="1607" w:header="0" w:footer="3" w:gutter="0"/>
          <w:pgNumType w:start="1"/>
          <w:cols w:space="720"/>
          <w:noEndnote/>
          <w:docGrid w:linePitch="360"/>
        </w:sectPr>
      </w:pPr>
      <w:r>
        <w:t>Dodavatel je povinen do 30 kalendářních dnů po ukončení dodávky, sjednané burzovním obchodem (závěrkovým listem), zajistit a provést na své náklady vyúčtování k poslednímu kalendářnímu dni dodávky na základě odhadového vzorce spotřeby. Tuto povinnost je dodavatel povinen splnit i v případě, že po ukončení dodávky (závěrkového listu) nedojde u odběratele ke změně dodavatele a dodavatel bude odběrateli dále dodávat na základě nového závěrkového listu.</w:t>
      </w:r>
    </w:p>
    <w:p w:rsidR="00E7419C" w:rsidRDefault="00E140D0">
      <w:pPr>
        <w:pStyle w:val="Style20"/>
        <w:shd w:val="clear" w:color="auto" w:fill="auto"/>
        <w:tabs>
          <w:tab w:val="left" w:pos="1444"/>
        </w:tabs>
      </w:pPr>
      <w:r>
        <w:rPr>
          <w:b w:val="0"/>
          <w:bCs w:val="0"/>
          <w:sz w:val="18"/>
          <w:szCs w:val="18"/>
          <w:lang w:val="en-US" w:eastAsia="en-US" w:bidi="en-US"/>
        </w:rPr>
        <w:lastRenderedPageBreak/>
        <w:t>■ I_Z</w:t>
      </w:r>
      <w:r>
        <w:rPr>
          <w:b w:val="0"/>
          <w:bCs w:val="0"/>
          <w:sz w:val="18"/>
          <w:szCs w:val="18"/>
          <w:lang w:val="en-US" w:eastAsia="en-US" w:bidi="en-US"/>
        </w:rPr>
        <w:tab/>
      </w:r>
      <w:r>
        <w:t>ČESKOMORAVSKÁ</w:t>
      </w:r>
    </w:p>
    <w:p w:rsidR="00E7419C" w:rsidRDefault="00E140D0">
      <w:pPr>
        <w:pStyle w:val="Style23"/>
        <w:shd w:val="clear" w:color="auto" w:fill="auto"/>
      </w:pPr>
      <w:r>
        <w:rPr>
          <w:smallCaps w:val="0"/>
          <w:sz w:val="18"/>
          <w:szCs w:val="18"/>
        </w:rPr>
        <w:t xml:space="preserve">™l </w:t>
      </w:r>
      <w:r>
        <w:rPr>
          <w:smallCaps w:val="0"/>
          <w:sz w:val="18"/>
          <w:szCs w:val="18"/>
          <w:lang w:val="en-US" w:eastAsia="en-US" w:bidi="en-US"/>
        </w:rPr>
        <w:t>J</w:t>
      </w:r>
      <w:r>
        <w:t xml:space="preserve">komoditní burza </w:t>
      </w:r>
      <w:proofErr w:type="spellStart"/>
      <w:r>
        <w:t>kladno</w:t>
      </w:r>
      <w:proofErr w:type="spellEnd"/>
    </w:p>
    <w:p w:rsidR="00E7419C" w:rsidRDefault="00E140D0">
      <w:pPr>
        <w:pStyle w:val="Style18"/>
        <w:keepNext/>
        <w:keepLines/>
        <w:shd w:val="clear" w:color="auto" w:fill="auto"/>
        <w:spacing w:after="200"/>
      </w:pPr>
      <w:bookmarkStart w:id="6" w:name="bookmark6"/>
      <w:bookmarkStart w:id="7" w:name="bookmark7"/>
      <w:bookmarkStart w:id="8" w:name="bookmark8"/>
      <w:r>
        <w:t>Dodací podmínky</w:t>
      </w:r>
      <w:bookmarkEnd w:id="6"/>
      <w:bookmarkEnd w:id="7"/>
      <w:bookmarkEnd w:id="8"/>
    </w:p>
    <w:p w:rsidR="00E7419C" w:rsidRDefault="00E140D0">
      <w:pPr>
        <w:pStyle w:val="Style8"/>
        <w:numPr>
          <w:ilvl w:val="0"/>
          <w:numId w:val="2"/>
        </w:numPr>
        <w:shd w:val="clear" w:color="auto" w:fill="auto"/>
        <w:tabs>
          <w:tab w:val="left" w:pos="260"/>
        </w:tabs>
        <w:spacing w:after="0"/>
      </w:pPr>
      <w:r>
        <w:t>Dodavatel je povinen dodávat sjednané množství silové elektřiny do odběrného místa odběratele,</w:t>
      </w:r>
    </w:p>
    <w:p w:rsidR="00E7419C" w:rsidRDefault="00E140D0">
      <w:pPr>
        <w:pStyle w:val="Style8"/>
        <w:shd w:val="clear" w:color="auto" w:fill="auto"/>
        <w:ind w:left="220" w:firstLine="20"/>
      </w:pPr>
      <w:r>
        <w:t>v rozsahu a za podmínek uzavřeného burzovního obchodu (závěrkového listu) v kvalitě podle příslušných platných právních předpisů, pokud tomu nebrání okolnosti vyvolané provozovatelem distribuční soustavy nebo okolnosti stanovené právními předpisy.</w:t>
      </w:r>
    </w:p>
    <w:p w:rsidR="00E7419C" w:rsidRDefault="00E140D0">
      <w:pPr>
        <w:pStyle w:val="Style8"/>
        <w:numPr>
          <w:ilvl w:val="0"/>
          <w:numId w:val="2"/>
        </w:numPr>
        <w:shd w:val="clear" w:color="auto" w:fill="auto"/>
        <w:tabs>
          <w:tab w:val="left" w:pos="270"/>
        </w:tabs>
        <w:ind w:left="220" w:hanging="220"/>
      </w:pPr>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rsidR="00E7419C" w:rsidRDefault="00E140D0">
      <w:pPr>
        <w:pStyle w:val="Style8"/>
        <w:numPr>
          <w:ilvl w:val="0"/>
          <w:numId w:val="2"/>
        </w:numPr>
        <w:shd w:val="clear" w:color="auto" w:fill="auto"/>
        <w:tabs>
          <w:tab w:val="left" w:pos="270"/>
        </w:tabs>
        <w:spacing w:line="257" w:lineRule="auto"/>
        <w:ind w:left="220" w:hanging="220"/>
      </w:pPr>
      <w:r>
        <w:t>Dodávka silové elektřiny se uskutečňuje v napěťové hladině nízkého napětí v souladu s hodnotou hlavního jističe před měřícím zařízením.</w:t>
      </w:r>
    </w:p>
    <w:p w:rsidR="00E7419C" w:rsidRDefault="00E140D0">
      <w:pPr>
        <w:pStyle w:val="Style8"/>
        <w:numPr>
          <w:ilvl w:val="0"/>
          <w:numId w:val="2"/>
        </w:numPr>
        <w:shd w:val="clear" w:color="auto" w:fill="auto"/>
        <w:tabs>
          <w:tab w:val="left" w:pos="274"/>
        </w:tabs>
        <w:ind w:left="220" w:hanging="220"/>
      </w:pPr>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rsidR="00E7419C" w:rsidRDefault="00E140D0">
      <w:pPr>
        <w:pStyle w:val="Style8"/>
        <w:numPr>
          <w:ilvl w:val="0"/>
          <w:numId w:val="2"/>
        </w:numPr>
        <w:shd w:val="clear" w:color="auto" w:fill="auto"/>
        <w:tabs>
          <w:tab w:val="left" w:pos="274"/>
        </w:tabs>
        <w:ind w:left="220" w:hanging="220"/>
      </w:pPr>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rsidR="00E7419C" w:rsidRDefault="00E140D0">
      <w:pPr>
        <w:pStyle w:val="Style8"/>
        <w:numPr>
          <w:ilvl w:val="0"/>
          <w:numId w:val="2"/>
        </w:numPr>
        <w:shd w:val="clear" w:color="auto" w:fill="auto"/>
        <w:tabs>
          <w:tab w:val="left" w:pos="274"/>
        </w:tabs>
        <w:spacing w:after="0" w:line="240" w:lineRule="auto"/>
        <w:ind w:left="220" w:hanging="220"/>
      </w:pPr>
      <w:r>
        <w:t>Odběratel uzavřením burzovního obchodu souhlasí, aby dodavatel uzavřel s provozovatelem distribuční soustavy smlouvu o distribuci elektřiny do odběrného místa a dále je povinen poskytnout dodavateli</w:t>
      </w:r>
    </w:p>
    <w:p w:rsidR="00E7419C" w:rsidRDefault="00E140D0">
      <w:pPr>
        <w:pStyle w:val="Style8"/>
        <w:shd w:val="clear" w:color="auto" w:fill="auto"/>
        <w:spacing w:line="240" w:lineRule="auto"/>
        <w:ind w:left="220" w:firstLine="2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rsidR="00E7419C" w:rsidRDefault="00E140D0">
      <w:pPr>
        <w:pStyle w:val="Style8"/>
        <w:numPr>
          <w:ilvl w:val="0"/>
          <w:numId w:val="2"/>
        </w:numPr>
        <w:shd w:val="clear" w:color="auto" w:fill="auto"/>
        <w:tabs>
          <w:tab w:val="left" w:pos="274"/>
        </w:tabs>
        <w:spacing w:line="252" w:lineRule="auto"/>
        <w:ind w:left="220" w:hanging="220"/>
      </w:pPr>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w:t>
      </w:r>
    </w:p>
    <w:p w:rsidR="00E7419C" w:rsidRDefault="00E140D0">
      <w:pPr>
        <w:pStyle w:val="Style8"/>
        <w:numPr>
          <w:ilvl w:val="0"/>
          <w:numId w:val="2"/>
        </w:numPr>
        <w:shd w:val="clear" w:color="auto" w:fill="auto"/>
        <w:tabs>
          <w:tab w:val="left" w:pos="274"/>
        </w:tabs>
        <w:ind w:left="220" w:hanging="220"/>
      </w:pPr>
      <w:r>
        <w:t xml:space="preserve">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do 1 </w:t>
      </w:r>
      <w:proofErr w:type="spellStart"/>
      <w:r>
        <w:t>kV</w:t>
      </w:r>
      <w:proofErr w:type="spellEnd"/>
      <w:r>
        <w:t xml:space="preserve"> s hodnotou jističe nižší než 200 A jsou zařazena v souladu s platnými právními předpisy do regulačního stupně č. 2. Odběrná místa s odběrem elektřiny ze zařízení distribučních soustav s napětím do 1 </w:t>
      </w:r>
      <w:proofErr w:type="spellStart"/>
      <w:r>
        <w:t>kV</w:t>
      </w:r>
      <w:proofErr w:type="spellEnd"/>
      <w:r>
        <w:t xml:space="preserve"> s hodnotou jističe před elektroměrem 200 A </w:t>
      </w:r>
      <w:proofErr w:type="spellStart"/>
      <w:r>
        <w:t>a</w:t>
      </w:r>
      <w:proofErr w:type="spellEnd"/>
      <w:r>
        <w:t xml:space="preserve"> vyšší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rsidR="00E7419C" w:rsidRDefault="00E140D0">
      <w:pPr>
        <w:pStyle w:val="Style8"/>
        <w:numPr>
          <w:ilvl w:val="0"/>
          <w:numId w:val="2"/>
        </w:numPr>
        <w:shd w:val="clear" w:color="auto" w:fill="auto"/>
        <w:tabs>
          <w:tab w:val="left" w:pos="274"/>
        </w:tabs>
        <w:ind w:left="220" w:hanging="220"/>
      </w:pPr>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rsidR="00E7419C" w:rsidRDefault="00E140D0">
      <w:pPr>
        <w:pStyle w:val="Style18"/>
        <w:keepNext/>
        <w:keepLines/>
        <w:shd w:val="clear" w:color="auto" w:fill="auto"/>
        <w:spacing w:after="200"/>
      </w:pPr>
      <w:bookmarkStart w:id="9" w:name="bookmark10"/>
      <w:bookmarkStart w:id="10" w:name="bookmark11"/>
      <w:bookmarkStart w:id="11" w:name="bookmark9"/>
      <w:r>
        <w:t>Platební podmínky</w:t>
      </w:r>
      <w:bookmarkEnd w:id="9"/>
      <w:bookmarkEnd w:id="10"/>
      <w:bookmarkEnd w:id="11"/>
    </w:p>
    <w:p w:rsidR="00E7419C" w:rsidRDefault="00E140D0">
      <w:pPr>
        <w:pStyle w:val="Style8"/>
        <w:numPr>
          <w:ilvl w:val="0"/>
          <w:numId w:val="3"/>
        </w:numPr>
        <w:shd w:val="clear" w:color="auto" w:fill="auto"/>
        <w:tabs>
          <w:tab w:val="left" w:pos="260"/>
        </w:tabs>
        <w:spacing w:after="0"/>
      </w:pPr>
      <w:r>
        <w:t>Odběratel je povinen zaplatit dodavateli za dodávku elektřiny cenu, která je tvořena:</w:t>
      </w:r>
    </w:p>
    <w:p w:rsidR="00E7419C" w:rsidRDefault="00E140D0">
      <w:pPr>
        <w:pStyle w:val="Style8"/>
        <w:numPr>
          <w:ilvl w:val="0"/>
          <w:numId w:val="4"/>
        </w:numPr>
        <w:shd w:val="clear" w:color="auto" w:fill="auto"/>
        <w:tabs>
          <w:tab w:val="left" w:pos="499"/>
        </w:tabs>
        <w:spacing w:after="0"/>
        <w:ind w:firstLine="220"/>
      </w:pPr>
      <w:r>
        <w:t xml:space="preserve">cenou za silovou </w:t>
      </w:r>
      <w:proofErr w:type="gramStart"/>
      <w:r>
        <w:t>elektřinu ,</w:t>
      </w:r>
      <w:proofErr w:type="gramEnd"/>
    </w:p>
    <w:p w:rsidR="00E7419C" w:rsidRDefault="00E140D0">
      <w:pPr>
        <w:pStyle w:val="Style8"/>
        <w:numPr>
          <w:ilvl w:val="0"/>
          <w:numId w:val="4"/>
        </w:numPr>
        <w:shd w:val="clear" w:color="auto" w:fill="auto"/>
        <w:tabs>
          <w:tab w:val="left" w:pos="519"/>
        </w:tabs>
        <w:ind w:left="420" w:hanging="180"/>
      </w:pPr>
      <w:r>
        <w:t>cenou za distribuci elektřiny, systémové služby a ostatní související služby, která bude stanovena v souladu s všeobecně závaznými právními předpisy, zejména cenovými rozhodnutími příslušných správních a regulačních orgánů.</w:t>
      </w:r>
    </w:p>
    <w:p w:rsidR="00E7419C" w:rsidRDefault="00E140D0">
      <w:pPr>
        <w:pStyle w:val="Style8"/>
        <w:numPr>
          <w:ilvl w:val="0"/>
          <w:numId w:val="3"/>
        </w:numPr>
        <w:shd w:val="clear" w:color="auto" w:fill="auto"/>
        <w:tabs>
          <w:tab w:val="left" w:pos="270"/>
        </w:tabs>
        <w:spacing w:line="257" w:lineRule="auto"/>
        <w:ind w:left="220" w:hanging="220"/>
        <w:sectPr w:rsidR="00E7419C">
          <w:headerReference w:type="even" r:id="rId12"/>
          <w:headerReference w:type="default" r:id="rId13"/>
          <w:footerReference w:type="even" r:id="rId14"/>
          <w:footerReference w:type="default" r:id="rId15"/>
          <w:pgSz w:w="11942" w:h="16858"/>
          <w:pgMar w:top="834" w:right="1570" w:bottom="1802" w:left="1636" w:header="406" w:footer="3" w:gutter="0"/>
          <w:cols w:space="720"/>
          <w:noEndnote/>
          <w:docGrid w:linePitch="360"/>
        </w:sectPr>
      </w:pPr>
      <w:r>
        <w:t>Dodávky elektřiny se účtují v zúčtovacím období fakturami, které musí mít náležitosti daňových dokladů podle příslušných právních předpisů.</w:t>
      </w:r>
    </w:p>
    <w:p w:rsidR="00E7419C" w:rsidRDefault="00E140D0">
      <w:pPr>
        <w:pStyle w:val="Style8"/>
        <w:numPr>
          <w:ilvl w:val="0"/>
          <w:numId w:val="3"/>
        </w:numPr>
        <w:shd w:val="clear" w:color="auto" w:fill="auto"/>
        <w:tabs>
          <w:tab w:val="left" w:pos="270"/>
        </w:tabs>
        <w:spacing w:after="220" w:line="257" w:lineRule="auto"/>
        <w:ind w:left="220" w:hanging="220"/>
      </w:pPr>
      <w:r>
        <w:lastRenderedPageBreak/>
        <w:t>K účtované ceně dodávky elektřiny se připočítává daň z elektřiny, daň z přidané hodnoty, poplatky a jiné nepřímé daně stanovené v souladu s příslušnými právními předpisy.</w:t>
      </w:r>
    </w:p>
    <w:p w:rsidR="00E7419C" w:rsidRDefault="00E140D0">
      <w:pPr>
        <w:pStyle w:val="Style8"/>
        <w:shd w:val="clear" w:color="auto" w:fill="auto"/>
        <w:spacing w:after="220"/>
        <w:ind w:left="220" w:hanging="220"/>
      </w:pPr>
      <w:r>
        <w:t>4. 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rsidR="00E7419C" w:rsidRDefault="00E140D0">
      <w:pPr>
        <w:pStyle w:val="Style8"/>
        <w:shd w:val="clear" w:color="auto" w:fill="auto"/>
        <w:spacing w:after="220"/>
        <w:ind w:left="220" w:hanging="220"/>
      </w:pPr>
      <w:r>
        <w:t>5. 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rsidR="00E7419C" w:rsidRDefault="00E140D0">
      <w:pPr>
        <w:pStyle w:val="Style8"/>
        <w:shd w:val="clear" w:color="auto" w:fill="auto"/>
        <w:spacing w:after="220"/>
        <w:ind w:left="220" w:hanging="220"/>
      </w:pPr>
      <w:r>
        <w:t>6. 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 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rsidR="00E7419C" w:rsidRDefault="00E140D0">
      <w:pPr>
        <w:pStyle w:val="Style8"/>
        <w:shd w:val="clear" w:color="auto" w:fill="auto"/>
        <w:spacing w:after="220" w:line="240" w:lineRule="auto"/>
        <w:ind w:left="220" w:hanging="220"/>
      </w:pPr>
      <w:r>
        <w:t>7. Zaplacením plateb se rozumí připsání příslušné částky na bankovní účet dodavatele. Připadne-li den splatnosti faktury nebo zálohy na den pracovního volna nebo klidu, je dnem splatnosti nejbližší následující pracovní den.</w:t>
      </w:r>
    </w:p>
    <w:p w:rsidR="00E7419C" w:rsidRDefault="00E140D0">
      <w:pPr>
        <w:pStyle w:val="Style8"/>
        <w:shd w:val="clear" w:color="auto" w:fill="auto"/>
        <w:spacing w:after="220" w:line="240" w:lineRule="auto"/>
        <w:ind w:left="220" w:hanging="220"/>
      </w:pPr>
      <w:r>
        <w:t>8. V případě prodlení odběratele s úhradou jakékoliv částky vyplývající z uzavřeného burzovního obchodu (závěrkového listu), je odběratel povinen uhradit dodavateli úrok z prodlení ve výši 0,05 % z dlužné částky za každý den prodlení.</w:t>
      </w:r>
    </w:p>
    <w:p w:rsidR="00E7419C" w:rsidRDefault="00E140D0">
      <w:pPr>
        <w:pStyle w:val="Style8"/>
        <w:shd w:val="clear" w:color="auto" w:fill="auto"/>
        <w:spacing w:after="220" w:line="240" w:lineRule="auto"/>
        <w:ind w:left="220" w:hanging="220"/>
      </w:pPr>
      <w:r>
        <w:t>9. V případě, že je odběratel v prodlení s úhradou jakékoliv částky vyplývající z uzavřeného burzovního obchodu, má dodavatel právo zaslat odběrateli písemné výzvy či upomínky k placení. Odběratel je v takovém případě povinen uhradit dodavateli náklady spojené se zasláním písemné výzvy či upomínky k placení.</w:t>
      </w:r>
    </w:p>
    <w:p w:rsidR="00E7419C" w:rsidRDefault="00E140D0">
      <w:pPr>
        <w:pStyle w:val="Style8"/>
        <w:numPr>
          <w:ilvl w:val="0"/>
          <w:numId w:val="2"/>
        </w:numPr>
        <w:shd w:val="clear" w:color="auto" w:fill="auto"/>
        <w:tabs>
          <w:tab w:val="left" w:pos="356"/>
        </w:tabs>
        <w:spacing w:after="220" w:line="240" w:lineRule="auto"/>
        <w:ind w:left="220" w:hanging="220"/>
      </w:pPr>
      <w:r>
        <w:t>V případě prodlení dodavatele s úhradou jakékoliv částky vyplývající z uzavřeného burzovního obchodu (závěrkového listu), je dodavatel povinen uhradit odběrateli úrok z prodlení ve výši 0,05 % z dlužné částky za každý den prodlení.</w:t>
      </w:r>
    </w:p>
    <w:p w:rsidR="00E7419C" w:rsidRDefault="00E140D0">
      <w:pPr>
        <w:pStyle w:val="Style8"/>
        <w:shd w:val="clear" w:color="auto" w:fill="auto"/>
        <w:spacing w:after="220" w:line="240" w:lineRule="auto"/>
      </w:pPr>
      <w:r>
        <w:rPr>
          <w:b/>
          <w:bCs/>
          <w:u w:val="single"/>
        </w:rPr>
        <w:t>Reklamace</w:t>
      </w:r>
    </w:p>
    <w:p w:rsidR="00E7419C" w:rsidRDefault="00E140D0">
      <w:pPr>
        <w:pStyle w:val="Style8"/>
        <w:numPr>
          <w:ilvl w:val="0"/>
          <w:numId w:val="5"/>
        </w:numPr>
        <w:shd w:val="clear" w:color="auto" w:fill="auto"/>
        <w:tabs>
          <w:tab w:val="left" w:pos="255"/>
        </w:tabs>
        <w:spacing w:after="220" w:line="252" w:lineRule="auto"/>
        <w:ind w:left="220" w:hanging="220"/>
      </w:pPr>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rsidR="00E7419C" w:rsidRDefault="00E140D0">
      <w:pPr>
        <w:pStyle w:val="Style8"/>
        <w:numPr>
          <w:ilvl w:val="0"/>
          <w:numId w:val="5"/>
        </w:numPr>
        <w:shd w:val="clear" w:color="auto" w:fill="auto"/>
        <w:tabs>
          <w:tab w:val="left" w:pos="274"/>
        </w:tabs>
        <w:spacing w:after="220" w:line="240" w:lineRule="auto"/>
        <w:ind w:left="220" w:hanging="220"/>
      </w:pPr>
      <w:r>
        <w:t>Dodavatel je povinen reklamaci přezkoumat a výsledek přezkoumání je povinen oznámit odběrateli ve lhůtách stanovených příslušnými právními předpisy.</w:t>
      </w:r>
    </w:p>
    <w:p w:rsidR="00E7419C" w:rsidRDefault="00E140D0">
      <w:pPr>
        <w:pStyle w:val="Style18"/>
        <w:keepNext/>
        <w:keepLines/>
        <w:shd w:val="clear" w:color="auto" w:fill="auto"/>
        <w:spacing w:line="240" w:lineRule="auto"/>
      </w:pPr>
      <w:bookmarkStart w:id="12" w:name="bookmark12"/>
      <w:bookmarkStart w:id="13" w:name="bookmark13"/>
      <w:bookmarkStart w:id="14" w:name="bookmark14"/>
      <w:r>
        <w:t>Omezení a přerušení dodávky</w:t>
      </w:r>
      <w:bookmarkEnd w:id="12"/>
      <w:bookmarkEnd w:id="13"/>
      <w:bookmarkEnd w:id="14"/>
    </w:p>
    <w:p w:rsidR="00E7419C" w:rsidRDefault="00E140D0">
      <w:pPr>
        <w:pStyle w:val="Style8"/>
        <w:numPr>
          <w:ilvl w:val="0"/>
          <w:numId w:val="6"/>
        </w:numPr>
        <w:shd w:val="clear" w:color="auto" w:fill="auto"/>
        <w:tabs>
          <w:tab w:val="left" w:pos="260"/>
        </w:tabs>
        <w:spacing w:after="220"/>
        <w:ind w:left="220" w:hanging="220"/>
      </w:pPr>
      <w:r>
        <w:t>Dodavatel je oprávněn přerušit nebo omezit v nezbytném rozsahu dodávku elektřiny dle burzovního obchodu (závěrkového listu) v odběrném místě v případech neoprávněného odběru, který je definován příslušnými platnými právními předpisy.</w:t>
      </w:r>
    </w:p>
    <w:p w:rsidR="00E7419C" w:rsidRDefault="00E140D0">
      <w:pPr>
        <w:pStyle w:val="Style8"/>
        <w:numPr>
          <w:ilvl w:val="0"/>
          <w:numId w:val="6"/>
        </w:numPr>
        <w:shd w:val="clear" w:color="auto" w:fill="auto"/>
        <w:tabs>
          <w:tab w:val="left" w:pos="284"/>
        </w:tabs>
        <w:spacing w:after="220"/>
        <w:ind w:left="220" w:hanging="220"/>
      </w:pPr>
      <w:r>
        <w:t xml:space="preserve">Přerušení nebo omezení dodávky elektřiny z důvodu neoprávněného odběru bude provedeno </w:t>
      </w:r>
      <w:r>
        <w:lastRenderedPageBreak/>
        <w:t>provozovatelem distribuční soustavy na žádost dodavatele bezprostředně po zjištění neoprávněného odběru a bude provedeno na náklady odběratele.</w:t>
      </w:r>
    </w:p>
    <w:p w:rsidR="00E7419C" w:rsidRDefault="00E140D0">
      <w:pPr>
        <w:pStyle w:val="Style8"/>
        <w:numPr>
          <w:ilvl w:val="0"/>
          <w:numId w:val="6"/>
        </w:numPr>
        <w:shd w:val="clear" w:color="auto" w:fill="auto"/>
        <w:tabs>
          <w:tab w:val="left" w:pos="284"/>
        </w:tabs>
        <w:spacing w:after="220" w:line="240" w:lineRule="auto"/>
        <w:ind w:left="220" w:hanging="220"/>
      </w:pPr>
      <w:r>
        <w:t>Přerušením nebo omezením dodávky elektřiny v případech neoprávněného odběru nevzniká odběrateli právo na náhradu škody a ušlého zisku na dodavateli a na provozovateli distribuční soustavy.</w:t>
      </w:r>
    </w:p>
    <w:p w:rsidR="00E7419C" w:rsidRDefault="00E140D0">
      <w:pPr>
        <w:pStyle w:val="Style8"/>
        <w:numPr>
          <w:ilvl w:val="0"/>
          <w:numId w:val="6"/>
        </w:numPr>
        <w:shd w:val="clear" w:color="auto" w:fill="auto"/>
        <w:tabs>
          <w:tab w:val="left" w:pos="289"/>
        </w:tabs>
        <w:spacing w:after="220" w:line="257" w:lineRule="auto"/>
        <w:ind w:left="220" w:hanging="220"/>
      </w:pPr>
      <w:r>
        <w:t>Odběratel je povinen uhradit dodavateli náklady spojené s přerušením, obnovením nebo ukončením dodávky elektřiny z důvodu neoprávněného odběru.</w:t>
      </w:r>
    </w:p>
    <w:p w:rsidR="00E7419C" w:rsidRDefault="00E140D0">
      <w:pPr>
        <w:pStyle w:val="Style18"/>
        <w:keepNext/>
        <w:keepLines/>
        <w:shd w:val="clear" w:color="auto" w:fill="auto"/>
        <w:spacing w:line="252" w:lineRule="auto"/>
      </w:pPr>
      <w:bookmarkStart w:id="15" w:name="bookmark15"/>
      <w:bookmarkStart w:id="16" w:name="bookmark16"/>
      <w:bookmarkStart w:id="17" w:name="bookmark17"/>
      <w:r>
        <w:t>Odstoupení od burzovního obchodu (závěrkového listu)</w:t>
      </w:r>
      <w:bookmarkEnd w:id="15"/>
      <w:bookmarkEnd w:id="16"/>
      <w:bookmarkEnd w:id="17"/>
    </w:p>
    <w:p w:rsidR="00E7419C" w:rsidRDefault="00E140D0">
      <w:pPr>
        <w:pStyle w:val="Style8"/>
        <w:numPr>
          <w:ilvl w:val="0"/>
          <w:numId w:val="7"/>
        </w:numPr>
        <w:shd w:val="clear" w:color="auto" w:fill="auto"/>
        <w:tabs>
          <w:tab w:val="left" w:pos="275"/>
        </w:tabs>
        <w:spacing w:after="0" w:line="240" w:lineRule="auto"/>
      </w:pPr>
      <w:r>
        <w:t>Dodavatel je oprávněn odstoupit od burzovního obchodu (závěrkového listu) v případě:</w:t>
      </w:r>
    </w:p>
    <w:p w:rsidR="00E7419C" w:rsidRDefault="00E140D0">
      <w:pPr>
        <w:pStyle w:val="Style8"/>
        <w:numPr>
          <w:ilvl w:val="0"/>
          <w:numId w:val="8"/>
        </w:numPr>
        <w:shd w:val="clear" w:color="auto" w:fill="auto"/>
        <w:tabs>
          <w:tab w:val="left" w:pos="519"/>
        </w:tabs>
        <w:spacing w:after="0" w:line="240" w:lineRule="auto"/>
        <w:ind w:firstLine="220"/>
      </w:pPr>
      <w:r>
        <w:t xml:space="preserve">podstatného porušení </w:t>
      </w:r>
      <w:proofErr w:type="gramStart"/>
      <w:r>
        <w:t>povinností - podmínek</w:t>
      </w:r>
      <w:proofErr w:type="gramEnd"/>
      <w:r>
        <w:t xml:space="preserve"> burzovního obchodu (závěrkového listu) odběratelem,</w:t>
      </w:r>
    </w:p>
    <w:p w:rsidR="00E7419C" w:rsidRDefault="00E140D0">
      <w:pPr>
        <w:pStyle w:val="Style8"/>
        <w:numPr>
          <w:ilvl w:val="0"/>
          <w:numId w:val="8"/>
        </w:numPr>
        <w:shd w:val="clear" w:color="auto" w:fill="auto"/>
        <w:tabs>
          <w:tab w:val="left" w:pos="539"/>
        </w:tabs>
        <w:spacing w:after="0" w:line="240" w:lineRule="auto"/>
        <w:ind w:left="420" w:hanging="180"/>
      </w:pPr>
      <w:r>
        <w:t>je-li déle jak 30 kalendářních dní z důvodu nečinnosti nebo neplnění povinností odběratele přerušena dodávka elektřiny ze strany dodavatele nebo provozovatele distribuční soustavy z důvodu neoprávněného odběru elektřiny,</w:t>
      </w:r>
    </w:p>
    <w:p w:rsidR="00E7419C" w:rsidRDefault="00E140D0">
      <w:pPr>
        <w:pStyle w:val="Style8"/>
        <w:numPr>
          <w:ilvl w:val="0"/>
          <w:numId w:val="8"/>
        </w:numPr>
        <w:shd w:val="clear" w:color="auto" w:fill="auto"/>
        <w:tabs>
          <w:tab w:val="left" w:pos="519"/>
        </w:tabs>
        <w:spacing w:after="220" w:line="240" w:lineRule="auto"/>
        <w:ind w:firstLine="220"/>
      </w:pPr>
      <w:r>
        <w:t>je-li odběratel v úpadku nebo je mu povoleno vyrovnání.</w:t>
      </w:r>
    </w:p>
    <w:p w:rsidR="00E7419C" w:rsidRDefault="00E140D0">
      <w:pPr>
        <w:pStyle w:val="Style8"/>
        <w:numPr>
          <w:ilvl w:val="0"/>
          <w:numId w:val="7"/>
        </w:numPr>
        <w:shd w:val="clear" w:color="auto" w:fill="auto"/>
        <w:tabs>
          <w:tab w:val="left" w:pos="284"/>
        </w:tabs>
        <w:spacing w:after="0" w:line="252" w:lineRule="auto"/>
        <w:ind w:left="220" w:hanging="220"/>
      </w:pPr>
      <w:r>
        <w:t xml:space="preserve">Za podstatné porušení </w:t>
      </w:r>
      <w:proofErr w:type="gramStart"/>
      <w:r>
        <w:t>povinností - podmínek</w:t>
      </w:r>
      <w:proofErr w:type="gramEnd"/>
      <w:r>
        <w:t xml:space="preserve"> burzovního obchodu (závěrkového listu) odběratelem se považuje zejména:</w:t>
      </w:r>
    </w:p>
    <w:p w:rsidR="00E7419C" w:rsidRDefault="00E140D0">
      <w:pPr>
        <w:pStyle w:val="Style8"/>
        <w:numPr>
          <w:ilvl w:val="0"/>
          <w:numId w:val="9"/>
        </w:numPr>
        <w:shd w:val="clear" w:color="auto" w:fill="auto"/>
        <w:tabs>
          <w:tab w:val="left" w:pos="539"/>
        </w:tabs>
        <w:spacing w:after="0" w:line="252" w:lineRule="auto"/>
        <w:ind w:left="420" w:hanging="180"/>
      </w:pPr>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rsidR="00E7419C" w:rsidRDefault="00E140D0">
      <w:pPr>
        <w:pStyle w:val="Style8"/>
        <w:numPr>
          <w:ilvl w:val="0"/>
          <w:numId w:val="9"/>
        </w:numPr>
        <w:shd w:val="clear" w:color="auto" w:fill="auto"/>
        <w:tabs>
          <w:tab w:val="left" w:pos="539"/>
        </w:tabs>
        <w:spacing w:after="220" w:line="252" w:lineRule="auto"/>
        <w:ind w:left="420" w:hanging="180"/>
      </w:pPr>
      <w:r>
        <w:t xml:space="preserve">poruší-li odběratel podstatně </w:t>
      </w:r>
      <w:proofErr w:type="gramStart"/>
      <w:r>
        <w:t>povinnosti - podmínky</w:t>
      </w:r>
      <w:proofErr w:type="gramEnd"/>
      <w:r>
        <w:t xml:space="preserve"> zvlášť specifikované burzovním obchodem (závěrkovým listem).</w:t>
      </w:r>
    </w:p>
    <w:p w:rsidR="00E7419C" w:rsidRDefault="00E140D0">
      <w:pPr>
        <w:pStyle w:val="Style8"/>
        <w:numPr>
          <w:ilvl w:val="0"/>
          <w:numId w:val="7"/>
        </w:numPr>
        <w:shd w:val="clear" w:color="auto" w:fill="auto"/>
        <w:tabs>
          <w:tab w:val="left" w:pos="284"/>
        </w:tabs>
        <w:spacing w:after="0" w:line="252" w:lineRule="auto"/>
      </w:pPr>
      <w:r>
        <w:t>Odběratel je oprávněn odstoupit od burzovního obchodu (závěrkového listu) v případě:</w:t>
      </w:r>
    </w:p>
    <w:p w:rsidR="00E7419C" w:rsidRDefault="00E140D0">
      <w:pPr>
        <w:pStyle w:val="Style8"/>
        <w:numPr>
          <w:ilvl w:val="0"/>
          <w:numId w:val="10"/>
        </w:numPr>
        <w:shd w:val="clear" w:color="auto" w:fill="auto"/>
        <w:tabs>
          <w:tab w:val="left" w:pos="519"/>
        </w:tabs>
        <w:spacing w:after="0" w:line="252" w:lineRule="auto"/>
        <w:ind w:firstLine="220"/>
      </w:pPr>
      <w:r>
        <w:t xml:space="preserve">podstatného porušení </w:t>
      </w:r>
      <w:proofErr w:type="gramStart"/>
      <w:r>
        <w:t>povinností - podmínek</w:t>
      </w:r>
      <w:proofErr w:type="gramEnd"/>
      <w:r>
        <w:t xml:space="preserve"> burzovního obchodu (závěrkového listu) dodavatelem,</w:t>
      </w:r>
    </w:p>
    <w:p w:rsidR="00E7419C" w:rsidRDefault="00E140D0">
      <w:pPr>
        <w:pStyle w:val="Style8"/>
        <w:numPr>
          <w:ilvl w:val="0"/>
          <w:numId w:val="10"/>
        </w:numPr>
        <w:shd w:val="clear" w:color="auto" w:fill="auto"/>
        <w:tabs>
          <w:tab w:val="left" w:pos="519"/>
        </w:tabs>
        <w:spacing w:after="220" w:line="252" w:lineRule="auto"/>
        <w:ind w:firstLine="220"/>
      </w:pPr>
      <w:r>
        <w:t>je-li dodavatel v úpadku neboje mu povoleno vyrovnání.</w:t>
      </w:r>
    </w:p>
    <w:p w:rsidR="00E7419C" w:rsidRDefault="00E140D0">
      <w:pPr>
        <w:pStyle w:val="Style8"/>
        <w:numPr>
          <w:ilvl w:val="0"/>
          <w:numId w:val="7"/>
        </w:numPr>
        <w:shd w:val="clear" w:color="auto" w:fill="auto"/>
        <w:tabs>
          <w:tab w:val="left" w:pos="289"/>
        </w:tabs>
        <w:spacing w:after="0" w:line="252" w:lineRule="auto"/>
        <w:ind w:left="220" w:hanging="220"/>
      </w:pPr>
      <w:r>
        <w:t xml:space="preserve">Za podstatné porušení </w:t>
      </w:r>
      <w:proofErr w:type="gramStart"/>
      <w:r>
        <w:t>povinností - podmínek</w:t>
      </w:r>
      <w:proofErr w:type="gramEnd"/>
      <w:r>
        <w:t xml:space="preserve"> burzovního obchodu (závěrkového listu) dodavatelem se považuje zejména:</w:t>
      </w:r>
    </w:p>
    <w:p w:rsidR="00E7419C" w:rsidRDefault="00E140D0">
      <w:pPr>
        <w:pStyle w:val="Style8"/>
        <w:numPr>
          <w:ilvl w:val="0"/>
          <w:numId w:val="11"/>
        </w:numPr>
        <w:shd w:val="clear" w:color="auto" w:fill="auto"/>
        <w:tabs>
          <w:tab w:val="left" w:pos="519"/>
        </w:tabs>
        <w:spacing w:after="0" w:line="252" w:lineRule="auto"/>
        <w:ind w:firstLine="220"/>
      </w:pPr>
      <w:r>
        <w:t>bezdůvodné přerušení, omezení nebo ukončení dodávky elektřiny dodavatelem,</w:t>
      </w:r>
    </w:p>
    <w:p w:rsidR="00E7419C" w:rsidRDefault="00E140D0">
      <w:pPr>
        <w:pStyle w:val="Style8"/>
        <w:numPr>
          <w:ilvl w:val="0"/>
          <w:numId w:val="11"/>
        </w:numPr>
        <w:shd w:val="clear" w:color="auto" w:fill="auto"/>
        <w:tabs>
          <w:tab w:val="left" w:pos="519"/>
        </w:tabs>
        <w:spacing w:after="0" w:line="252" w:lineRule="auto"/>
        <w:ind w:firstLine="220"/>
      </w:pPr>
      <w:r>
        <w:t>bezdůvodné nezajištění dopravy elektřiny a souvisejících služeb ze strany dodavatele,</w:t>
      </w:r>
    </w:p>
    <w:p w:rsidR="00E7419C" w:rsidRDefault="00E140D0">
      <w:pPr>
        <w:pStyle w:val="Style8"/>
        <w:numPr>
          <w:ilvl w:val="0"/>
          <w:numId w:val="11"/>
        </w:numPr>
        <w:shd w:val="clear" w:color="auto" w:fill="auto"/>
        <w:tabs>
          <w:tab w:val="left" w:pos="539"/>
        </w:tabs>
        <w:spacing w:after="0" w:line="252" w:lineRule="auto"/>
        <w:ind w:left="420" w:hanging="180"/>
      </w:pPr>
      <w:r>
        <w:t>je-li dodavatel i přes doručení výzvy nebo upomínky k placení v prodlení se zaplacením peněžitého závazku vyplývajícího ze závěrkového listu trvajícího déle než 14 kalendářních dnů,</w:t>
      </w:r>
    </w:p>
    <w:p w:rsidR="00E7419C" w:rsidRDefault="00E140D0">
      <w:pPr>
        <w:pStyle w:val="Style8"/>
        <w:numPr>
          <w:ilvl w:val="0"/>
          <w:numId w:val="11"/>
        </w:numPr>
        <w:shd w:val="clear" w:color="auto" w:fill="auto"/>
        <w:tabs>
          <w:tab w:val="left" w:pos="539"/>
        </w:tabs>
        <w:spacing w:after="220" w:line="252" w:lineRule="auto"/>
        <w:ind w:left="420" w:hanging="180"/>
      </w:pPr>
      <w:r>
        <w:t xml:space="preserve">poruší-li dodavatel podstatně </w:t>
      </w:r>
      <w:proofErr w:type="gramStart"/>
      <w:r>
        <w:t>povinnosti - podmínky</w:t>
      </w:r>
      <w:proofErr w:type="gramEnd"/>
      <w:r>
        <w:t xml:space="preserve"> zvlášť specifikované burzovním obchodem (závěrkovým listem).</w:t>
      </w:r>
    </w:p>
    <w:p w:rsidR="00E7419C" w:rsidRDefault="00E140D0">
      <w:pPr>
        <w:pStyle w:val="Style8"/>
        <w:numPr>
          <w:ilvl w:val="0"/>
          <w:numId w:val="7"/>
        </w:numPr>
        <w:shd w:val="clear" w:color="auto" w:fill="auto"/>
        <w:tabs>
          <w:tab w:val="left" w:pos="289"/>
        </w:tabs>
        <w:spacing w:after="0"/>
        <w:ind w:left="220" w:hanging="220"/>
      </w:pPr>
      <w:r>
        <w:t>Odstoupení od burzovního obchodu (závěrkového listu) musí být provedeno písemně a je účinné dnem doručení písemného oznámení o odstoupení druhé smluvní straně, nebo pozdějším dnem, který je</w:t>
      </w:r>
    </w:p>
    <w:p w:rsidR="00E7419C" w:rsidRDefault="00E140D0">
      <w:pPr>
        <w:pStyle w:val="Style8"/>
        <w:shd w:val="clear" w:color="auto" w:fill="auto"/>
        <w:spacing w:after="220"/>
        <w:ind w:left="220" w:firstLine="20"/>
      </w:pPr>
      <w:r>
        <w:t>v oznámení o odstoupení odstupující smluvní stranou stanoven. Odstupující smluvní strana je povinna oznámit odstoupení od burzovního obchodu (závěrkového listu) příslušnému provozovateli distribuční soustavy.</w:t>
      </w:r>
    </w:p>
    <w:p w:rsidR="00E7419C" w:rsidRDefault="00E140D0">
      <w:pPr>
        <w:pStyle w:val="Style18"/>
        <w:keepNext/>
        <w:keepLines/>
        <w:shd w:val="clear" w:color="auto" w:fill="auto"/>
        <w:spacing w:line="252" w:lineRule="auto"/>
      </w:pPr>
      <w:bookmarkStart w:id="18" w:name="bookmark18"/>
      <w:bookmarkStart w:id="19" w:name="bookmark19"/>
      <w:bookmarkStart w:id="20" w:name="bookmark20"/>
      <w:r>
        <w:t>Komunikace a doručování</w:t>
      </w:r>
      <w:bookmarkEnd w:id="18"/>
      <w:bookmarkEnd w:id="19"/>
      <w:bookmarkEnd w:id="20"/>
    </w:p>
    <w:p w:rsidR="00E7419C" w:rsidRDefault="00E140D0">
      <w:pPr>
        <w:pStyle w:val="Style8"/>
        <w:numPr>
          <w:ilvl w:val="0"/>
          <w:numId w:val="12"/>
        </w:numPr>
        <w:shd w:val="clear" w:color="auto" w:fill="auto"/>
        <w:tabs>
          <w:tab w:val="left" w:pos="275"/>
        </w:tabs>
        <w:spacing w:after="220"/>
        <w:ind w:left="220" w:hanging="220"/>
      </w:pPr>
      <w:r>
        <w:t>Korespondence, oznámení či jiné sdělení učiněné mezi smluvními stranami na základě uzavřeného burzovního obchodu (závěrkového listu) musí mít písemnou podobu a musí být v českém jazyce (dále „písemnost'').</w:t>
      </w:r>
    </w:p>
    <w:p w:rsidR="00E7419C" w:rsidRDefault="00E140D0">
      <w:pPr>
        <w:pStyle w:val="Style8"/>
        <w:numPr>
          <w:ilvl w:val="0"/>
          <w:numId w:val="12"/>
        </w:numPr>
        <w:shd w:val="clear" w:color="auto" w:fill="auto"/>
        <w:tabs>
          <w:tab w:val="left" w:pos="284"/>
        </w:tabs>
        <w:spacing w:after="0"/>
      </w:pPr>
      <w:r>
        <w:t>Písemnosti se považují za doručené;</w:t>
      </w:r>
    </w:p>
    <w:p w:rsidR="00E7419C" w:rsidRDefault="00E140D0">
      <w:pPr>
        <w:pStyle w:val="Style8"/>
        <w:numPr>
          <w:ilvl w:val="0"/>
          <w:numId w:val="13"/>
        </w:numPr>
        <w:shd w:val="clear" w:color="auto" w:fill="auto"/>
        <w:tabs>
          <w:tab w:val="left" w:pos="514"/>
        </w:tabs>
        <w:spacing w:after="0"/>
        <w:ind w:firstLine="220"/>
      </w:pPr>
      <w:r>
        <w:t>osobním doručením a předáním kontaktní osobě smluvní strany, která je adresátem,</w:t>
      </w:r>
    </w:p>
    <w:p w:rsidR="00E7419C" w:rsidRDefault="00E140D0">
      <w:pPr>
        <w:pStyle w:val="Style8"/>
        <w:numPr>
          <w:ilvl w:val="0"/>
          <w:numId w:val="13"/>
        </w:numPr>
        <w:shd w:val="clear" w:color="auto" w:fill="auto"/>
        <w:tabs>
          <w:tab w:val="left" w:pos="534"/>
        </w:tabs>
        <w:spacing w:after="0"/>
        <w:ind w:left="420" w:hanging="180"/>
      </w:pPr>
      <w:r>
        <w:t>pátým kalendářním dnem ode dne odeslání doporučeného dopisu na kontaktní adresu smluvní strany, která je adresátem, nebo dřívějším dnem doručení,</w:t>
      </w:r>
    </w:p>
    <w:p w:rsidR="00E7419C" w:rsidRDefault="00E140D0">
      <w:pPr>
        <w:pStyle w:val="Style8"/>
        <w:numPr>
          <w:ilvl w:val="0"/>
          <w:numId w:val="13"/>
        </w:numPr>
        <w:shd w:val="clear" w:color="auto" w:fill="auto"/>
        <w:tabs>
          <w:tab w:val="left" w:pos="534"/>
        </w:tabs>
        <w:spacing w:after="220"/>
        <w:ind w:left="420" w:hanging="180"/>
        <w:sectPr w:rsidR="00E7419C">
          <w:headerReference w:type="even" r:id="rId16"/>
          <w:headerReference w:type="default" r:id="rId17"/>
          <w:footerReference w:type="even" r:id="rId18"/>
          <w:footerReference w:type="default" r:id="rId19"/>
          <w:headerReference w:type="first" r:id="rId20"/>
          <w:footerReference w:type="first" r:id="rId21"/>
          <w:pgSz w:w="11909" w:h="16834"/>
          <w:pgMar w:top="1374" w:right="1526" w:bottom="2328" w:left="1618" w:header="0" w:footer="3" w:gutter="0"/>
          <w:cols w:space="720"/>
          <w:noEndnote/>
          <w:titlePg/>
          <w:docGrid w:linePitch="360"/>
        </w:sectPr>
      </w:pPr>
      <w:r>
        <w:t>zpětným potvrzením faxové nebo elektronické zprávy, která byla odeslána na kontaktní faxové číslo nebo e-mailovou adresu smluvní strany, která je adresátem.</w:t>
      </w:r>
    </w:p>
    <w:p w:rsidR="00E7419C" w:rsidRDefault="00E140D0">
      <w:pPr>
        <w:pStyle w:val="Style8"/>
        <w:numPr>
          <w:ilvl w:val="0"/>
          <w:numId w:val="12"/>
        </w:numPr>
        <w:shd w:val="clear" w:color="auto" w:fill="auto"/>
        <w:tabs>
          <w:tab w:val="left" w:pos="270"/>
        </w:tabs>
        <w:spacing w:after="220" w:line="257" w:lineRule="auto"/>
        <w:ind w:left="220" w:hanging="220"/>
      </w:pPr>
      <w:r>
        <w:lastRenderedPageBreak/>
        <w:t>Smluvní strany jsou povinny oznámit druhé smluvní straně jakékoliv změny v kontaktních údajích. Za doručené budou považovány i písemnosti, které se vrátí odesílající smluvní straně jako nedoručené v důsledku neoznámení nových kontaktních údajů stranou, která je adresátem.</w:t>
      </w:r>
    </w:p>
    <w:p w:rsidR="00E7419C" w:rsidRDefault="00E140D0">
      <w:pPr>
        <w:pStyle w:val="Style18"/>
        <w:keepNext/>
        <w:keepLines/>
        <w:shd w:val="clear" w:color="auto" w:fill="auto"/>
      </w:pPr>
      <w:bookmarkStart w:id="21" w:name="bookmark21"/>
      <w:bookmarkStart w:id="22" w:name="bookmark22"/>
      <w:bookmarkStart w:id="23" w:name="bookmark23"/>
      <w:r>
        <w:rPr>
          <w:u w:val="none"/>
        </w:rPr>
        <w:t>Kontaktní údaje:</w:t>
      </w:r>
      <w:bookmarkEnd w:id="21"/>
      <w:bookmarkEnd w:id="22"/>
      <w:bookmarkEnd w:id="23"/>
    </w:p>
    <w:p w:rsidR="00E7419C" w:rsidRDefault="00E140D0">
      <w:pPr>
        <w:pStyle w:val="Style8"/>
        <w:shd w:val="clear" w:color="auto" w:fill="auto"/>
        <w:spacing w:after="220" w:line="240" w:lineRule="auto"/>
        <w:ind w:left="960" w:hanging="960"/>
      </w:pPr>
      <w:r>
        <w:t xml:space="preserve">Dodavatel: </w:t>
      </w:r>
      <w:r w:rsidR="00862131">
        <w:rPr>
          <w:lang w:val="en-US" w:eastAsia="en-US" w:bidi="en-US"/>
        </w:rPr>
        <w:t>XXXXXXXXXXXXXXXXXXXXXXXXXXXXXXXXXXXX</w:t>
      </w:r>
    </w:p>
    <w:p w:rsidR="00E7419C" w:rsidRDefault="00E140D0">
      <w:pPr>
        <w:pStyle w:val="Style8"/>
        <w:shd w:val="clear" w:color="auto" w:fill="auto"/>
        <w:spacing w:after="220"/>
      </w:pPr>
      <w:r>
        <w:t xml:space="preserve">Odběratel: </w:t>
      </w:r>
      <w:r w:rsidR="00862131">
        <w:t>XXXXXXXXXXXXXXXXXXXXXXXXXXXXXXXXXXXXX</w:t>
      </w:r>
    </w:p>
    <w:p w:rsidR="00E7419C" w:rsidRDefault="00E140D0">
      <w:pPr>
        <w:pStyle w:val="Style18"/>
        <w:keepNext/>
        <w:keepLines/>
        <w:shd w:val="clear" w:color="auto" w:fill="auto"/>
      </w:pPr>
      <w:bookmarkStart w:id="24" w:name="bookmark24"/>
      <w:bookmarkStart w:id="25" w:name="bookmark25"/>
      <w:bookmarkStart w:id="26" w:name="bookmark26"/>
      <w:r>
        <w:t>Mlčenlivost</w:t>
      </w:r>
      <w:bookmarkEnd w:id="24"/>
      <w:bookmarkEnd w:id="25"/>
      <w:bookmarkEnd w:id="26"/>
    </w:p>
    <w:p w:rsidR="00E7419C" w:rsidRDefault="00E140D0">
      <w:pPr>
        <w:pStyle w:val="Style8"/>
        <w:numPr>
          <w:ilvl w:val="0"/>
          <w:numId w:val="14"/>
        </w:numPr>
        <w:shd w:val="clear" w:color="auto" w:fill="auto"/>
        <w:tabs>
          <w:tab w:val="left" w:pos="260"/>
        </w:tabs>
        <w:spacing w:after="220" w:line="252" w:lineRule="auto"/>
        <w:ind w:left="220" w:hanging="22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rsidR="00E7419C" w:rsidRDefault="00E140D0">
      <w:pPr>
        <w:pStyle w:val="Style8"/>
        <w:numPr>
          <w:ilvl w:val="0"/>
          <w:numId w:val="14"/>
        </w:numPr>
        <w:shd w:val="clear" w:color="auto" w:fill="auto"/>
        <w:tabs>
          <w:tab w:val="left" w:pos="274"/>
        </w:tabs>
        <w:spacing w:after="220" w:line="240" w:lineRule="auto"/>
        <w:ind w:left="220" w:hanging="220"/>
      </w:pPr>
      <w:r>
        <w:t>Dodavatel a odběratel se zavazují přijmout technická a organizační vnitřní opatření k ochraně neveřejných informací, zejména důvěrných informací a osobních údajů.</w:t>
      </w:r>
    </w:p>
    <w:p w:rsidR="00E7419C" w:rsidRDefault="00E140D0">
      <w:pPr>
        <w:pStyle w:val="Style18"/>
        <w:keepNext/>
        <w:keepLines/>
        <w:shd w:val="clear" w:color="auto" w:fill="auto"/>
      </w:pPr>
      <w:bookmarkStart w:id="27" w:name="bookmark27"/>
      <w:bookmarkStart w:id="28" w:name="bookmark28"/>
      <w:bookmarkStart w:id="29" w:name="bookmark29"/>
      <w:r>
        <w:t>Předcházení škodám</w:t>
      </w:r>
      <w:bookmarkEnd w:id="27"/>
      <w:bookmarkEnd w:id="28"/>
      <w:bookmarkEnd w:id="29"/>
    </w:p>
    <w:p w:rsidR="00E7419C" w:rsidRDefault="00E140D0">
      <w:pPr>
        <w:pStyle w:val="Style8"/>
        <w:numPr>
          <w:ilvl w:val="0"/>
          <w:numId w:val="15"/>
        </w:numPr>
        <w:shd w:val="clear" w:color="auto" w:fill="auto"/>
        <w:tabs>
          <w:tab w:val="left" w:pos="255"/>
        </w:tabs>
        <w:spacing w:after="220" w:line="257" w:lineRule="auto"/>
        <w:ind w:left="220" w:hanging="220"/>
      </w:pPr>
      <w:r>
        <w:t>Dodavatel a odběratel jsou povinni navzájem se informovat o všech skutečnostech, kterých jsou si vědomi, a které by mohly vést ke škodám, a jsou povinni usilovat o odvrácení hrozících škod.</w:t>
      </w:r>
    </w:p>
    <w:p w:rsidR="00E7419C" w:rsidRDefault="00E140D0">
      <w:pPr>
        <w:pStyle w:val="Style8"/>
        <w:numPr>
          <w:ilvl w:val="0"/>
          <w:numId w:val="15"/>
        </w:numPr>
        <w:shd w:val="clear" w:color="auto" w:fill="auto"/>
        <w:tabs>
          <w:tab w:val="left" w:pos="270"/>
        </w:tabs>
        <w:spacing w:after="0"/>
        <w:ind w:left="220" w:hanging="22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rsidR="00E7419C" w:rsidRDefault="00E140D0">
      <w:pPr>
        <w:pStyle w:val="Style8"/>
        <w:shd w:val="clear" w:color="auto" w:fill="auto"/>
        <w:spacing w:after="220"/>
        <w:ind w:left="220"/>
      </w:pPr>
      <w:r>
        <w:t>č. 458/2000 Sb., o podmínkách podnikání a o výkonu státní správy v energetických odvětvích v platném znění.</w:t>
      </w:r>
    </w:p>
    <w:p w:rsidR="00E7419C" w:rsidRDefault="00E140D0">
      <w:pPr>
        <w:pStyle w:val="Style18"/>
        <w:keepNext/>
        <w:keepLines/>
        <w:shd w:val="clear" w:color="auto" w:fill="auto"/>
      </w:pPr>
      <w:bookmarkStart w:id="30" w:name="bookmark30"/>
      <w:bookmarkStart w:id="31" w:name="bookmark31"/>
      <w:bookmarkStart w:id="32" w:name="bookmark32"/>
      <w:r>
        <w:t>Ostatní ujednání</w:t>
      </w:r>
      <w:bookmarkEnd w:id="30"/>
      <w:bookmarkEnd w:id="31"/>
      <w:bookmarkEnd w:id="32"/>
    </w:p>
    <w:p w:rsidR="00E7419C" w:rsidRDefault="00E140D0">
      <w:pPr>
        <w:pStyle w:val="Style8"/>
        <w:numPr>
          <w:ilvl w:val="0"/>
          <w:numId w:val="16"/>
        </w:numPr>
        <w:shd w:val="clear" w:color="auto" w:fill="auto"/>
        <w:tabs>
          <w:tab w:val="left" w:pos="260"/>
        </w:tabs>
        <w:spacing w:after="220"/>
        <w:ind w:left="220" w:hanging="220"/>
      </w:pPr>
      <w:r>
        <w:t>Závěrkový list je Smlouvou o sdružených službách dodávky elektřiny mezi držitelem licence na obchod 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rsidR="00E7419C" w:rsidRDefault="00E140D0">
      <w:pPr>
        <w:pStyle w:val="Style8"/>
        <w:numPr>
          <w:ilvl w:val="0"/>
          <w:numId w:val="16"/>
        </w:numPr>
        <w:shd w:val="clear" w:color="auto" w:fill="auto"/>
        <w:tabs>
          <w:tab w:val="left" w:pos="270"/>
        </w:tabs>
        <w:spacing w:after="220" w:line="252" w:lineRule="auto"/>
        <w:ind w:left="220" w:hanging="220"/>
      </w:pPr>
      <w:r>
        <w:t>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rsidR="00E7419C" w:rsidRDefault="00E140D0">
      <w:pPr>
        <w:pStyle w:val="Style8"/>
        <w:numPr>
          <w:ilvl w:val="0"/>
          <w:numId w:val="16"/>
        </w:numPr>
        <w:shd w:val="clear" w:color="auto" w:fill="auto"/>
        <w:tabs>
          <w:tab w:val="left" w:pos="270"/>
        </w:tabs>
        <w:spacing w:after="220"/>
        <w:ind w:left="220" w:hanging="220"/>
      </w:pPr>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rsidR="00E7419C" w:rsidRDefault="00E140D0">
      <w:pPr>
        <w:pStyle w:val="Style8"/>
        <w:numPr>
          <w:ilvl w:val="0"/>
          <w:numId w:val="16"/>
        </w:numPr>
        <w:shd w:val="clear" w:color="auto" w:fill="auto"/>
        <w:tabs>
          <w:tab w:val="left" w:pos="270"/>
        </w:tabs>
        <w:spacing w:after="220" w:line="240" w:lineRule="auto"/>
        <w:ind w:left="220" w:hanging="220"/>
      </w:pPr>
      <w:r>
        <w:t>Dodavatel a odběratel jsou se souhlasem burzy oprávněni ukončit plnění burzovního obchodu (závěrkového listu) rovněž vzájemnou písemnou dohodou.</w:t>
      </w:r>
    </w:p>
    <w:p w:rsidR="00E7419C" w:rsidRDefault="00E140D0">
      <w:pPr>
        <w:pStyle w:val="Style8"/>
        <w:numPr>
          <w:ilvl w:val="0"/>
          <w:numId w:val="16"/>
        </w:numPr>
        <w:shd w:val="clear" w:color="auto" w:fill="auto"/>
        <w:tabs>
          <w:tab w:val="left" w:pos="270"/>
        </w:tabs>
        <w:spacing w:after="220" w:line="252" w:lineRule="auto"/>
        <w:ind w:left="220" w:hanging="220"/>
      </w:pPr>
      <w:r>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rsidR="00E7419C" w:rsidRDefault="00E140D0">
      <w:pPr>
        <w:pStyle w:val="Style8"/>
        <w:numPr>
          <w:ilvl w:val="0"/>
          <w:numId w:val="16"/>
        </w:numPr>
        <w:shd w:val="clear" w:color="auto" w:fill="auto"/>
        <w:tabs>
          <w:tab w:val="left" w:pos="270"/>
        </w:tabs>
        <w:spacing w:after="220" w:line="257" w:lineRule="auto"/>
        <w:ind w:left="220" w:hanging="220"/>
        <w:sectPr w:rsidR="00E7419C">
          <w:headerReference w:type="even" r:id="rId22"/>
          <w:headerReference w:type="default" r:id="rId23"/>
          <w:footerReference w:type="even" r:id="rId24"/>
          <w:footerReference w:type="default" r:id="rId25"/>
          <w:type w:val="continuous"/>
          <w:pgSz w:w="11909" w:h="16834"/>
          <w:pgMar w:top="1374" w:right="1526" w:bottom="2328" w:left="1618" w:header="0" w:footer="3" w:gutter="0"/>
          <w:cols w:space="720"/>
          <w:noEndnote/>
          <w:docGrid w:linePitch="360"/>
        </w:sectPr>
      </w:pPr>
      <w:r>
        <w:t>Pokud by se jakékoliv ustanovení závěrkového listu dostalo do rozporu s platným právním řádem České republiky či mezinárodní smlouvou, kterou je Česká republika vázána, bude takovéto ustanovení</w:t>
      </w:r>
    </w:p>
    <w:p w:rsidR="00E7419C" w:rsidRDefault="00E140D0">
      <w:pPr>
        <w:pStyle w:val="Style8"/>
        <w:shd w:val="clear" w:color="auto" w:fill="auto"/>
        <w:spacing w:line="257" w:lineRule="auto"/>
        <w:ind w:left="1560"/>
        <w:jc w:val="both"/>
      </w:pPr>
      <w:r>
        <w:lastRenderedPageBreak/>
        <w:t>automaticky považováno za neplatné a bude postupováno dle aktuální právní úpravy. Tato skutečnost nemá vliv na platnost a účinnost ostatních ustanovení závěrkového listu.</w:t>
      </w:r>
    </w:p>
    <w:p w:rsidR="00E7419C" w:rsidRDefault="00E140D0">
      <w:pPr>
        <w:pStyle w:val="Style8"/>
        <w:numPr>
          <w:ilvl w:val="0"/>
          <w:numId w:val="16"/>
        </w:numPr>
        <w:shd w:val="clear" w:color="auto" w:fill="auto"/>
        <w:tabs>
          <w:tab w:val="left" w:pos="1625"/>
        </w:tabs>
        <w:ind w:left="1560" w:hanging="200"/>
      </w:pPr>
      <w:r>
        <w:t>Dodavatel a odběratel jsou povinni vynaložit veškeré úsilí k tomu, aby byly případné spory vyplývající z burzovního obchodu (závěrkového listu) urovnány smírnou cestou, k tomuto vyvinou vzájemnou součinnost.</w:t>
      </w:r>
    </w:p>
    <w:p w:rsidR="00E7419C" w:rsidRDefault="00E140D0">
      <w:pPr>
        <w:pStyle w:val="Style18"/>
        <w:keepNext/>
        <w:keepLines/>
        <w:shd w:val="clear" w:color="auto" w:fill="auto"/>
        <w:spacing w:after="0" w:line="252" w:lineRule="auto"/>
        <w:ind w:left="1340"/>
        <w:jc w:val="both"/>
      </w:pPr>
      <w:bookmarkStart w:id="33" w:name="bookmark33"/>
      <w:bookmarkStart w:id="34" w:name="bookmark34"/>
      <w:bookmarkStart w:id="35" w:name="bookmark35"/>
      <w:r>
        <w:rPr>
          <w:u w:val="none"/>
        </w:rPr>
        <w:t>Rozhodčí doložka:</w:t>
      </w:r>
      <w:bookmarkEnd w:id="33"/>
      <w:bookmarkEnd w:id="34"/>
      <w:bookmarkEnd w:id="35"/>
    </w:p>
    <w:p w:rsidR="00E7419C" w:rsidRDefault="00E140D0">
      <w:pPr>
        <w:pStyle w:val="Style8"/>
        <w:shd w:val="clear" w:color="auto" w:fill="auto"/>
        <w:spacing w:line="252" w:lineRule="auto"/>
        <w:ind w:left="1340" w:firstLine="20"/>
        <w:jc w:val="both"/>
      </w:pPr>
      <w: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 13 zákona č. 216/1994 Sb., o rozhodčím řízení a o výkonu rozhodčích nálezů, podle jeho Řádu, a to jedním nebo třemi rozhodci ustanovenými v souladu s uvedeným Řádem.</w:t>
      </w:r>
    </w:p>
    <w:p w:rsidR="00E7419C" w:rsidRDefault="00E140D0">
      <w:pPr>
        <w:pStyle w:val="Style8"/>
        <w:shd w:val="clear" w:color="auto" w:fill="auto"/>
        <w:spacing w:line="252" w:lineRule="auto"/>
        <w:ind w:left="1340" w:firstLine="20"/>
        <w:jc w:val="both"/>
      </w:pPr>
      <w:r>
        <w:t>V Kladně dne 30. 6. 2020</w:t>
      </w:r>
    </w:p>
    <w:p w:rsidR="00E7419C" w:rsidRDefault="00E7419C">
      <w:pPr>
        <w:framePr w:w="7594" w:h="739" w:hSpace="24" w:vSpace="523" w:wrap="notBeside" w:vAnchor="text" w:hAnchor="text" w:x="1791" w:y="1"/>
        <w:rPr>
          <w:sz w:val="2"/>
          <w:szCs w:val="2"/>
        </w:rPr>
      </w:pPr>
    </w:p>
    <w:p w:rsidR="00E7419C" w:rsidRDefault="00E140D0">
      <w:pPr>
        <w:spacing w:line="1" w:lineRule="exact"/>
      </w:pPr>
      <w:r>
        <w:rPr>
          <w:noProof/>
        </w:rPr>
        <mc:AlternateContent>
          <mc:Choice Requires="wps">
            <w:drawing>
              <wp:anchor distT="0" distB="0" distL="1136650" distR="5227320" simplePos="0" relativeHeight="125829378" behindDoc="0" locked="0" layoutInCell="1" allowOverlap="1">
                <wp:simplePos x="0" y="0"/>
                <wp:positionH relativeFrom="column">
                  <wp:posOffset>1301115</wp:posOffset>
                </wp:positionH>
                <wp:positionV relativeFrom="paragraph">
                  <wp:posOffset>648970</wp:posOffset>
                </wp:positionV>
                <wp:extent cx="746760" cy="14351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746760" cy="143510"/>
                        </a:xfrm>
                        <a:prstGeom prst="rect">
                          <a:avLst/>
                        </a:prstGeom>
                        <a:noFill/>
                      </wps:spPr>
                      <wps:txbx>
                        <w:txbxContent>
                          <w:p w:rsidR="00E140D0" w:rsidRDefault="00E140D0">
                            <w:pPr>
                              <w:pStyle w:val="Style32"/>
                              <w:shd w:val="clear" w:color="auto" w:fill="auto"/>
                            </w:pPr>
                            <w:r>
                              <w:t>za dodavatele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3" o:spid="_x0000_s1026" type="#_x0000_t202" style="position:absolute;margin-left:102.45pt;margin-top:51.1pt;width:58.8pt;height:11.3pt;z-index:125829378;visibility:visible;mso-wrap-style:square;mso-wrap-distance-left:89.5pt;mso-wrap-distance-top:0;mso-wrap-distance-right:41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" filled="f" stroked="f">
                <v:textbox inset="0,0,0,0">
                  <w:txbxContent>
                    <w:p w:rsidR="00E140D0" w:rsidRDefault="00E140D0">
                      <w:pPr>
                        <w:pStyle w:val="Style32"/>
                        <w:shd w:val="clear" w:color="auto" w:fill="auto"/>
                      </w:pPr>
                      <w:r>
                        <w:t>za dodavatele</w:t>
                      </w:r>
                    </w:p>
                  </w:txbxContent>
                </v:textbox>
                <w10:wrap type="topAndBottom"/>
              </v:shape>
            </w:pict>
          </mc:Fallback>
        </mc:AlternateContent>
      </w:r>
      <w:r>
        <w:rPr>
          <w:noProof/>
        </w:rPr>
        <mc:AlternateContent>
          <mc:Choice Requires="wps">
            <w:drawing>
              <wp:anchor distT="0" distB="0" distL="1136650" distR="5254625" simplePos="0" relativeHeight="125829380" behindDoc="0" locked="0" layoutInCell="1" allowOverlap="1">
                <wp:simplePos x="0" y="0"/>
                <wp:positionH relativeFrom="column">
                  <wp:posOffset>5254625</wp:posOffset>
                </wp:positionH>
                <wp:positionV relativeFrom="paragraph">
                  <wp:posOffset>658495</wp:posOffset>
                </wp:positionV>
                <wp:extent cx="719455" cy="14351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719455" cy="143510"/>
                        </a:xfrm>
                        <a:prstGeom prst="rect">
                          <a:avLst/>
                        </a:prstGeom>
                        <a:noFill/>
                      </wps:spPr>
                      <wps:txbx>
                        <w:txbxContent>
                          <w:p w:rsidR="00E140D0" w:rsidRDefault="00E140D0">
                            <w:pPr>
                              <w:pStyle w:val="Style32"/>
                              <w:shd w:val="clear" w:color="auto" w:fill="auto"/>
                            </w:pPr>
                            <w:r>
                              <w:t>za odběratele</w:t>
                            </w:r>
                          </w:p>
                        </w:txbxContent>
                      </wps:txbx>
                      <wps:bodyPr lIns="0" tIns="0" rIns="0" bIns="0"/>
                    </wps:wsp>
                  </a:graphicData>
                </a:graphic>
              </wp:anchor>
            </w:drawing>
          </mc:Choice>
          <mc:Fallback>
            <w:pict>
              <v:shape id="Shape 45" o:spid="_x0000_s1027" type="#_x0000_t202" style="position:absolute;margin-left:413.75pt;margin-top:51.85pt;width:56.65pt;height:11.3pt;z-index:125829380;visibility:visible;mso-wrap-style:square;mso-wrap-distance-left:89.5pt;mso-wrap-distance-top:0;mso-wrap-distance-right:413.7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" filled="f" stroked="f">
                <v:textbox inset="0,0,0,0">
                  <w:txbxContent>
                    <w:p w:rsidR="00E140D0" w:rsidRDefault="00E140D0">
                      <w:pPr>
                        <w:pStyle w:val="Style32"/>
                        <w:shd w:val="clear" w:color="auto" w:fill="auto"/>
                      </w:pPr>
                      <w:r>
                        <w:t>za odběratele</w:t>
                      </w:r>
                    </w:p>
                  </w:txbxContent>
                </v:textbox>
                <w10:wrap type="topAndBottom"/>
              </v:shape>
            </w:pict>
          </mc:Fallback>
        </mc:AlternateContent>
      </w:r>
    </w:p>
    <w:p w:rsidR="00E7419C" w:rsidRDefault="00E7419C">
      <w:pPr>
        <w:jc w:val="center"/>
        <w:rPr>
          <w:noProof/>
        </w:rPr>
      </w:pPr>
    </w:p>
    <w:p w:rsidR="00862131" w:rsidRDefault="00862131">
      <w:pPr>
        <w:jc w:val="center"/>
        <w:rPr>
          <w:noProof/>
        </w:rPr>
      </w:pPr>
    </w:p>
    <w:p w:rsidR="00862131" w:rsidRDefault="00862131">
      <w:pPr>
        <w:jc w:val="center"/>
        <w:rPr>
          <w:sz w:val="2"/>
          <w:szCs w:val="2"/>
        </w:rPr>
      </w:pPr>
    </w:p>
    <w:p w:rsidR="00E7419C" w:rsidRDefault="00E7419C">
      <w:pPr>
        <w:spacing w:after="279" w:line="1" w:lineRule="exact"/>
      </w:pPr>
    </w:p>
    <w:p w:rsidR="00E7419C" w:rsidRDefault="00E140D0">
      <w:pPr>
        <w:pStyle w:val="Style8"/>
        <w:shd w:val="clear" w:color="auto" w:fill="auto"/>
        <w:spacing w:after="40" w:line="257" w:lineRule="auto"/>
        <w:jc w:val="center"/>
      </w:pPr>
      <w:r>
        <w:t xml:space="preserve">Mgr. Petra </w:t>
      </w:r>
      <w:proofErr w:type="spellStart"/>
      <w:r>
        <w:t>Mošovská</w:t>
      </w:r>
      <w:proofErr w:type="spellEnd"/>
      <w:r>
        <w:br/>
        <w:t>za ČMKB</w:t>
      </w:r>
    </w:p>
    <w:p w:rsidR="00E7419C" w:rsidRDefault="00E140D0">
      <w:pPr>
        <w:pStyle w:val="Style34"/>
        <w:shd w:val="clear" w:color="auto" w:fill="auto"/>
        <w:rPr>
          <w:sz w:val="17"/>
          <w:szCs w:val="17"/>
        </w:rPr>
      </w:pPr>
      <w:r>
        <w:br w:type="page"/>
      </w:r>
    </w:p>
    <w:p w:rsidR="00E7419C" w:rsidRDefault="00E140D0">
      <w:pPr>
        <w:pStyle w:val="Style38"/>
        <w:shd w:val="clear" w:color="auto" w:fill="auto"/>
      </w:pPr>
      <w:r>
        <w:lastRenderedPageBreak/>
        <w:t>"</w:t>
      </w:r>
      <w:proofErr w:type="spellStart"/>
      <w:r>
        <w:t>iL</w:t>
      </w:r>
      <w:proofErr w:type="spellEnd"/>
      <w:r>
        <w:t xml:space="preserve"> </w:t>
      </w:r>
      <w:r>
        <w:rPr>
          <w:lang w:val="cs-CZ" w:eastAsia="cs-CZ" w:bidi="cs-CZ"/>
        </w:rPr>
        <w:t xml:space="preserve">ČESKOMOKAVSK.\ </w:t>
      </w:r>
      <w:proofErr w:type="spellStart"/>
      <w:r>
        <w:t>KGS^ODirNi</w:t>
      </w:r>
      <w:proofErr w:type="spellEnd"/>
      <w:r>
        <w:t xml:space="preserve"> IIUKZA KL-\DNO</w:t>
      </w:r>
    </w:p>
    <w:p w:rsidR="00E7419C" w:rsidRDefault="00E140D0">
      <w:pPr>
        <w:pStyle w:val="Style13"/>
        <w:shd w:val="clear" w:color="auto" w:fill="auto"/>
        <w:spacing w:line="266" w:lineRule="auto"/>
        <w:ind w:left="10"/>
      </w:pPr>
      <w:r>
        <w:t xml:space="preserve">Příloha Ě. </w:t>
      </w:r>
      <w:r>
        <w:rPr>
          <w:lang w:val="en-US" w:eastAsia="en-US" w:bidi="en-US"/>
        </w:rPr>
        <w:t xml:space="preserve">1 </w:t>
      </w:r>
      <w:r>
        <w:t>závěrkového listu Soupis odběrných míst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6"/>
        <w:gridCol w:w="2122"/>
        <w:gridCol w:w="1022"/>
        <w:gridCol w:w="278"/>
        <w:gridCol w:w="197"/>
        <w:gridCol w:w="235"/>
        <w:gridCol w:w="2112"/>
        <w:gridCol w:w="432"/>
        <w:gridCol w:w="1219"/>
        <w:gridCol w:w="389"/>
        <w:gridCol w:w="475"/>
        <w:gridCol w:w="504"/>
        <w:gridCol w:w="1968"/>
      </w:tblGrid>
      <w:tr w:rsidR="00E7419C">
        <w:tblPrEx>
          <w:tblCellMar>
            <w:top w:w="0" w:type="dxa"/>
            <w:bottom w:w="0" w:type="dxa"/>
          </w:tblCellMar>
        </w:tblPrEx>
        <w:trPr>
          <w:trHeight w:hRule="exact" w:val="413"/>
          <w:jc w:val="center"/>
        </w:trPr>
        <w:tc>
          <w:tcPr>
            <w:tcW w:w="216"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rPr>
                <w:sz w:val="11"/>
                <w:szCs w:val="11"/>
              </w:rPr>
            </w:pPr>
            <w:proofErr w:type="spellStart"/>
            <w:r>
              <w:rPr>
                <w:i/>
                <w:iCs/>
                <w:sz w:val="11"/>
                <w:szCs w:val="11"/>
              </w:rPr>
              <w:t>Pof</w:t>
            </w:r>
            <w:proofErr w:type="spellEnd"/>
          </w:p>
        </w:tc>
        <w:tc>
          <w:tcPr>
            <w:tcW w:w="212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ind w:firstLine="520"/>
              <w:rPr>
                <w:sz w:val="9"/>
                <w:szCs w:val="9"/>
              </w:rPr>
            </w:pPr>
            <w:r>
              <w:rPr>
                <w:b/>
                <w:bCs/>
                <w:sz w:val="9"/>
                <w:szCs w:val="9"/>
              </w:rPr>
              <w:t>Adresa odběrného místa</w:t>
            </w:r>
          </w:p>
        </w:tc>
        <w:tc>
          <w:tcPr>
            <w:tcW w:w="102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rPr>
                <w:sz w:val="9"/>
                <w:szCs w:val="9"/>
              </w:rPr>
            </w:pPr>
            <w:r>
              <w:rPr>
                <w:b/>
                <w:bCs/>
                <w:sz w:val="9"/>
                <w:szCs w:val="9"/>
              </w:rPr>
              <w:t>EAN</w:t>
            </w:r>
          </w:p>
        </w:tc>
        <w:tc>
          <w:tcPr>
            <w:tcW w:w="278"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76" w:lineRule="auto"/>
              <w:jc w:val="both"/>
              <w:rPr>
                <w:sz w:val="9"/>
                <w:szCs w:val="9"/>
              </w:rPr>
            </w:pPr>
            <w:proofErr w:type="spellStart"/>
            <w:r>
              <w:rPr>
                <w:b/>
                <w:bCs/>
                <w:sz w:val="9"/>
                <w:szCs w:val="9"/>
              </w:rPr>
              <w:t>Distr</w:t>
            </w:r>
            <w:proofErr w:type="spellEnd"/>
            <w:r>
              <w:rPr>
                <w:b/>
                <w:bCs/>
                <w:sz w:val="9"/>
                <w:szCs w:val="9"/>
              </w:rPr>
              <w:t>. sazba</w:t>
            </w:r>
          </w:p>
        </w:tc>
        <w:tc>
          <w:tcPr>
            <w:tcW w:w="197"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76" w:lineRule="auto"/>
              <w:jc w:val="center"/>
              <w:rPr>
                <w:sz w:val="9"/>
                <w:szCs w:val="9"/>
              </w:rPr>
            </w:pPr>
            <w:r>
              <w:rPr>
                <w:b/>
                <w:bCs/>
                <w:sz w:val="9"/>
                <w:szCs w:val="9"/>
              </w:rPr>
              <w:t>’oč fází</w:t>
            </w:r>
          </w:p>
        </w:tc>
        <w:tc>
          <w:tcPr>
            <w:tcW w:w="23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90" w:lineRule="auto"/>
              <w:rPr>
                <w:sz w:val="9"/>
                <w:szCs w:val="9"/>
              </w:rPr>
            </w:pPr>
            <w:r>
              <w:rPr>
                <w:b/>
                <w:bCs/>
                <w:sz w:val="9"/>
                <w:szCs w:val="9"/>
              </w:rPr>
              <w:t>Jistič (A)</w:t>
            </w:r>
          </w:p>
        </w:tc>
        <w:tc>
          <w:tcPr>
            <w:tcW w:w="211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ind w:firstLine="500"/>
              <w:rPr>
                <w:sz w:val="9"/>
                <w:szCs w:val="9"/>
              </w:rPr>
            </w:pPr>
            <w:r>
              <w:rPr>
                <w:b/>
                <w:bCs/>
                <w:sz w:val="9"/>
                <w:szCs w:val="9"/>
              </w:rPr>
              <w:t>Adresa pro zasílání faktur</w:t>
            </w:r>
          </w:p>
        </w:tc>
        <w:tc>
          <w:tcPr>
            <w:tcW w:w="43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both"/>
              <w:rPr>
                <w:sz w:val="9"/>
                <w:szCs w:val="9"/>
              </w:rPr>
            </w:pPr>
            <w:r>
              <w:rPr>
                <w:b/>
                <w:bCs/>
                <w:sz w:val="9"/>
                <w:szCs w:val="9"/>
              </w:rPr>
              <w:t>Typ měř.</w:t>
            </w:r>
          </w:p>
        </w:tc>
        <w:tc>
          <w:tcPr>
            <w:tcW w:w="12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both"/>
              <w:rPr>
                <w:sz w:val="9"/>
                <w:szCs w:val="9"/>
              </w:rPr>
            </w:pPr>
            <w:r>
              <w:rPr>
                <w:b/>
                <w:bCs/>
                <w:sz w:val="9"/>
                <w:szCs w:val="9"/>
              </w:rPr>
              <w:t>Termín dodávky</w:t>
            </w:r>
          </w:p>
        </w:tc>
        <w:tc>
          <w:tcPr>
            <w:tcW w:w="38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66" w:lineRule="auto"/>
              <w:jc w:val="center"/>
              <w:rPr>
                <w:sz w:val="9"/>
                <w:szCs w:val="9"/>
              </w:rPr>
            </w:pPr>
            <w:proofErr w:type="spellStart"/>
            <w:r>
              <w:rPr>
                <w:b/>
                <w:bCs/>
                <w:sz w:val="9"/>
                <w:szCs w:val="9"/>
              </w:rPr>
              <w:t>Zúčt</w:t>
            </w:r>
            <w:proofErr w:type="spellEnd"/>
            <w:r>
              <w:rPr>
                <w:b/>
                <w:bCs/>
                <w:sz w:val="9"/>
                <w:szCs w:val="9"/>
              </w:rPr>
              <w:t>. období</w:t>
            </w:r>
          </w:p>
        </w:tc>
        <w:tc>
          <w:tcPr>
            <w:tcW w:w="47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76" w:lineRule="auto"/>
              <w:jc w:val="center"/>
              <w:rPr>
                <w:sz w:val="9"/>
                <w:szCs w:val="9"/>
              </w:rPr>
            </w:pPr>
            <w:r>
              <w:rPr>
                <w:b/>
                <w:bCs/>
                <w:sz w:val="9"/>
                <w:szCs w:val="9"/>
              </w:rPr>
              <w:t>Frekvence záloh</w:t>
            </w:r>
          </w:p>
        </w:tc>
        <w:tc>
          <w:tcPr>
            <w:tcW w:w="504" w:type="dxa"/>
            <w:tcBorders>
              <w:top w:val="single" w:sz="4" w:space="0" w:color="auto"/>
              <w:left w:val="single" w:sz="4" w:space="0" w:color="auto"/>
            </w:tcBorders>
            <w:shd w:val="clear" w:color="auto" w:fill="FFFFFF"/>
            <w:vAlign w:val="bottom"/>
          </w:tcPr>
          <w:p w:rsidR="00E7419C" w:rsidRDefault="00E140D0">
            <w:pPr>
              <w:pStyle w:val="Style10"/>
              <w:shd w:val="clear" w:color="auto" w:fill="auto"/>
              <w:spacing w:after="0" w:line="276" w:lineRule="auto"/>
              <w:jc w:val="center"/>
              <w:rPr>
                <w:sz w:val="9"/>
                <w:szCs w:val="9"/>
              </w:rPr>
            </w:pPr>
            <w:r>
              <w:rPr>
                <w:b/>
                <w:bCs/>
                <w:sz w:val="9"/>
                <w:szCs w:val="9"/>
              </w:rPr>
              <w:t>Způsob zasíláni faktur</w:t>
            </w:r>
          </w:p>
        </w:tc>
        <w:tc>
          <w:tcPr>
            <w:tcW w:w="1968"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ind w:firstLine="620"/>
              <w:rPr>
                <w:sz w:val="9"/>
                <w:szCs w:val="9"/>
              </w:rPr>
            </w:pPr>
            <w:r>
              <w:rPr>
                <w:b/>
                <w:bCs/>
                <w:sz w:val="9"/>
                <w:szCs w:val="9"/>
              </w:rPr>
              <w:t>E-mail pro fakturaci</w:t>
            </w:r>
          </w:p>
        </w:tc>
      </w:tr>
      <w:tr w:rsidR="00E7419C">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rPr>
                <w:sz w:val="9"/>
                <w:szCs w:val="9"/>
              </w:rPr>
            </w:pPr>
            <w:r>
              <w:rPr>
                <w:b/>
                <w:bCs/>
                <w:sz w:val="9"/>
                <w:szCs w:val="9"/>
              </w:rPr>
              <w:t>1</w:t>
            </w:r>
          </w:p>
        </w:tc>
        <w:tc>
          <w:tcPr>
            <w:tcW w:w="212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rPr>
                <w:sz w:val="9"/>
                <w:szCs w:val="9"/>
              </w:rPr>
            </w:pPr>
            <w:r>
              <w:rPr>
                <w:b/>
                <w:bCs/>
                <w:sz w:val="9"/>
                <w:szCs w:val="9"/>
              </w:rPr>
              <w:t xml:space="preserve">Na </w:t>
            </w:r>
            <w:proofErr w:type="spellStart"/>
            <w:r>
              <w:rPr>
                <w:b/>
                <w:bCs/>
                <w:sz w:val="9"/>
                <w:szCs w:val="9"/>
              </w:rPr>
              <w:t>Zátorách</w:t>
            </w:r>
            <w:proofErr w:type="spellEnd"/>
            <w:r>
              <w:rPr>
                <w:b/>
                <w:bCs/>
                <w:sz w:val="9"/>
                <w:szCs w:val="9"/>
              </w:rPr>
              <w:t xml:space="preserve"> </w:t>
            </w:r>
            <w:proofErr w:type="spellStart"/>
            <w:r>
              <w:rPr>
                <w:i/>
                <w:iCs/>
                <w:sz w:val="11"/>
                <w:szCs w:val="11"/>
              </w:rPr>
              <w:t>miQ</w:t>
            </w:r>
            <w:proofErr w:type="spellEnd"/>
            <w:r>
              <w:rPr>
                <w:i/>
                <w:iCs/>
                <w:sz w:val="11"/>
                <w:szCs w:val="11"/>
              </w:rPr>
              <w:t>.</w:t>
            </w:r>
            <w:r>
              <w:rPr>
                <w:b/>
                <w:bCs/>
                <w:sz w:val="9"/>
                <w:szCs w:val="9"/>
              </w:rPr>
              <w:t xml:space="preserve"> 170 00 Praha 7</w:t>
            </w:r>
          </w:p>
        </w:tc>
        <w:tc>
          <w:tcPr>
            <w:tcW w:w="102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both"/>
              <w:rPr>
                <w:sz w:val="9"/>
                <w:szCs w:val="9"/>
              </w:rPr>
            </w:pPr>
            <w:r>
              <w:rPr>
                <w:b/>
                <w:bCs/>
                <w:sz w:val="9"/>
                <w:szCs w:val="9"/>
              </w:rPr>
              <w:t>859182400304516837</w:t>
            </w:r>
          </w:p>
        </w:tc>
        <w:tc>
          <w:tcPr>
            <w:tcW w:w="278"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both"/>
              <w:rPr>
                <w:sz w:val="9"/>
                <w:szCs w:val="9"/>
              </w:rPr>
            </w:pPr>
            <w:r>
              <w:rPr>
                <w:b/>
                <w:bCs/>
                <w:sz w:val="9"/>
                <w:szCs w:val="9"/>
              </w:rPr>
              <w:t>C45d</w:t>
            </w:r>
          </w:p>
        </w:tc>
        <w:tc>
          <w:tcPr>
            <w:tcW w:w="197" w:type="dxa"/>
            <w:tcBorders>
              <w:top w:val="single" w:sz="4" w:space="0" w:color="auto"/>
              <w:left w:val="single" w:sz="4" w:space="0" w:color="auto"/>
            </w:tcBorders>
            <w:shd w:val="clear" w:color="auto" w:fill="FFFFFF"/>
          </w:tcPr>
          <w:p w:rsidR="00E7419C" w:rsidRDefault="00E7419C">
            <w:pPr>
              <w:rPr>
                <w:sz w:val="10"/>
                <w:szCs w:val="10"/>
              </w:rPr>
            </w:pPr>
          </w:p>
        </w:tc>
        <w:tc>
          <w:tcPr>
            <w:tcW w:w="23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rPr>
                <w:sz w:val="9"/>
                <w:szCs w:val="9"/>
              </w:rPr>
            </w:pPr>
            <w:r>
              <w:rPr>
                <w:b/>
                <w:bCs/>
                <w:sz w:val="9"/>
                <w:szCs w:val="9"/>
              </w:rPr>
              <w:t>80</w:t>
            </w:r>
          </w:p>
        </w:tc>
        <w:tc>
          <w:tcPr>
            <w:tcW w:w="211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ind w:firstLine="160"/>
              <w:jc w:val="both"/>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both"/>
              <w:rPr>
                <w:sz w:val="9"/>
                <w:szCs w:val="9"/>
              </w:rPr>
            </w:pPr>
            <w:r>
              <w:rPr>
                <w:b/>
                <w:bCs/>
                <w:sz w:val="9"/>
                <w:szCs w:val="9"/>
              </w:rPr>
              <w:t>1.1.2021-31,12.2021</w:t>
            </w:r>
          </w:p>
        </w:tc>
        <w:tc>
          <w:tcPr>
            <w:tcW w:w="389"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jc w:val="center"/>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66" w:lineRule="auto"/>
              <w:jc w:val="both"/>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E7419C" w:rsidRDefault="00E140D0">
            <w:pPr>
              <w:pStyle w:val="Style10"/>
              <w:shd w:val="clear" w:color="auto" w:fill="auto"/>
              <w:spacing w:after="0" w:line="240" w:lineRule="auto"/>
              <w:ind w:firstLine="580"/>
              <w:jc w:val="both"/>
              <w:rPr>
                <w:sz w:val="9"/>
                <w:szCs w:val="9"/>
              </w:rPr>
            </w:pPr>
            <w:hyperlink r:id="rId26" w:history="1">
              <w:r w:rsidR="00862131">
                <w:rPr>
                  <w:b/>
                  <w:bCs/>
                  <w:sz w:val="9"/>
                  <w:szCs w:val="9"/>
                  <w:lang w:val="en-US" w:eastAsia="en-US" w:bidi="en-US"/>
                </w:rPr>
                <w:t>XXXXXXXXXXXXXXX</w:t>
              </w:r>
            </w:hyperlink>
          </w:p>
        </w:tc>
      </w:tr>
      <w:tr w:rsidR="00862131">
        <w:tblPrEx>
          <w:tblCellMar>
            <w:top w:w="0" w:type="dxa"/>
            <w:bottom w:w="0" w:type="dxa"/>
          </w:tblCellMar>
        </w:tblPrEx>
        <w:trPr>
          <w:trHeight w:hRule="exact" w:val="264"/>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bookmarkStart w:id="36" w:name="_GoBack" w:colFirst="12" w:colLast="12"/>
            <w:r>
              <w:rPr>
                <w:b/>
                <w:bCs/>
                <w:sz w:val="9"/>
                <w:szCs w:val="9"/>
              </w:rPr>
              <w:t>2</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rPr>
                <w:sz w:val="9"/>
                <w:szCs w:val="9"/>
              </w:rPr>
            </w:pPr>
            <w:r>
              <w:rPr>
                <w:b/>
                <w:bCs/>
                <w:sz w:val="9"/>
                <w:szCs w:val="9"/>
              </w:rPr>
              <w:t>Kinského zahrada, muzeum 9fl/0,150 00 Praha 5</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859182400300170491</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C02d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160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B</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měsíc</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bez záloh</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27"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74"/>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3</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Velké náměstí 43/0, 363 01 Prachatice</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859182400100569556</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C02d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100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9"/>
                <w:szCs w:val="9"/>
              </w:rPr>
            </w:pPr>
            <w:r>
              <w:rPr>
                <w:b/>
                <w:bCs/>
                <w:sz w:val="9"/>
                <w:szCs w:val="9"/>
              </w:rPr>
              <w:t>B</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měsíc</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bez záloh</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both"/>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28"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74"/>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4</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Hornoměcholupská 443/34,109 00 Praha 10</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859182400306502869</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C02d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29"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b</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rPr>
                <w:sz w:val="9"/>
                <w:szCs w:val="9"/>
              </w:rPr>
            </w:pPr>
            <w:r>
              <w:rPr>
                <w:b/>
                <w:bCs/>
                <w:sz w:val="9"/>
                <w:szCs w:val="9"/>
              </w:rPr>
              <w:t>Vrchotovy Janovice, zámek 1/0, 257 53 Vrchotovy Janovice</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859182400601632452</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C25d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400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B</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měsíc</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bez záloh</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0"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ti</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Palackého 7/0,110 00 Praha 1</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859182400302543552</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proofErr w:type="spellStart"/>
            <w:r>
              <w:rPr>
                <w:b/>
                <w:bCs/>
                <w:sz w:val="9"/>
                <w:szCs w:val="9"/>
              </w:rPr>
              <w:t>COld</w:t>
            </w:r>
            <w:proofErr w:type="spellEnd"/>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1"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74"/>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Smetanova 337, 277 16 Všetaty</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859182400610178217</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proofErr w:type="spellStart"/>
            <w:r>
              <w:rPr>
                <w:b/>
                <w:bCs/>
                <w:sz w:val="9"/>
                <w:szCs w:val="9"/>
              </w:rPr>
              <w:t>COld</w:t>
            </w:r>
            <w:proofErr w:type="spellEnd"/>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2"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ti</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Golčova 4/1,148 00Praha4</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859182400301695351</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C25d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100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3"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9</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Petřínské sady 97/0,150 00 Praha 5</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859182400302494964</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C25d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40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15"/>
                <w:szCs w:val="15"/>
              </w:rPr>
            </w:pPr>
            <w:r>
              <w:rPr>
                <w:rFonts w:ascii="Times New Roman" w:eastAsia="Times New Roman" w:hAnsi="Times New Roman" w:cs="Times New Roman"/>
                <w:sz w:val="15"/>
                <w:szCs w:val="15"/>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4"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10</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Karmelitská 388/2, 118 00 Praha 1</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859182400300126375</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C03d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400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9"/>
                <w:szCs w:val="9"/>
              </w:rPr>
            </w:pPr>
            <w:r>
              <w:rPr>
                <w:b/>
                <w:bCs/>
                <w:sz w:val="9"/>
                <w:szCs w:val="9"/>
              </w:rPr>
              <w:t>B</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měsíc</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bez záloh</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5"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11</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Jabkenice 33/0, 294 45 Jabkenice</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859182400601782423</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C45d</w:t>
            </w:r>
          </w:p>
        </w:tc>
        <w:tc>
          <w:tcPr>
            <w:tcW w:w="197" w:type="dxa"/>
            <w:tcBorders>
              <w:top w:val="single" w:sz="4" w:space="0" w:color="auto"/>
              <w:left w:val="single" w:sz="4" w:space="0" w:color="auto"/>
            </w:tcBorders>
            <w:shd w:val="clear" w:color="auto" w:fill="FFFFFF"/>
          </w:tcPr>
          <w:p w:rsidR="00862131" w:rsidRDefault="00862131" w:rsidP="00862131">
            <w:pPr>
              <w:rPr>
                <w:sz w:val="10"/>
                <w:szCs w:val="10"/>
              </w:rPr>
            </w:pP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9"/>
                <w:szCs w:val="9"/>
              </w:rPr>
            </w:pPr>
            <w:r>
              <w:rPr>
                <w:b/>
                <w:bCs/>
                <w:sz w:val="9"/>
                <w:szCs w:val="9"/>
              </w:rPr>
              <w:t>B</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měsíc</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bez záloh</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6"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74"/>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12</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Velké náměstí, výtah 43/0, 383 01 Prachatice</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859182400100617271</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proofErr w:type="spellStart"/>
            <w:r>
              <w:rPr>
                <w:b/>
                <w:bCs/>
                <w:sz w:val="9"/>
                <w:szCs w:val="9"/>
              </w:rPr>
              <w:t>COld</w:t>
            </w:r>
            <w:proofErr w:type="spellEnd"/>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1.1.2021-31.12.2021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7"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13</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Královská obora 56/0, 170 00 Praha 7</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859182400300766564</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C2bd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40</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15"/>
                <w:szCs w:val="15"/>
              </w:rPr>
            </w:pPr>
            <w:r>
              <w:rPr>
                <w:rFonts w:ascii="Times New Roman" w:eastAsia="Times New Roman" w:hAnsi="Times New Roman" w:cs="Times New Roman"/>
                <w:sz w:val="15"/>
                <w:szCs w:val="15"/>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8"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14</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rPr>
                <w:sz w:val="9"/>
                <w:szCs w:val="9"/>
              </w:rPr>
            </w:pPr>
            <w:r>
              <w:rPr>
                <w:b/>
                <w:bCs/>
                <w:sz w:val="9"/>
                <w:szCs w:val="9"/>
              </w:rPr>
              <w:t>Voskovcova 935/29,100 00 Praha 10 Hlubočepy</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859182400302507866</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C02d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15"/>
                <w:szCs w:val="15"/>
              </w:rPr>
            </w:pPr>
            <w:r>
              <w:rPr>
                <w:rFonts w:ascii="Times New Roman" w:eastAsia="Times New Roman" w:hAnsi="Times New Roman" w:cs="Times New Roman"/>
                <w:sz w:val="15"/>
                <w:szCs w:val="15"/>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39"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proofErr w:type="gramStart"/>
            <w:r>
              <w:rPr>
                <w:b/>
                <w:bCs/>
                <w:sz w:val="9"/>
                <w:szCs w:val="9"/>
              </w:rPr>
              <w:t>1b</w:t>
            </w:r>
            <w:proofErr w:type="gramEnd"/>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Jana Zajíce 132/30,170 00 Praha 7</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859182400306907220</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C25d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15"/>
                <w:szCs w:val="15"/>
              </w:rPr>
            </w:pPr>
            <w:r>
              <w:rPr>
                <w:rFonts w:ascii="Times New Roman" w:eastAsia="Times New Roman" w:hAnsi="Times New Roman" w:cs="Times New Roman"/>
                <w:sz w:val="15"/>
                <w:szCs w:val="15"/>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pošlou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40"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proofErr w:type="spellStart"/>
            <w:r>
              <w:rPr>
                <w:b/>
                <w:bCs/>
                <w:sz w:val="9"/>
                <w:szCs w:val="9"/>
              </w:rPr>
              <w:t>Iti</w:t>
            </w:r>
            <w:proofErr w:type="spellEnd"/>
            <w:r>
              <w:rPr>
                <w:b/>
                <w:bCs/>
                <w:sz w:val="9"/>
                <w:szCs w:val="9"/>
              </w:rPr>
              <w:t>*</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rPr>
                <w:sz w:val="9"/>
                <w:szCs w:val="9"/>
              </w:rPr>
            </w:pPr>
            <w:r>
              <w:rPr>
                <w:b/>
                <w:bCs/>
                <w:sz w:val="9"/>
                <w:szCs w:val="9"/>
              </w:rPr>
              <w:t>Hostomice pod Brdy 370/0, 267 24 Hostomice pod Brdy</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859182400601648673</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C45d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32</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ind w:firstLine="160"/>
              <w:jc w:val="both"/>
              <w:rPr>
                <w:sz w:val="15"/>
                <w:szCs w:val="15"/>
              </w:rPr>
            </w:pPr>
            <w:r>
              <w:rPr>
                <w:rFonts w:ascii="Times New Roman" w:eastAsia="Times New Roman" w:hAnsi="Times New Roman" w:cs="Times New Roman"/>
                <w:sz w:val="15"/>
                <w:szCs w:val="15"/>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41"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Ke Karlovu 20/0,120 00 Praha 2</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859182400301270541</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C35d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125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B</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měsíc</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bez záloh</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42"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74"/>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18</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Horská Kvikla 11/0, 385 01 Horská Kvilda</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659182400693932124</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C45d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43"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19</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Křečovice 3/0, 257 56 Křečovice</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859182400601788098</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C45d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16</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15"/>
                <w:szCs w:val="15"/>
              </w:rPr>
            </w:pPr>
            <w:r>
              <w:rPr>
                <w:rFonts w:ascii="Times New Roman" w:eastAsia="Times New Roman" w:hAnsi="Times New Roman" w:cs="Times New Roman"/>
                <w:sz w:val="15"/>
                <w:szCs w:val="15"/>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44"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69"/>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20</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U Národní galerie 67/0,156 00 Praha 5</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859182400302530057</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C25d</w:t>
            </w:r>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315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both"/>
              <w:rPr>
                <w:sz w:val="9"/>
                <w:szCs w:val="9"/>
              </w:rPr>
            </w:pPr>
            <w:r>
              <w:rPr>
                <w:b/>
                <w:bCs/>
                <w:sz w:val="9"/>
                <w:szCs w:val="9"/>
              </w:rPr>
              <w:t>Václavské náměstí 1700/68, 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B</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měsíc</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bez záloh</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45"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74"/>
          <w:jc w:val="center"/>
        </w:trPr>
        <w:tc>
          <w:tcPr>
            <w:tcW w:w="216"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21</w:t>
            </w:r>
          </w:p>
        </w:tc>
        <w:tc>
          <w:tcPr>
            <w:tcW w:w="21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proofErr w:type="spellStart"/>
            <w:r>
              <w:rPr>
                <w:b/>
                <w:bCs/>
                <w:sz w:val="9"/>
                <w:szCs w:val="9"/>
              </w:rPr>
              <w:t>Jívenská</w:t>
            </w:r>
            <w:proofErr w:type="spellEnd"/>
            <w:r>
              <w:rPr>
                <w:b/>
                <w:bCs/>
                <w:sz w:val="9"/>
                <w:szCs w:val="9"/>
              </w:rPr>
              <w:t xml:space="preserve"> 1295/2,140 00 Praha4</w:t>
            </w:r>
          </w:p>
        </w:tc>
        <w:tc>
          <w:tcPr>
            <w:tcW w:w="102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859182400302200936</w:t>
            </w:r>
          </w:p>
        </w:tc>
        <w:tc>
          <w:tcPr>
            <w:tcW w:w="278"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proofErr w:type="spellStart"/>
            <w:r>
              <w:rPr>
                <w:b/>
                <w:bCs/>
                <w:sz w:val="9"/>
                <w:szCs w:val="9"/>
              </w:rPr>
              <w:t>COld</w:t>
            </w:r>
            <w:proofErr w:type="spellEnd"/>
          </w:p>
        </w:tc>
        <w:tc>
          <w:tcPr>
            <w:tcW w:w="197"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w:t>
            </w:r>
          </w:p>
        </w:tc>
        <w:tc>
          <w:tcPr>
            <w:tcW w:w="23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25</w:t>
            </w:r>
          </w:p>
        </w:tc>
        <w:tc>
          <w:tcPr>
            <w:tcW w:w="211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6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C</w:t>
            </w:r>
          </w:p>
        </w:tc>
        <w:tc>
          <w:tcPr>
            <w:tcW w:w="121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tcBorders>
            <w:shd w:val="clear" w:color="auto" w:fill="FFFFFF"/>
          </w:tcPr>
          <w:p w:rsidR="00862131" w:rsidRDefault="00862131" w:rsidP="00862131">
            <w:pPr>
              <w:jc w:val="center"/>
            </w:pPr>
            <w:hyperlink r:id="rId46" w:history="1">
              <w:r w:rsidRPr="004609C8">
                <w:rPr>
                  <w:b/>
                  <w:bCs/>
                  <w:sz w:val="9"/>
                  <w:szCs w:val="9"/>
                  <w:lang w:val="en-US" w:eastAsia="en-US" w:bidi="en-US"/>
                </w:rPr>
                <w:t>XXXXXXXXXXXXXXX</w:t>
              </w:r>
            </w:hyperlink>
          </w:p>
        </w:tc>
      </w:tr>
      <w:tr w:rsidR="00862131">
        <w:tblPrEx>
          <w:tblCellMar>
            <w:top w:w="0" w:type="dxa"/>
            <w:bottom w:w="0" w:type="dxa"/>
          </w:tblCellMar>
        </w:tblPrEx>
        <w:trPr>
          <w:trHeight w:hRule="exact" w:val="293"/>
          <w:jc w:val="center"/>
        </w:trPr>
        <w:tc>
          <w:tcPr>
            <w:tcW w:w="216"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22</w:t>
            </w:r>
          </w:p>
        </w:tc>
        <w:tc>
          <w:tcPr>
            <w:tcW w:w="2122"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76" w:lineRule="auto"/>
              <w:rPr>
                <w:sz w:val="9"/>
                <w:szCs w:val="9"/>
              </w:rPr>
            </w:pPr>
            <w:r>
              <w:rPr>
                <w:b/>
                <w:bCs/>
                <w:sz w:val="9"/>
                <w:szCs w:val="9"/>
              </w:rPr>
              <w:t>Kinského zahrada, kavárna 98/0,150 00 Praha 5</w:t>
            </w:r>
          </w:p>
        </w:tc>
        <w:tc>
          <w:tcPr>
            <w:tcW w:w="1022"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859182400300145772</w:t>
            </w:r>
          </w:p>
        </w:tc>
        <w:tc>
          <w:tcPr>
            <w:tcW w:w="278"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C02d</w:t>
            </w:r>
          </w:p>
        </w:tc>
        <w:tc>
          <w:tcPr>
            <w:tcW w:w="197"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3</w:t>
            </w:r>
          </w:p>
        </w:tc>
        <w:tc>
          <w:tcPr>
            <w:tcW w:w="235"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rPr>
                <w:sz w:val="9"/>
                <w:szCs w:val="9"/>
              </w:rPr>
            </w:pPr>
            <w:r>
              <w:rPr>
                <w:b/>
                <w:bCs/>
                <w:sz w:val="9"/>
                <w:szCs w:val="9"/>
              </w:rPr>
              <w:t>50</w:t>
            </w:r>
          </w:p>
        </w:tc>
        <w:tc>
          <w:tcPr>
            <w:tcW w:w="2112"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76" w:lineRule="auto"/>
              <w:jc w:val="both"/>
              <w:rPr>
                <w:sz w:val="9"/>
                <w:szCs w:val="9"/>
              </w:rPr>
            </w:pPr>
            <w:r>
              <w:rPr>
                <w:b/>
                <w:bCs/>
                <w:sz w:val="9"/>
                <w:szCs w:val="9"/>
              </w:rPr>
              <w:t>Václavské náměstí 1700/68,115 79 Praha 1 - Nové Město</w:t>
            </w:r>
          </w:p>
        </w:tc>
        <w:tc>
          <w:tcPr>
            <w:tcW w:w="432"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center"/>
              <w:rPr>
                <w:sz w:val="9"/>
                <w:szCs w:val="9"/>
              </w:rPr>
            </w:pPr>
            <w:r>
              <w:rPr>
                <w:b/>
                <w:bCs/>
                <w:sz w:val="9"/>
                <w:szCs w:val="9"/>
              </w:rPr>
              <w:t>C</w:t>
            </w:r>
          </w:p>
        </w:tc>
        <w:tc>
          <w:tcPr>
            <w:tcW w:w="1219"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1.1.2021 -31.12.2021</w:t>
            </w:r>
          </w:p>
        </w:tc>
        <w:tc>
          <w:tcPr>
            <w:tcW w:w="389"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rok</w:t>
            </w:r>
          </w:p>
        </w:tc>
        <w:tc>
          <w:tcPr>
            <w:tcW w:w="475"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40" w:lineRule="auto"/>
              <w:jc w:val="both"/>
              <w:rPr>
                <w:sz w:val="9"/>
                <w:szCs w:val="9"/>
              </w:rPr>
            </w:pPr>
            <w:r>
              <w:rPr>
                <w:b/>
                <w:bCs/>
                <w:sz w:val="9"/>
                <w:szCs w:val="9"/>
              </w:rPr>
              <w:t>čtvrtletní</w:t>
            </w:r>
          </w:p>
        </w:tc>
        <w:tc>
          <w:tcPr>
            <w:tcW w:w="504" w:type="dxa"/>
            <w:tcBorders>
              <w:top w:val="single" w:sz="4" w:space="0" w:color="auto"/>
              <w:left w:val="single" w:sz="4" w:space="0" w:color="auto"/>
              <w:bottom w:val="single" w:sz="4" w:space="0" w:color="auto"/>
            </w:tcBorders>
            <w:shd w:val="clear" w:color="auto" w:fill="FFFFFF"/>
          </w:tcPr>
          <w:p w:rsidR="00862131" w:rsidRDefault="00862131" w:rsidP="00862131">
            <w:pPr>
              <w:pStyle w:val="Style10"/>
              <w:shd w:val="clear" w:color="auto" w:fill="auto"/>
              <w:spacing w:after="0" w:line="276" w:lineRule="auto"/>
              <w:jc w:val="center"/>
              <w:rPr>
                <w:sz w:val="9"/>
                <w:szCs w:val="9"/>
              </w:rPr>
            </w:pPr>
            <w:r>
              <w:rPr>
                <w:b/>
                <w:bCs/>
                <w:sz w:val="9"/>
                <w:szCs w:val="9"/>
              </w:rPr>
              <w:t>poštou + e-mailem</w:t>
            </w:r>
          </w:p>
        </w:tc>
        <w:tc>
          <w:tcPr>
            <w:tcW w:w="1968" w:type="dxa"/>
            <w:tcBorders>
              <w:top w:val="single" w:sz="4" w:space="0" w:color="auto"/>
              <w:left w:val="single" w:sz="4" w:space="0" w:color="auto"/>
              <w:bottom w:val="single" w:sz="4" w:space="0" w:color="auto"/>
            </w:tcBorders>
            <w:shd w:val="clear" w:color="auto" w:fill="FFFFFF"/>
          </w:tcPr>
          <w:p w:rsidR="00862131" w:rsidRDefault="00862131" w:rsidP="00862131">
            <w:pPr>
              <w:jc w:val="center"/>
            </w:pPr>
            <w:hyperlink r:id="rId47" w:history="1">
              <w:r w:rsidRPr="004609C8">
                <w:rPr>
                  <w:b/>
                  <w:bCs/>
                  <w:sz w:val="9"/>
                  <w:szCs w:val="9"/>
                  <w:lang w:val="en-US" w:eastAsia="en-US" w:bidi="en-US"/>
                </w:rPr>
                <w:t>XXXXXXXXXXXXXXX</w:t>
              </w:r>
            </w:hyperlink>
          </w:p>
        </w:tc>
      </w:tr>
      <w:bookmarkEnd w:id="36"/>
    </w:tbl>
    <w:p w:rsidR="00E7419C" w:rsidRDefault="00E7419C">
      <w:pPr>
        <w:spacing w:after="679" w:line="1" w:lineRule="exact"/>
      </w:pPr>
    </w:p>
    <w:p w:rsidR="00E7419C" w:rsidRDefault="00E140D0">
      <w:pPr>
        <w:pStyle w:val="Style30"/>
        <w:shd w:val="clear" w:color="auto" w:fill="auto"/>
      </w:pPr>
      <w:r>
        <w:rPr>
          <w:noProof/>
        </w:rPr>
        <mc:AlternateContent>
          <mc:Choice Requires="wps">
            <w:drawing>
              <wp:anchor distT="0" distB="0" distL="114300" distR="114300" simplePos="0" relativeHeight="125829382" behindDoc="0" locked="0" layoutInCell="1" allowOverlap="1">
                <wp:simplePos x="0" y="0"/>
                <wp:positionH relativeFrom="page">
                  <wp:posOffset>7112635</wp:posOffset>
                </wp:positionH>
                <wp:positionV relativeFrom="paragraph">
                  <wp:posOffset>25400</wp:posOffset>
                </wp:positionV>
                <wp:extent cx="210185" cy="100330"/>
                <wp:effectExtent l="0" t="0" r="0" b="0"/>
                <wp:wrapSquare wrapText="bothSides"/>
                <wp:docPr id="48" name="Shape 48"/>
                <wp:cNvGraphicFramePr/>
                <a:graphic xmlns:a="http://schemas.openxmlformats.org/drawingml/2006/main">
                  <a:graphicData uri="http://schemas.microsoft.com/office/word/2010/wordprocessingShape">
                    <wps:wsp>
                      <wps:cNvSpPr txBox="1"/>
                      <wps:spPr>
                        <a:xfrm>
                          <a:off x="0" y="0"/>
                          <a:ext cx="210185" cy="100330"/>
                        </a:xfrm>
                        <a:prstGeom prst="rect">
                          <a:avLst/>
                        </a:prstGeom>
                        <a:noFill/>
                      </wps:spPr>
                      <wps:txbx>
                        <w:txbxContent>
                          <w:p w:rsidR="00E140D0" w:rsidRDefault="00E140D0">
                            <w:pPr>
                              <w:pStyle w:val="Style30"/>
                              <w:shd w:val="clear" w:color="auto" w:fill="auto"/>
                            </w:pPr>
                            <w:r>
                              <w:t>Stran</w:t>
                            </w:r>
                          </w:p>
                        </w:txbxContent>
                      </wps:txbx>
                      <wps:bodyPr wrap="none" lIns="0" tIns="0" rIns="0" bIns="0"/>
                    </wps:wsp>
                  </a:graphicData>
                </a:graphic>
              </wp:anchor>
            </w:drawing>
          </mc:Choice>
          <mc:Fallback>
            <w:pict>
              <v:shape id="Shape 48" o:spid="_x0000_s1028" type="#_x0000_t202" style="position:absolute;margin-left:560.05pt;margin-top:2pt;width:16.55pt;height:7.9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" filled="f" stroked="f">
                <v:textbox inset="0,0,0,0">
                  <w:txbxContent>
                    <w:p w:rsidR="00E140D0" w:rsidRDefault="00E140D0">
                      <w:pPr>
                        <w:pStyle w:val="Style30"/>
                        <w:shd w:val="clear" w:color="auto" w:fill="auto"/>
                      </w:pPr>
                      <w:r>
                        <w:t>Stran</w:t>
                      </w:r>
                    </w:p>
                  </w:txbxContent>
                </v:textbox>
                <w10:wrap type="square" anchorx="page"/>
              </v:shape>
            </w:pict>
          </mc:Fallback>
        </mc:AlternateContent>
      </w:r>
      <w:r>
        <w:t>ZL č. EL-20200630-1879-2</w:t>
      </w:r>
    </w:p>
    <w:sectPr w:rsidR="00E7419C">
      <w:headerReference w:type="even" r:id="rId48"/>
      <w:headerReference w:type="default" r:id="rId49"/>
      <w:footerReference w:type="even" r:id="rId50"/>
      <w:footerReference w:type="default" r:id="rId51"/>
      <w:pgSz w:w="11909" w:h="16834"/>
      <w:pgMar w:top="2212" w:right="381" w:bottom="6711" w:left="3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79B" w:rsidRDefault="0049279B">
      <w:r>
        <w:separator/>
      </w:r>
    </w:p>
  </w:endnote>
  <w:endnote w:type="continuationSeparator" w:id="0">
    <w:p w:rsidR="0049279B" w:rsidRDefault="0049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1046480</wp:posOffset>
              </wp:positionH>
              <wp:positionV relativeFrom="page">
                <wp:posOffset>9552940</wp:posOffset>
              </wp:positionV>
              <wp:extent cx="5541010" cy="94615"/>
              <wp:effectExtent l="0" t="0" r="0" b="0"/>
              <wp:wrapNone/>
              <wp:docPr id="8" name="Shape 8"/>
              <wp:cNvGraphicFramePr/>
              <a:graphic xmlns:a="http://schemas.openxmlformats.org/drawingml/2006/main">
                <a:graphicData uri="http://schemas.microsoft.com/office/word/2010/wordprocessingShape">
                  <wps:wsp>
                    <wps:cNvSpPr txBox="1"/>
                    <wps:spPr>
                      <a:xfrm>
                        <a:off x="0" y="0"/>
                        <a:ext cx="5541010" cy="94615"/>
                      </a:xfrm>
                      <a:prstGeom prst="rect">
                        <a:avLst/>
                      </a:prstGeom>
                      <a:noFill/>
                    </wps:spPr>
                    <wps:txbx>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2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31" type="#_x0000_t202" style="position:absolute;margin-left:82.4pt;margin-top:752.2pt;width:436.3pt;height:7.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" filled="f" stroked="f">
              <v:textbox style="mso-fit-shape-to-text:t" inset="0,0,0,0">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2 (celkem 7)</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simplePos x="0" y="0"/>
              <wp:positionH relativeFrom="page">
                <wp:posOffset>1040130</wp:posOffset>
              </wp:positionH>
              <wp:positionV relativeFrom="page">
                <wp:posOffset>9533255</wp:posOffset>
              </wp:positionV>
              <wp:extent cx="5553710" cy="0"/>
              <wp:effectExtent l="0" t="0" r="0" b="0"/>
              <wp:wrapNone/>
              <wp:docPr id="10" name="Shape 10"/>
              <wp:cNvGraphicFramePr/>
              <a:graphic xmlns:a="http://schemas.openxmlformats.org/drawingml/2006/main">
                <a:graphicData uri="http://schemas.microsoft.com/office/word/2010/wordprocessingShape">
                  <wps:wsp>
                    <wps:cNvCnPr/>
                    <wps:spPr>
                      <a:xfrm>
                        <a:off x="0" y="0"/>
                        <a:ext cx="5553710" cy="0"/>
                      </a:xfrm>
                      <a:prstGeom prst="straightConnector1">
                        <a:avLst/>
                      </a:prstGeom>
                      <a:ln w="12700">
                        <a:solidFill/>
                      </a:ln>
                    </wps:spPr>
                    <wps:bodyPr/>
                  </wps:wsp>
                </a:graphicData>
              </a:graphic>
            </wp:anchor>
          </w:drawing>
        </mc:Choice>
        <mc:Fallback>
          <w:pict>
            <v:shape o:spt="32" o:oned="true" path="m,l21600,21600e" style="position:absolute;margin-left:81.900000000000006pt;margin-top:750.64999999999998pt;width:437.30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71552" behindDoc="1" locked="0" layoutInCell="1" allowOverlap="1">
              <wp:simplePos x="0" y="0"/>
              <wp:positionH relativeFrom="page">
                <wp:posOffset>1059180</wp:posOffset>
              </wp:positionH>
              <wp:positionV relativeFrom="page">
                <wp:posOffset>10070465</wp:posOffset>
              </wp:positionV>
              <wp:extent cx="5538470" cy="97790"/>
              <wp:effectExtent l="0" t="0" r="0" b="0"/>
              <wp:wrapNone/>
              <wp:docPr id="52" name="Shape 52"/>
              <wp:cNvGraphicFramePr/>
              <a:graphic xmlns:a="http://schemas.openxmlformats.org/drawingml/2006/main">
                <a:graphicData uri="http://schemas.microsoft.com/office/word/2010/wordprocessingShape">
                  <wps:wsp>
                    <wps:cNvSpPr txBox="1"/>
                    <wps:spPr>
                      <a:xfrm>
                        <a:off x="0" y="0"/>
                        <a:ext cx="5538470" cy="97790"/>
                      </a:xfrm>
                      <a:prstGeom prst="rect">
                        <a:avLst/>
                      </a:prstGeom>
                      <a:noFill/>
                    </wps:spPr>
                    <wps:txbx>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7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46" type="#_x0000_t202" style="position:absolute;margin-left:83.4pt;margin-top:792.95pt;width:436.1pt;height:7.7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" filled="f" stroked="f">
              <v:textbox style="mso-fit-shape-to-text:t" inset="0,0,0,0">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7 (celkem 7)</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1056005</wp:posOffset>
              </wp:positionH>
              <wp:positionV relativeFrom="page">
                <wp:posOffset>10054590</wp:posOffset>
              </wp:positionV>
              <wp:extent cx="5547360" cy="0"/>
              <wp:effectExtent l="0" t="0" r="0" b="0"/>
              <wp:wrapNone/>
              <wp:docPr id="54" name="Shape 54"/>
              <wp:cNvGraphicFramePr/>
              <a:graphic xmlns:a="http://schemas.openxmlformats.org/drawingml/2006/main">
                <a:graphicData uri="http://schemas.microsoft.com/office/word/2010/wordprocessingShape">
                  <wps:wsp>
                    <wps:cNvCnPr/>
                    <wps:spPr>
                      <a:xfrm>
                        <a:off x="0" y="0"/>
                        <a:ext cx="5547360" cy="0"/>
                      </a:xfrm>
                      <a:prstGeom prst="straightConnector1">
                        <a:avLst/>
                      </a:prstGeom>
                      <a:ln w="12700">
                        <a:solidFill/>
                      </a:ln>
                    </wps:spPr>
                    <wps:bodyPr/>
                  </wps:wsp>
                </a:graphicData>
              </a:graphic>
            </wp:anchor>
          </w:drawing>
        </mc:Choice>
        <mc:Fallback>
          <w:pict>
            <v:shape o:spt="32" o:oned="true" path="m,l21600,21600e" style="position:absolute;margin-left:83.150000000000006pt;margin-top:791.70000000000005pt;width:436.8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55168" behindDoc="1" locked="0" layoutInCell="1" allowOverlap="1">
              <wp:simplePos x="0" y="0"/>
              <wp:positionH relativeFrom="page">
                <wp:posOffset>1046480</wp:posOffset>
              </wp:positionH>
              <wp:positionV relativeFrom="page">
                <wp:posOffset>9552940</wp:posOffset>
              </wp:positionV>
              <wp:extent cx="554101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541010" cy="94615"/>
                      </a:xfrm>
                      <a:prstGeom prst="rect">
                        <a:avLst/>
                      </a:prstGeom>
                      <a:noFill/>
                    </wps:spPr>
                    <wps:txbx>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2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2" type="#_x0000_t202" style="position:absolute;margin-left:82.4pt;margin-top:752.2pt;width:436.3pt;height:7.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" filled="f" stroked="f">
              <v:textbox style="mso-fit-shape-to-text:t" inset="0,0,0,0">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2 (celkem 7)</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simplePos x="0" y="0"/>
              <wp:positionH relativeFrom="page">
                <wp:posOffset>1040130</wp:posOffset>
              </wp:positionH>
              <wp:positionV relativeFrom="page">
                <wp:posOffset>9533255</wp:posOffset>
              </wp:positionV>
              <wp:extent cx="5553710" cy="0"/>
              <wp:effectExtent l="0" t="0" r="0" b="0"/>
              <wp:wrapNone/>
              <wp:docPr id="5" name="Shape 5"/>
              <wp:cNvGraphicFramePr/>
              <a:graphic xmlns:a="http://schemas.openxmlformats.org/drawingml/2006/main">
                <a:graphicData uri="http://schemas.microsoft.com/office/word/2010/wordprocessingShape">
                  <wps:wsp>
                    <wps:cNvCnPr/>
                    <wps:spPr>
                      <a:xfrm>
                        <a:off x="0" y="0"/>
                        <a:ext cx="5553710" cy="0"/>
                      </a:xfrm>
                      <a:prstGeom prst="straightConnector1">
                        <a:avLst/>
                      </a:prstGeom>
                      <a:ln w="12700">
                        <a:solidFill/>
                      </a:ln>
                    </wps:spPr>
                    <wps:bodyPr/>
                  </wps:wsp>
                </a:graphicData>
              </a:graphic>
            </wp:anchor>
          </w:drawing>
        </mc:Choice>
        <mc:Fallback>
          <w:pict>
            <v:shape o:spt="32" o:oned="true" path="m,l21600,21600e" style="position:absolute;margin-left:81.900000000000006pt;margin-top:750.64999999999998pt;width:437.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1060450</wp:posOffset>
              </wp:positionH>
              <wp:positionV relativeFrom="page">
                <wp:posOffset>9560560</wp:posOffset>
              </wp:positionV>
              <wp:extent cx="5541010" cy="94615"/>
              <wp:effectExtent l="0" t="0" r="0" b="0"/>
              <wp:wrapNone/>
              <wp:docPr id="14" name="Shape 14"/>
              <wp:cNvGraphicFramePr/>
              <a:graphic xmlns:a="http://schemas.openxmlformats.org/drawingml/2006/main">
                <a:graphicData uri="http://schemas.microsoft.com/office/word/2010/wordprocessingShape">
                  <wps:wsp>
                    <wps:cNvSpPr txBox="1"/>
                    <wps:spPr>
                      <a:xfrm>
                        <a:off x="0" y="0"/>
                        <a:ext cx="5541010" cy="94615"/>
                      </a:xfrm>
                      <a:prstGeom prst="rect">
                        <a:avLst/>
                      </a:prstGeom>
                      <a:noFill/>
                    </wps:spPr>
                    <wps:txbx>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 xml:space="preserve">Dodávka elektřiny v rámci SSDE v </w:t>
                          </w:r>
                          <w:proofErr w:type="spellStart"/>
                          <w:r>
                            <w:rPr>
                              <w:rFonts w:ascii="Arial" w:eastAsia="Arial" w:hAnsi="Arial" w:cs="Arial"/>
                              <w:i/>
                              <w:iCs/>
                              <w:sz w:val="14"/>
                              <w:szCs w:val="14"/>
                            </w:rPr>
                            <w:t>napěHové</w:t>
                          </w:r>
                          <w:proofErr w:type="spellEnd"/>
                          <w:r>
                            <w:rPr>
                              <w:rFonts w:ascii="Arial" w:eastAsia="Arial" w:hAnsi="Arial" w:cs="Arial"/>
                              <w:i/>
                              <w:iCs/>
                              <w:sz w:val="14"/>
                              <w:szCs w:val="14"/>
                            </w:rPr>
                            <w:t xml:space="preserve"> hladině nízkého napětí</w:t>
                          </w:r>
                          <w:r>
                            <w:rPr>
                              <w:rFonts w:ascii="Arial" w:eastAsia="Arial" w:hAnsi="Arial" w:cs="Arial"/>
                              <w:i/>
                              <w:iCs/>
                              <w:sz w:val="14"/>
                              <w:szCs w:val="14"/>
                            </w:rPr>
                            <w:tab/>
                            <w:t>Strana 3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3" type="#_x0000_t202" style="position:absolute;margin-left:83.5pt;margin-top:752.8pt;width:436.3pt;height: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" filled="f" stroked="f">
              <v:textbox style="mso-fit-shape-to-text:t" inset="0,0,0,0">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 xml:space="preserve">Dodávka elektřiny v rámci SSDE v </w:t>
                    </w:r>
                    <w:proofErr w:type="spellStart"/>
                    <w:r>
                      <w:rPr>
                        <w:rFonts w:ascii="Arial" w:eastAsia="Arial" w:hAnsi="Arial" w:cs="Arial"/>
                        <w:i/>
                        <w:iCs/>
                        <w:sz w:val="14"/>
                        <w:szCs w:val="14"/>
                      </w:rPr>
                      <w:t>napěHové</w:t>
                    </w:r>
                    <w:proofErr w:type="spellEnd"/>
                    <w:r>
                      <w:rPr>
                        <w:rFonts w:ascii="Arial" w:eastAsia="Arial" w:hAnsi="Arial" w:cs="Arial"/>
                        <w:i/>
                        <w:iCs/>
                        <w:sz w:val="14"/>
                        <w:szCs w:val="14"/>
                      </w:rPr>
                      <w:t xml:space="preserve"> hladině nízkého napětí</w:t>
                    </w:r>
                    <w:r>
                      <w:rPr>
                        <w:rFonts w:ascii="Arial" w:eastAsia="Arial" w:hAnsi="Arial" w:cs="Arial"/>
                        <w:i/>
                        <w:iCs/>
                        <w:sz w:val="14"/>
                        <w:szCs w:val="14"/>
                      </w:rPr>
                      <w:tab/>
                      <w:t>Strana 3 (celkem 7)</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page">
                <wp:posOffset>1057275</wp:posOffset>
              </wp:positionH>
              <wp:positionV relativeFrom="page">
                <wp:posOffset>9544050</wp:posOffset>
              </wp:positionV>
              <wp:extent cx="5550535" cy="0"/>
              <wp:effectExtent l="0" t="0" r="0" b="0"/>
              <wp:wrapNone/>
              <wp:docPr id="16" name="Shape 16"/>
              <wp:cNvGraphicFramePr/>
              <a:graphic xmlns:a="http://schemas.openxmlformats.org/drawingml/2006/main">
                <a:graphicData uri="http://schemas.microsoft.com/office/word/2010/wordprocessingShape">
                  <wps:wsp>
                    <wps:cNvCnPr/>
                    <wps:spPr>
                      <a:xfrm>
                        <a:off x="0" y="0"/>
                        <a:ext cx="5550535" cy="0"/>
                      </a:xfrm>
                      <a:prstGeom prst="straightConnector1">
                        <a:avLst/>
                      </a:prstGeom>
                      <a:ln w="12700">
                        <a:solidFill/>
                      </a:ln>
                    </wps:spPr>
                    <wps:bodyPr/>
                  </wps:wsp>
                </a:graphicData>
              </a:graphic>
            </wp:anchor>
          </w:drawing>
        </mc:Choice>
        <mc:Fallback>
          <w:pict>
            <v:shape o:spt="32" o:oned="true" path="m,l21600,21600e" style="position:absolute;margin-left:83.25pt;margin-top:751.5pt;width:437.0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1060450</wp:posOffset>
              </wp:positionH>
              <wp:positionV relativeFrom="page">
                <wp:posOffset>9560560</wp:posOffset>
              </wp:positionV>
              <wp:extent cx="554101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5541010" cy="94615"/>
                      </a:xfrm>
                      <a:prstGeom prst="rect">
                        <a:avLst/>
                      </a:prstGeom>
                      <a:noFill/>
                    </wps:spPr>
                    <wps:txbx>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 xml:space="preserve">Dodávka elektřiny v rámci SSDE v </w:t>
                          </w:r>
                          <w:proofErr w:type="spellStart"/>
                          <w:r>
                            <w:rPr>
                              <w:rFonts w:ascii="Arial" w:eastAsia="Arial" w:hAnsi="Arial" w:cs="Arial"/>
                              <w:i/>
                              <w:iCs/>
                              <w:sz w:val="14"/>
                              <w:szCs w:val="14"/>
                            </w:rPr>
                            <w:t>napěHové</w:t>
                          </w:r>
                          <w:proofErr w:type="spellEnd"/>
                          <w:r>
                            <w:rPr>
                              <w:rFonts w:ascii="Arial" w:eastAsia="Arial" w:hAnsi="Arial" w:cs="Arial"/>
                              <w:i/>
                              <w:iCs/>
                              <w:sz w:val="14"/>
                              <w:szCs w:val="14"/>
                            </w:rPr>
                            <w:t xml:space="preserve"> hladině nízkého napětí</w:t>
                          </w:r>
                          <w:r>
                            <w:rPr>
                              <w:rFonts w:ascii="Arial" w:eastAsia="Arial" w:hAnsi="Arial" w:cs="Arial"/>
                              <w:i/>
                              <w:iCs/>
                              <w:sz w:val="14"/>
                              <w:szCs w:val="14"/>
                            </w:rPr>
                            <w:tab/>
                            <w:t>Strana 3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83.5pt;margin-top:752.8pt;width:436.3pt;height:7.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" filled="f" stroked="f">
              <v:textbox style="mso-fit-shape-to-text:t" inset="0,0,0,0">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 xml:space="preserve">Dodávka elektřiny v rámci SSDE v </w:t>
                    </w:r>
                    <w:proofErr w:type="spellStart"/>
                    <w:r>
                      <w:rPr>
                        <w:rFonts w:ascii="Arial" w:eastAsia="Arial" w:hAnsi="Arial" w:cs="Arial"/>
                        <w:i/>
                        <w:iCs/>
                        <w:sz w:val="14"/>
                        <w:szCs w:val="14"/>
                      </w:rPr>
                      <w:t>napěHové</w:t>
                    </w:r>
                    <w:proofErr w:type="spellEnd"/>
                    <w:r>
                      <w:rPr>
                        <w:rFonts w:ascii="Arial" w:eastAsia="Arial" w:hAnsi="Arial" w:cs="Arial"/>
                        <w:i/>
                        <w:iCs/>
                        <w:sz w:val="14"/>
                        <w:szCs w:val="14"/>
                      </w:rPr>
                      <w:t xml:space="preserve"> hladině nízkého napětí</w:t>
                    </w:r>
                    <w:r>
                      <w:rPr>
                        <w:rFonts w:ascii="Arial" w:eastAsia="Arial" w:hAnsi="Arial" w:cs="Arial"/>
                        <w:i/>
                        <w:iCs/>
                        <w:sz w:val="14"/>
                        <w:szCs w:val="14"/>
                      </w:rPr>
                      <w:tab/>
                      <w:t>Strana 3 (celkem 7)</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simplePos x="0" y="0"/>
              <wp:positionH relativeFrom="page">
                <wp:posOffset>1057275</wp:posOffset>
              </wp:positionH>
              <wp:positionV relativeFrom="page">
                <wp:posOffset>9544050</wp:posOffset>
              </wp:positionV>
              <wp:extent cx="5550535" cy="0"/>
              <wp:effectExtent l="0" t="0" r="0" b="0"/>
              <wp:wrapNone/>
              <wp:docPr id="13" name="Shape 13"/>
              <wp:cNvGraphicFramePr/>
              <a:graphic xmlns:a="http://schemas.openxmlformats.org/drawingml/2006/main">
                <a:graphicData uri="http://schemas.microsoft.com/office/word/2010/wordprocessingShape">
                  <wps:wsp>
                    <wps:cNvCnPr/>
                    <wps:spPr>
                      <a:xfrm>
                        <a:off x="0" y="0"/>
                        <a:ext cx="5550535" cy="0"/>
                      </a:xfrm>
                      <a:prstGeom prst="straightConnector1">
                        <a:avLst/>
                      </a:prstGeom>
                      <a:ln w="12700">
                        <a:solidFill/>
                      </a:ln>
                    </wps:spPr>
                    <wps:bodyPr/>
                  </wps:wsp>
                </a:graphicData>
              </a:graphic>
            </wp:anchor>
          </w:drawing>
        </mc:Choice>
        <mc:Fallback>
          <w:pict>
            <v:shape o:spt="32" o:oned="true" path="m,l21600,21600e" style="position:absolute;margin-left:83.25pt;margin-top:751.5pt;width:437.0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3360" behindDoc="1" locked="0" layoutInCell="1" allowOverlap="1">
              <wp:simplePos x="0" y="0"/>
              <wp:positionH relativeFrom="page">
                <wp:posOffset>1063625</wp:posOffset>
              </wp:positionH>
              <wp:positionV relativeFrom="page">
                <wp:posOffset>9525635</wp:posOffset>
              </wp:positionV>
              <wp:extent cx="5541010" cy="94615"/>
              <wp:effectExtent l="0" t="0" r="0" b="0"/>
              <wp:wrapNone/>
              <wp:docPr id="24" name="Shape 24"/>
              <wp:cNvGraphicFramePr/>
              <a:graphic xmlns:a="http://schemas.openxmlformats.org/drawingml/2006/main">
                <a:graphicData uri="http://schemas.microsoft.com/office/word/2010/wordprocessingShape">
                  <wps:wsp>
                    <wps:cNvSpPr txBox="1"/>
                    <wps:spPr>
                      <a:xfrm>
                        <a:off x="0" y="0"/>
                        <a:ext cx="5541010" cy="94615"/>
                      </a:xfrm>
                      <a:prstGeom prst="rect">
                        <a:avLst/>
                      </a:prstGeom>
                      <a:noFill/>
                    </wps:spPr>
                    <wps:txbx>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w:t>
                          </w:r>
                          <w:r>
                            <w:rPr>
                              <w:rFonts w:ascii="Arial" w:eastAsia="Arial" w:hAnsi="Arial" w:cs="Arial"/>
                              <w:i/>
                              <w:iCs/>
                              <w:sz w:val="14"/>
                              <w:szCs w:val="14"/>
                            </w:rPr>
                            <w:tab/>
                            <w:t>Strana</w:t>
                          </w:r>
                          <w:r>
                            <w:rPr>
                              <w:sz w:val="15"/>
                              <w:szCs w:val="15"/>
                            </w:rPr>
                            <w:t xml:space="preserve"> 5 </w:t>
                          </w:r>
                          <w:r>
                            <w:rPr>
                              <w:rFonts w:ascii="Arial" w:eastAsia="Arial" w:hAnsi="Arial" w:cs="Arial"/>
                              <w:i/>
                              <w:iCs/>
                              <w:sz w:val="14"/>
                              <w:szCs w:val="14"/>
                            </w:rPr>
                            <w:t>(celkem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37" type="#_x0000_t202" style="position:absolute;margin-left:83.75pt;margin-top:750.05pt;width:436.3pt;height:7.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" filled="f" stroked="f">
              <v:textbox style="mso-fit-shape-to-text:t" inset="0,0,0,0">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w:t>
                    </w:r>
                    <w:r>
                      <w:rPr>
                        <w:rFonts w:ascii="Arial" w:eastAsia="Arial" w:hAnsi="Arial" w:cs="Arial"/>
                        <w:i/>
                        <w:iCs/>
                        <w:sz w:val="14"/>
                        <w:szCs w:val="14"/>
                      </w:rPr>
                      <w:tab/>
                      <w:t>Strana</w:t>
                    </w:r>
                    <w:r>
                      <w:rPr>
                        <w:sz w:val="15"/>
                        <w:szCs w:val="15"/>
                      </w:rPr>
                      <w:t xml:space="preserve"> 5 </w:t>
                    </w:r>
                    <w:r>
                      <w:rPr>
                        <w:rFonts w:ascii="Arial" w:eastAsia="Arial" w:hAnsi="Arial" w:cs="Arial"/>
                        <w:i/>
                        <w:iCs/>
                        <w:sz w:val="14"/>
                        <w:szCs w:val="14"/>
                      </w:rPr>
                      <w:t>(celkem 7)</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page">
                <wp:posOffset>1057910</wp:posOffset>
              </wp:positionH>
              <wp:positionV relativeFrom="page">
                <wp:posOffset>9509760</wp:posOffset>
              </wp:positionV>
              <wp:extent cx="5553710" cy="0"/>
              <wp:effectExtent l="0" t="0" r="0" b="0"/>
              <wp:wrapNone/>
              <wp:docPr id="26" name="Shape 26"/>
              <wp:cNvGraphicFramePr/>
              <a:graphic xmlns:a="http://schemas.openxmlformats.org/drawingml/2006/main">
                <a:graphicData uri="http://schemas.microsoft.com/office/word/2010/wordprocessingShape">
                  <wps:wsp>
                    <wps:cNvCnPr/>
                    <wps:spPr>
                      <a:xfrm>
                        <a:off x="0" y="0"/>
                        <a:ext cx="5553710" cy="0"/>
                      </a:xfrm>
                      <a:prstGeom prst="straightConnector1">
                        <a:avLst/>
                      </a:prstGeom>
                      <a:ln w="12700">
                        <a:solidFill/>
                      </a:ln>
                    </wps:spPr>
                    <wps:bodyPr/>
                  </wps:wsp>
                </a:graphicData>
              </a:graphic>
            </wp:anchor>
          </w:drawing>
        </mc:Choice>
        <mc:Fallback>
          <w:pict>
            <v:shape o:spt="32" o:oned="true" path="m,l21600,21600e" style="position:absolute;margin-left:83.299999999999997pt;margin-top:748.80000000000007pt;width:437.3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1063625</wp:posOffset>
              </wp:positionH>
              <wp:positionV relativeFrom="page">
                <wp:posOffset>9525635</wp:posOffset>
              </wp:positionV>
              <wp:extent cx="554101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5541010" cy="94615"/>
                      </a:xfrm>
                      <a:prstGeom prst="rect">
                        <a:avLst/>
                      </a:prstGeom>
                      <a:noFill/>
                    </wps:spPr>
                    <wps:txbx>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w:t>
                          </w:r>
                          <w:r>
                            <w:rPr>
                              <w:rFonts w:ascii="Arial" w:eastAsia="Arial" w:hAnsi="Arial" w:cs="Arial"/>
                              <w:i/>
                              <w:iCs/>
                              <w:sz w:val="14"/>
                              <w:szCs w:val="14"/>
                            </w:rPr>
                            <w:tab/>
                            <w:t>Strana</w:t>
                          </w:r>
                          <w:r>
                            <w:rPr>
                              <w:sz w:val="15"/>
                              <w:szCs w:val="15"/>
                            </w:rPr>
                            <w:t xml:space="preserve"> 5 </w:t>
                          </w:r>
                          <w:r>
                            <w:rPr>
                              <w:rFonts w:ascii="Arial" w:eastAsia="Arial" w:hAnsi="Arial" w:cs="Arial"/>
                              <w:i/>
                              <w:iCs/>
                              <w:sz w:val="14"/>
                              <w:szCs w:val="14"/>
                            </w:rPr>
                            <w:t>(celkem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8" type="#_x0000_t202" style="position:absolute;margin-left:83.75pt;margin-top:750.05pt;width:436.3pt;height:7.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" filled="f" stroked="f">
              <v:textbox style="mso-fit-shape-to-text:t" inset="0,0,0,0">
                <w:txbxContent>
                  <w:p w:rsidR="00E140D0" w:rsidRDefault="00E140D0">
                    <w:pPr>
                      <w:pStyle w:val="Style4"/>
                      <w:shd w:val="clear" w:color="auto" w:fill="auto"/>
                      <w:tabs>
                        <w:tab w:val="right" w:pos="8726"/>
                      </w:tabs>
                      <w:rPr>
                        <w:sz w:val="14"/>
                        <w:szCs w:val="14"/>
                      </w:rPr>
                    </w:pPr>
                    <w:r>
                      <w:rPr>
                        <w:rFonts w:ascii="Arial" w:eastAsia="Arial" w:hAnsi="Arial" w:cs="Arial"/>
                        <w:i/>
                        <w:iCs/>
                        <w:sz w:val="14"/>
                        <w:szCs w:val="14"/>
                      </w:rPr>
                      <w:t>Dodávka elektřiny v rámci SSDE v napěťové hladině nízkého napět!</w:t>
                    </w:r>
                    <w:r>
                      <w:rPr>
                        <w:rFonts w:ascii="Arial" w:eastAsia="Arial" w:hAnsi="Arial" w:cs="Arial"/>
                        <w:i/>
                        <w:iCs/>
                        <w:sz w:val="14"/>
                        <w:szCs w:val="14"/>
                      </w:rPr>
                      <w:tab/>
                      <w:t>Strana</w:t>
                    </w:r>
                    <w:r>
                      <w:rPr>
                        <w:sz w:val="15"/>
                        <w:szCs w:val="15"/>
                      </w:rPr>
                      <w:t xml:space="preserve"> 5 </w:t>
                    </w:r>
                    <w:r>
                      <w:rPr>
                        <w:rFonts w:ascii="Arial" w:eastAsia="Arial" w:hAnsi="Arial" w:cs="Arial"/>
                        <w:i/>
                        <w:iCs/>
                        <w:sz w:val="14"/>
                        <w:szCs w:val="14"/>
                      </w:rPr>
                      <w:t>(celkem 7)</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simplePos x="0" y="0"/>
              <wp:positionH relativeFrom="page">
                <wp:posOffset>1057910</wp:posOffset>
              </wp:positionH>
              <wp:positionV relativeFrom="page">
                <wp:posOffset>9509760</wp:posOffset>
              </wp:positionV>
              <wp:extent cx="5553710" cy="0"/>
              <wp:effectExtent l="0" t="0" r="0" b="0"/>
              <wp:wrapNone/>
              <wp:docPr id="21" name="Shape 21"/>
              <wp:cNvGraphicFramePr/>
              <a:graphic xmlns:a="http://schemas.openxmlformats.org/drawingml/2006/main">
                <a:graphicData uri="http://schemas.microsoft.com/office/word/2010/wordprocessingShape">
                  <wps:wsp>
                    <wps:cNvCnPr/>
                    <wps:spPr>
                      <a:xfrm>
                        <a:off x="0" y="0"/>
                        <a:ext cx="5553710" cy="0"/>
                      </a:xfrm>
                      <a:prstGeom prst="straightConnector1">
                        <a:avLst/>
                      </a:prstGeom>
                      <a:ln w="12700">
                        <a:solidFill/>
                      </a:ln>
                    </wps:spPr>
                    <wps:bodyPr/>
                  </wps:wsp>
                </a:graphicData>
              </a:graphic>
            </wp:anchor>
          </w:drawing>
        </mc:Choice>
        <mc:Fallback>
          <w:pict>
            <v:shape o:spt="32" o:oned="true" path="m,l21600,21600e" style="position:absolute;margin-left:83.299999999999997pt;margin-top:748.80000000000007pt;width:437.30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5408" behindDoc="1" locked="0" layoutInCell="1" allowOverlap="1">
              <wp:simplePos x="0" y="0"/>
              <wp:positionH relativeFrom="page">
                <wp:posOffset>1043940</wp:posOffset>
              </wp:positionH>
              <wp:positionV relativeFrom="page">
                <wp:posOffset>9561830</wp:posOffset>
              </wp:positionV>
              <wp:extent cx="5538470" cy="97790"/>
              <wp:effectExtent l="0" t="0" r="0" b="0"/>
              <wp:wrapNone/>
              <wp:docPr id="29" name="Shape 29"/>
              <wp:cNvGraphicFramePr/>
              <a:graphic xmlns:a="http://schemas.openxmlformats.org/drawingml/2006/main">
                <a:graphicData uri="http://schemas.microsoft.com/office/word/2010/wordprocessingShape">
                  <wps:wsp>
                    <wps:cNvSpPr txBox="1"/>
                    <wps:spPr>
                      <a:xfrm>
                        <a:off x="0" y="0"/>
                        <a:ext cx="5538470" cy="97790"/>
                      </a:xfrm>
                      <a:prstGeom prst="rect">
                        <a:avLst/>
                      </a:prstGeom>
                      <a:noFill/>
                    </wps:spPr>
                    <wps:txbx>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4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0" type="#_x0000_t202" style="position:absolute;margin-left:82.2pt;margin-top:752.9pt;width:436.1pt;height:7.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" filled="f" stroked="f">
              <v:textbox style="mso-fit-shape-to-text:t" inset="0,0,0,0">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4 (celkem 7)</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simplePos x="0" y="0"/>
              <wp:positionH relativeFrom="page">
                <wp:posOffset>1040765</wp:posOffset>
              </wp:positionH>
              <wp:positionV relativeFrom="page">
                <wp:posOffset>9548495</wp:posOffset>
              </wp:positionV>
              <wp:extent cx="5547360" cy="0"/>
              <wp:effectExtent l="0" t="0" r="0" b="0"/>
              <wp:wrapNone/>
              <wp:docPr id="31" name="Shape 31"/>
              <wp:cNvGraphicFramePr/>
              <a:graphic xmlns:a="http://schemas.openxmlformats.org/drawingml/2006/main">
                <a:graphicData uri="http://schemas.microsoft.com/office/word/2010/wordprocessingShape">
                  <wps:wsp>
                    <wps:cNvCnPr/>
                    <wps:spPr>
                      <a:xfrm>
                        <a:off x="0" y="0"/>
                        <a:ext cx="5547360" cy="0"/>
                      </a:xfrm>
                      <a:prstGeom prst="straightConnector1">
                        <a:avLst/>
                      </a:prstGeom>
                      <a:ln w="12700">
                        <a:solidFill/>
                      </a:ln>
                    </wps:spPr>
                    <wps:bodyPr/>
                  </wps:wsp>
                </a:graphicData>
              </a:graphic>
            </wp:anchor>
          </w:drawing>
        </mc:Choice>
        <mc:Fallback>
          <w:pict>
            <v:shape o:spt="32" o:oned="true" path="m,l21600,21600e" style="position:absolute;margin-left:81.950000000000003pt;margin-top:751.85000000000002pt;width:436.8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9504" behindDoc="1" locked="0" layoutInCell="1" allowOverlap="1">
              <wp:simplePos x="0" y="0"/>
              <wp:positionH relativeFrom="page">
                <wp:posOffset>1048385</wp:posOffset>
              </wp:positionH>
              <wp:positionV relativeFrom="page">
                <wp:posOffset>9522460</wp:posOffset>
              </wp:positionV>
              <wp:extent cx="5538470"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5538470" cy="94615"/>
                      </a:xfrm>
                      <a:prstGeom prst="rect">
                        <a:avLst/>
                      </a:prstGeom>
                      <a:noFill/>
                    </wps:spPr>
                    <wps:txbx>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5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3" type="#_x0000_t202" style="position:absolute;margin-left:82.55pt;margin-top:749.8pt;width:436.1pt;height:7.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" filled="f" stroked="f">
              <v:textbox style="mso-fit-shape-to-text:t" inset="0,0,0,0">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Dodávka elektřiny v rámci SSDE v napěťové hladině nízkého napětí</w:t>
                    </w:r>
                    <w:r>
                      <w:rPr>
                        <w:rFonts w:ascii="Arial" w:eastAsia="Arial" w:hAnsi="Arial" w:cs="Arial"/>
                        <w:i/>
                        <w:iCs/>
                        <w:sz w:val="14"/>
                        <w:szCs w:val="14"/>
                      </w:rPr>
                      <w:tab/>
                      <w:t>Strana 5 (celkem 7)</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simplePos x="0" y="0"/>
              <wp:positionH relativeFrom="page">
                <wp:posOffset>1042670</wp:posOffset>
              </wp:positionH>
              <wp:positionV relativeFrom="page">
                <wp:posOffset>9509125</wp:posOffset>
              </wp:positionV>
              <wp:extent cx="5550535" cy="0"/>
              <wp:effectExtent l="0" t="0" r="0" b="0"/>
              <wp:wrapNone/>
              <wp:docPr id="41" name="Shape 41"/>
              <wp:cNvGraphicFramePr/>
              <a:graphic xmlns:a="http://schemas.openxmlformats.org/drawingml/2006/main">
                <a:graphicData uri="http://schemas.microsoft.com/office/word/2010/wordprocessingShape">
                  <wps:wsp>
                    <wps:cNvCnPr/>
                    <wps:spPr>
                      <a:xfrm>
                        <a:off x="0" y="0"/>
                        <a:ext cx="5550535" cy="0"/>
                      </a:xfrm>
                      <a:prstGeom prst="straightConnector1">
                        <a:avLst/>
                      </a:prstGeom>
                      <a:ln w="12700">
                        <a:solidFill/>
                      </a:ln>
                    </wps:spPr>
                    <wps:bodyPr/>
                  </wps:wsp>
                </a:graphicData>
              </a:graphic>
            </wp:anchor>
          </w:drawing>
        </mc:Choice>
        <mc:Fallback>
          <w:pict>
            <v:shape o:spt="32" o:oned="true" path="m,l21600,21600e" style="position:absolute;margin-left:82.100000000000009pt;margin-top:748.75pt;width:437.0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7456" behindDoc="1" locked="0" layoutInCell="1" allowOverlap="1">
              <wp:simplePos x="0" y="0"/>
              <wp:positionH relativeFrom="page">
                <wp:posOffset>1048385</wp:posOffset>
              </wp:positionH>
              <wp:positionV relativeFrom="page">
                <wp:posOffset>9522460</wp:posOffset>
              </wp:positionV>
              <wp:extent cx="5538470" cy="94615"/>
              <wp:effectExtent l="0" t="0" r="0" b="0"/>
              <wp:wrapNone/>
              <wp:docPr id="34" name="Shape 34"/>
              <wp:cNvGraphicFramePr/>
              <a:graphic xmlns:a="http://schemas.openxmlformats.org/drawingml/2006/main">
                <a:graphicData uri="http://schemas.microsoft.com/office/word/2010/wordprocessingShape">
                  <wps:wsp>
                    <wps:cNvSpPr txBox="1"/>
                    <wps:spPr>
                      <a:xfrm>
                        <a:off x="0" y="0"/>
                        <a:ext cx="5538470" cy="94615"/>
                      </a:xfrm>
                      <a:prstGeom prst="rect">
                        <a:avLst/>
                      </a:prstGeom>
                      <a:noFill/>
                    </wps:spPr>
                    <wps:txbx>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 xml:space="preserve">Dodávka </w:t>
                          </w:r>
                          <w:proofErr w:type="spellStart"/>
                          <w:r>
                            <w:rPr>
                              <w:rFonts w:ascii="Arial" w:eastAsia="Arial" w:hAnsi="Arial" w:cs="Arial"/>
                              <w:i/>
                              <w:iCs/>
                              <w:sz w:val="14"/>
                              <w:szCs w:val="14"/>
                            </w:rPr>
                            <w:t>elektnny</w:t>
                          </w:r>
                          <w:proofErr w:type="spellEnd"/>
                          <w:r>
                            <w:rPr>
                              <w:rFonts w:ascii="Arial" w:eastAsia="Arial" w:hAnsi="Arial" w:cs="Arial"/>
                              <w:i/>
                              <w:iCs/>
                              <w:sz w:val="14"/>
                              <w:szCs w:val="14"/>
                            </w:rPr>
                            <w:t xml:space="preserve"> v rámci SSDE v napěťové hladině nízkého napětí</w:t>
                          </w:r>
                          <w:r>
                            <w:rPr>
                              <w:rFonts w:ascii="Arial" w:eastAsia="Arial" w:hAnsi="Arial" w:cs="Arial"/>
                              <w:i/>
                              <w:iCs/>
                              <w:sz w:val="14"/>
                              <w:szCs w:val="14"/>
                            </w:rPr>
                            <w:tab/>
                            <w:t>Strana 5 (celkem 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44" type="#_x0000_t202" style="position:absolute;margin-left:82.55pt;margin-top:749.8pt;width:436.1pt;height:7.4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" filled="f" stroked="f">
              <v:textbox style="mso-fit-shape-to-text:t" inset="0,0,0,0">
                <w:txbxContent>
                  <w:p w:rsidR="00E140D0" w:rsidRDefault="00E140D0">
                    <w:pPr>
                      <w:pStyle w:val="Style4"/>
                      <w:shd w:val="clear" w:color="auto" w:fill="auto"/>
                      <w:tabs>
                        <w:tab w:val="right" w:pos="8722"/>
                      </w:tabs>
                      <w:rPr>
                        <w:sz w:val="14"/>
                        <w:szCs w:val="14"/>
                      </w:rPr>
                    </w:pPr>
                    <w:r>
                      <w:rPr>
                        <w:rFonts w:ascii="Arial" w:eastAsia="Arial" w:hAnsi="Arial" w:cs="Arial"/>
                        <w:i/>
                        <w:iCs/>
                        <w:sz w:val="14"/>
                        <w:szCs w:val="14"/>
                      </w:rPr>
                      <w:t xml:space="preserve">Dodávka </w:t>
                    </w:r>
                    <w:proofErr w:type="spellStart"/>
                    <w:r>
                      <w:rPr>
                        <w:rFonts w:ascii="Arial" w:eastAsia="Arial" w:hAnsi="Arial" w:cs="Arial"/>
                        <w:i/>
                        <w:iCs/>
                        <w:sz w:val="14"/>
                        <w:szCs w:val="14"/>
                      </w:rPr>
                      <w:t>elektnny</w:t>
                    </w:r>
                    <w:proofErr w:type="spellEnd"/>
                    <w:r>
                      <w:rPr>
                        <w:rFonts w:ascii="Arial" w:eastAsia="Arial" w:hAnsi="Arial" w:cs="Arial"/>
                        <w:i/>
                        <w:iCs/>
                        <w:sz w:val="14"/>
                        <w:szCs w:val="14"/>
                      </w:rPr>
                      <w:t xml:space="preserve"> v rámci SSDE v napěťové hladině nízkého napětí</w:t>
                    </w:r>
                    <w:r>
                      <w:rPr>
                        <w:rFonts w:ascii="Arial" w:eastAsia="Arial" w:hAnsi="Arial" w:cs="Arial"/>
                        <w:i/>
                        <w:iCs/>
                        <w:sz w:val="14"/>
                        <w:szCs w:val="14"/>
                      </w:rPr>
                      <w:tab/>
                      <w:t>Strana 5 (celkem 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1042670</wp:posOffset>
              </wp:positionH>
              <wp:positionV relativeFrom="page">
                <wp:posOffset>9509125</wp:posOffset>
              </wp:positionV>
              <wp:extent cx="5550535" cy="0"/>
              <wp:effectExtent l="0" t="0" r="0" b="0"/>
              <wp:wrapNone/>
              <wp:docPr id="36" name="Shape 36"/>
              <wp:cNvGraphicFramePr/>
              <a:graphic xmlns:a="http://schemas.openxmlformats.org/drawingml/2006/main">
                <a:graphicData uri="http://schemas.microsoft.com/office/word/2010/wordprocessingShape">
                  <wps:wsp>
                    <wps:cNvCnPr/>
                    <wps:spPr>
                      <a:xfrm>
                        <a:off x="0" y="0"/>
                        <a:ext cx="5550535" cy="0"/>
                      </a:xfrm>
                      <a:prstGeom prst="straightConnector1">
                        <a:avLst/>
                      </a:prstGeom>
                      <a:ln w="12700">
                        <a:solidFill/>
                      </a:ln>
                    </wps:spPr>
                    <wps:bodyPr/>
                  </wps:wsp>
                </a:graphicData>
              </a:graphic>
            </wp:anchor>
          </w:drawing>
        </mc:Choice>
        <mc:Fallback>
          <w:pict>
            <v:shape o:spt="32" o:oned="true" path="m,l21600,21600e" style="position:absolute;margin-left:82.100000000000009pt;margin-top:748.75pt;width:437.0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79B" w:rsidRDefault="0049279B"/>
  </w:footnote>
  <w:footnote w:type="continuationSeparator" w:id="0">
    <w:p w:rsidR="0049279B" w:rsidRDefault="00492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56192" behindDoc="1" locked="0" layoutInCell="1" allowOverlap="1">
              <wp:simplePos x="0" y="0"/>
              <wp:positionH relativeFrom="page">
                <wp:posOffset>1781175</wp:posOffset>
              </wp:positionH>
              <wp:positionV relativeFrom="page">
                <wp:posOffset>558165</wp:posOffset>
              </wp:positionV>
              <wp:extent cx="956945" cy="152400"/>
              <wp:effectExtent l="0" t="0" r="0" b="0"/>
              <wp:wrapNone/>
              <wp:docPr id="6" name="Shape 6"/>
              <wp:cNvGraphicFramePr/>
              <a:graphic xmlns:a="http://schemas.openxmlformats.org/drawingml/2006/main">
                <a:graphicData uri="http://schemas.microsoft.com/office/word/2010/wordprocessingShape">
                  <wps:wsp>
                    <wps:cNvSpPr txBox="1"/>
                    <wps:spPr>
                      <a:xfrm>
                        <a:off x="0" y="0"/>
                        <a:ext cx="956945" cy="152400"/>
                      </a:xfrm>
                      <a:prstGeom prst="rect">
                        <a:avLst/>
                      </a:prstGeom>
                      <a:noFill/>
                    </wps:spPr>
                    <wps:txbx>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9" type="#_x0000_t202" style="position:absolute;margin-left:140.25pt;margin-top:43.95pt;width:75.35pt;height:1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" filled="f" stroked="f">
              <v:textbox style="mso-fit-shape-to-text:t" inset="0,0,0,0">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70528" behindDoc="1" locked="0" layoutInCell="1" allowOverlap="1">
              <wp:simplePos x="0" y="0"/>
              <wp:positionH relativeFrom="page">
                <wp:posOffset>1796415</wp:posOffset>
              </wp:positionH>
              <wp:positionV relativeFrom="page">
                <wp:posOffset>1081405</wp:posOffset>
              </wp:positionV>
              <wp:extent cx="960120" cy="152400"/>
              <wp:effectExtent l="0" t="0" r="0" b="0"/>
              <wp:wrapNone/>
              <wp:docPr id="50" name="Shape 50"/>
              <wp:cNvGraphicFramePr/>
              <a:graphic xmlns:a="http://schemas.openxmlformats.org/drawingml/2006/main">
                <a:graphicData uri="http://schemas.microsoft.com/office/word/2010/wordprocessingShape">
                  <wps:wsp>
                    <wps:cNvSpPr txBox="1"/>
                    <wps:spPr>
                      <a:xfrm>
                        <a:off x="0" y="0"/>
                        <a:ext cx="960120" cy="152400"/>
                      </a:xfrm>
                      <a:prstGeom prst="rect">
                        <a:avLst/>
                      </a:prstGeom>
                      <a:noFill/>
                    </wps:spPr>
                    <wps:txbx>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 o:spid="_x0000_s1045" type="#_x0000_t202" style="position:absolute;margin-left:141.45pt;margin-top:85.15pt;width:75.6pt;height:12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" filled="f" stroked="f">
              <v:textbox style="mso-fit-shape-to-text:t" inset="0,0,0,0">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54144" behindDoc="1" locked="0" layoutInCell="1" allowOverlap="1">
              <wp:simplePos x="0" y="0"/>
              <wp:positionH relativeFrom="page">
                <wp:posOffset>1781175</wp:posOffset>
              </wp:positionH>
              <wp:positionV relativeFrom="page">
                <wp:posOffset>558165</wp:posOffset>
              </wp:positionV>
              <wp:extent cx="956945" cy="152400"/>
              <wp:effectExtent l="0" t="0" r="0" b="0"/>
              <wp:wrapNone/>
              <wp:docPr id="1" name="Shape 1"/>
              <wp:cNvGraphicFramePr/>
              <a:graphic xmlns:a="http://schemas.openxmlformats.org/drawingml/2006/main">
                <a:graphicData uri="http://schemas.microsoft.com/office/word/2010/wordprocessingShape">
                  <wps:wsp>
                    <wps:cNvSpPr txBox="1"/>
                    <wps:spPr>
                      <a:xfrm>
                        <a:off x="0" y="0"/>
                        <a:ext cx="956945" cy="152400"/>
                      </a:xfrm>
                      <a:prstGeom prst="rect">
                        <a:avLst/>
                      </a:prstGeom>
                      <a:noFill/>
                    </wps:spPr>
                    <wps:txbx>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140.25pt;margin-top:43.95pt;width:75.35pt;height:12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" filled="f" stroked="f">
              <v:textbox style="mso-fit-shape-to-text:t" inset="0,0,0,0">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1197610</wp:posOffset>
              </wp:positionH>
              <wp:positionV relativeFrom="page">
                <wp:posOffset>521970</wp:posOffset>
              </wp:positionV>
              <wp:extent cx="1557655" cy="207010"/>
              <wp:effectExtent l="0" t="0" r="0" b="0"/>
              <wp:wrapNone/>
              <wp:docPr id="22" name="Shape 22"/>
              <wp:cNvGraphicFramePr/>
              <a:graphic xmlns:a="http://schemas.openxmlformats.org/drawingml/2006/main">
                <a:graphicData uri="http://schemas.microsoft.com/office/word/2010/wordprocessingShape">
                  <wps:wsp>
                    <wps:cNvSpPr txBox="1"/>
                    <wps:spPr>
                      <a:xfrm>
                        <a:off x="0" y="0"/>
                        <a:ext cx="1557655" cy="207010"/>
                      </a:xfrm>
                      <a:prstGeom prst="rect">
                        <a:avLst/>
                      </a:prstGeom>
                      <a:noFill/>
                    </wps:spPr>
                    <wps:txbx>
                      <w:txbxContent>
                        <w:p w:rsidR="00E140D0" w:rsidRDefault="00E140D0">
                          <w:pPr>
                            <w:pStyle w:val="Style4"/>
                            <w:shd w:val="clear" w:color="auto" w:fill="auto"/>
                            <w:tabs>
                              <w:tab w:val="right" w:pos="2155"/>
                            </w:tabs>
                            <w:rPr>
                              <w:sz w:val="9"/>
                              <w:szCs w:val="9"/>
                            </w:rPr>
                          </w:pPr>
                          <w:r>
                            <w:rPr>
                              <w:rFonts w:ascii="Arial" w:eastAsia="Arial" w:hAnsi="Arial" w:cs="Arial"/>
                              <w:sz w:val="18"/>
                              <w:szCs w:val="18"/>
                              <w:lang w:val="en-US" w:eastAsia="en-US" w:bidi="en-US"/>
                            </w:rPr>
                            <w:t>'•L/'</w:t>
                          </w:r>
                          <w:r>
                            <w:rPr>
                              <w:rFonts w:ascii="Arial" w:eastAsia="Arial" w:hAnsi="Arial" w:cs="Arial"/>
                              <w:sz w:val="18"/>
                              <w:szCs w:val="18"/>
                              <w:lang w:val="en-US" w:eastAsia="en-US" w:bidi="en-US"/>
                            </w:rPr>
                            <w:tab/>
                          </w: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lang w:val="en-US" w:eastAsia="en-US" w:bidi="en-US"/>
                            </w:rPr>
                            <w:t xml:space="preserve">J </w:t>
                          </w:r>
                          <w:r>
                            <w:rPr>
                              <w:rFonts w:ascii="Arial" w:eastAsia="Arial" w:hAnsi="Arial" w:cs="Arial"/>
                              <w:b/>
                              <w:bCs/>
                              <w:sz w:val="9"/>
                              <w:szCs w:val="9"/>
                            </w:rPr>
                            <w:t>KOMODITNÍ BURZA KLADNO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35" type="#_x0000_t202" style="position:absolute;margin-left:94.3pt;margin-top:41.1pt;width:122.65pt;height:16.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" filled="f" stroked="f">
              <v:textbox style="mso-fit-shape-to-text:t" inset="0,0,0,0">
                <w:txbxContent>
                  <w:p w:rsidR="00E140D0" w:rsidRDefault="00E140D0">
                    <w:pPr>
                      <w:pStyle w:val="Style4"/>
                      <w:shd w:val="clear" w:color="auto" w:fill="auto"/>
                      <w:tabs>
                        <w:tab w:val="right" w:pos="2155"/>
                      </w:tabs>
                      <w:rPr>
                        <w:sz w:val="9"/>
                        <w:szCs w:val="9"/>
                      </w:rPr>
                    </w:pPr>
                    <w:r>
                      <w:rPr>
                        <w:rFonts w:ascii="Arial" w:eastAsia="Arial" w:hAnsi="Arial" w:cs="Arial"/>
                        <w:sz w:val="18"/>
                        <w:szCs w:val="18"/>
                        <w:lang w:val="en-US" w:eastAsia="en-US" w:bidi="en-US"/>
                      </w:rPr>
                      <w:t>'•L/'</w:t>
                    </w:r>
                    <w:r>
                      <w:rPr>
                        <w:rFonts w:ascii="Arial" w:eastAsia="Arial" w:hAnsi="Arial" w:cs="Arial"/>
                        <w:sz w:val="18"/>
                        <w:szCs w:val="18"/>
                        <w:lang w:val="en-US" w:eastAsia="en-US" w:bidi="en-US"/>
                      </w:rPr>
                      <w:tab/>
                    </w: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lang w:val="en-US" w:eastAsia="en-US" w:bidi="en-US"/>
                      </w:rPr>
                      <w:t xml:space="preserve">J </w:t>
                    </w:r>
                    <w:r>
                      <w:rPr>
                        <w:rFonts w:ascii="Arial" w:eastAsia="Arial" w:hAnsi="Arial" w:cs="Arial"/>
                        <w:b/>
                        <w:bCs/>
                        <w:sz w:val="9"/>
                        <w:szCs w:val="9"/>
                      </w:rPr>
                      <w:t>KOMODITNÍ BURZA KLADNO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1197610</wp:posOffset>
              </wp:positionH>
              <wp:positionV relativeFrom="page">
                <wp:posOffset>521970</wp:posOffset>
              </wp:positionV>
              <wp:extent cx="1557655" cy="207010"/>
              <wp:effectExtent l="0" t="0" r="0" b="0"/>
              <wp:wrapNone/>
              <wp:docPr id="17" name="Shape 17"/>
              <wp:cNvGraphicFramePr/>
              <a:graphic xmlns:a="http://schemas.openxmlformats.org/drawingml/2006/main">
                <a:graphicData uri="http://schemas.microsoft.com/office/word/2010/wordprocessingShape">
                  <wps:wsp>
                    <wps:cNvSpPr txBox="1"/>
                    <wps:spPr>
                      <a:xfrm>
                        <a:off x="0" y="0"/>
                        <a:ext cx="1557655" cy="207010"/>
                      </a:xfrm>
                      <a:prstGeom prst="rect">
                        <a:avLst/>
                      </a:prstGeom>
                      <a:noFill/>
                    </wps:spPr>
                    <wps:txbx>
                      <w:txbxContent>
                        <w:p w:rsidR="00E140D0" w:rsidRDefault="00E140D0">
                          <w:pPr>
                            <w:pStyle w:val="Style4"/>
                            <w:shd w:val="clear" w:color="auto" w:fill="auto"/>
                            <w:tabs>
                              <w:tab w:val="right" w:pos="2155"/>
                            </w:tabs>
                            <w:rPr>
                              <w:sz w:val="9"/>
                              <w:szCs w:val="9"/>
                            </w:rPr>
                          </w:pPr>
                          <w:r>
                            <w:rPr>
                              <w:rFonts w:ascii="Arial" w:eastAsia="Arial" w:hAnsi="Arial" w:cs="Arial"/>
                              <w:sz w:val="18"/>
                              <w:szCs w:val="18"/>
                              <w:lang w:val="en-US" w:eastAsia="en-US" w:bidi="en-US"/>
                            </w:rPr>
                            <w:t>'•L/'</w:t>
                          </w:r>
                          <w:r>
                            <w:rPr>
                              <w:rFonts w:ascii="Arial" w:eastAsia="Arial" w:hAnsi="Arial" w:cs="Arial"/>
                              <w:sz w:val="18"/>
                              <w:szCs w:val="18"/>
                              <w:lang w:val="en-US" w:eastAsia="en-US" w:bidi="en-US"/>
                            </w:rPr>
                            <w:tab/>
                          </w: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lang w:val="en-US" w:eastAsia="en-US" w:bidi="en-US"/>
                            </w:rPr>
                            <w:t xml:space="preserve">J </w:t>
                          </w:r>
                          <w:r>
                            <w:rPr>
                              <w:rFonts w:ascii="Arial" w:eastAsia="Arial" w:hAnsi="Arial" w:cs="Arial"/>
                              <w:b/>
                              <w:bCs/>
                              <w:sz w:val="9"/>
                              <w:szCs w:val="9"/>
                            </w:rPr>
                            <w:t>KOMODITNÍ BURZA KLADNO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6" type="#_x0000_t202" style="position:absolute;margin-left:94.3pt;margin-top:41.1pt;width:122.65pt;height:16.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" filled="f" stroked="f">
              <v:textbox style="mso-fit-shape-to-text:t" inset="0,0,0,0">
                <w:txbxContent>
                  <w:p w:rsidR="00E140D0" w:rsidRDefault="00E140D0">
                    <w:pPr>
                      <w:pStyle w:val="Style4"/>
                      <w:shd w:val="clear" w:color="auto" w:fill="auto"/>
                      <w:tabs>
                        <w:tab w:val="right" w:pos="2155"/>
                      </w:tabs>
                      <w:rPr>
                        <w:sz w:val="9"/>
                        <w:szCs w:val="9"/>
                      </w:rPr>
                    </w:pPr>
                    <w:r>
                      <w:rPr>
                        <w:rFonts w:ascii="Arial" w:eastAsia="Arial" w:hAnsi="Arial" w:cs="Arial"/>
                        <w:sz w:val="18"/>
                        <w:szCs w:val="18"/>
                        <w:lang w:val="en-US" w:eastAsia="en-US" w:bidi="en-US"/>
                      </w:rPr>
                      <w:t>'•L/'</w:t>
                    </w:r>
                    <w:r>
                      <w:rPr>
                        <w:rFonts w:ascii="Arial" w:eastAsia="Arial" w:hAnsi="Arial" w:cs="Arial"/>
                        <w:sz w:val="18"/>
                        <w:szCs w:val="18"/>
                        <w:lang w:val="en-US" w:eastAsia="en-US" w:bidi="en-US"/>
                      </w:rPr>
                      <w:tab/>
                    </w: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lang w:val="en-US" w:eastAsia="en-US" w:bidi="en-US"/>
                      </w:rPr>
                      <w:t xml:space="preserve">J </w:t>
                    </w:r>
                    <w:r>
                      <w:rPr>
                        <w:rFonts w:ascii="Arial" w:eastAsia="Arial" w:hAnsi="Arial" w:cs="Arial"/>
                        <w:b/>
                        <w:bCs/>
                        <w:sz w:val="9"/>
                        <w:szCs w:val="9"/>
                      </w:rPr>
                      <w:t>KOMODITNÍ BURZA KLADNO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4384" behindDoc="1" locked="0" layoutInCell="1" allowOverlap="1">
              <wp:simplePos x="0" y="0"/>
              <wp:positionH relativeFrom="page">
                <wp:posOffset>1516380</wp:posOffset>
              </wp:positionH>
              <wp:positionV relativeFrom="page">
                <wp:posOffset>558165</wp:posOffset>
              </wp:positionV>
              <wp:extent cx="1222375" cy="170815"/>
              <wp:effectExtent l="0" t="0" r="0" b="0"/>
              <wp:wrapNone/>
              <wp:docPr id="27" name="Shape 27"/>
              <wp:cNvGraphicFramePr/>
              <a:graphic xmlns:a="http://schemas.openxmlformats.org/drawingml/2006/main">
                <a:graphicData uri="http://schemas.microsoft.com/office/word/2010/wordprocessingShape">
                  <wps:wsp>
                    <wps:cNvSpPr txBox="1"/>
                    <wps:spPr>
                      <a:xfrm>
                        <a:off x="0" y="0"/>
                        <a:ext cx="1222375" cy="170815"/>
                      </a:xfrm>
                      <a:prstGeom prst="rect">
                        <a:avLst/>
                      </a:prstGeom>
                      <a:noFill/>
                    </wps:spPr>
                    <wps:txbx>
                      <w:txbxContent>
                        <w:p w:rsidR="00E140D0" w:rsidRDefault="00E140D0">
                          <w:pPr>
                            <w:pStyle w:val="Style4"/>
                            <w:shd w:val="clear" w:color="auto" w:fill="auto"/>
                            <w:tabs>
                              <w:tab w:val="right" w:pos="1632"/>
                            </w:tabs>
                            <w:rPr>
                              <w:sz w:val="9"/>
                              <w:szCs w:val="9"/>
                            </w:rPr>
                          </w:pPr>
                          <w:r>
                            <w:rPr>
                              <w:rFonts w:ascii="Arial" w:eastAsia="Arial" w:hAnsi="Arial" w:cs="Arial"/>
                              <w:b/>
                              <w:bCs/>
                              <w:sz w:val="9"/>
                              <w:szCs w:val="9"/>
                            </w:rPr>
                            <w:t>' Ir</w:t>
                          </w:r>
                          <w:r>
                            <w:rPr>
                              <w:rFonts w:ascii="Arial" w:eastAsia="Arial" w:hAnsi="Arial" w:cs="Arial"/>
                              <w:b/>
                              <w:bCs/>
                              <w:sz w:val="9"/>
                              <w:szCs w:val="9"/>
                            </w:rPr>
                            <w:tab/>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9" type="#_x0000_t202" style="position:absolute;margin-left:119.4pt;margin-top:43.95pt;width:96.25pt;height:13.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" filled="f" stroked="f">
              <v:textbox style="mso-fit-shape-to-text:t" inset="0,0,0,0">
                <w:txbxContent>
                  <w:p w:rsidR="00E140D0" w:rsidRDefault="00E140D0">
                    <w:pPr>
                      <w:pStyle w:val="Style4"/>
                      <w:shd w:val="clear" w:color="auto" w:fill="auto"/>
                      <w:tabs>
                        <w:tab w:val="right" w:pos="1632"/>
                      </w:tabs>
                      <w:rPr>
                        <w:sz w:val="9"/>
                        <w:szCs w:val="9"/>
                      </w:rPr>
                    </w:pPr>
                    <w:r>
                      <w:rPr>
                        <w:rFonts w:ascii="Arial" w:eastAsia="Arial" w:hAnsi="Arial" w:cs="Arial"/>
                        <w:b/>
                        <w:bCs/>
                        <w:sz w:val="9"/>
                        <w:szCs w:val="9"/>
                      </w:rPr>
                      <w:t>' Ir</w:t>
                    </w:r>
                    <w:r>
                      <w:rPr>
                        <w:rFonts w:ascii="Arial" w:eastAsia="Arial" w:hAnsi="Arial" w:cs="Arial"/>
                        <w:b/>
                        <w:bCs/>
                        <w:sz w:val="9"/>
                        <w:szCs w:val="9"/>
                      </w:rPr>
                      <w:tab/>
                      <w:t>ČESKOMORAVSKÁ</w:t>
                    </w:r>
                  </w:p>
                  <w:p w:rsidR="00E140D0" w:rsidRDefault="00E140D0">
                    <w:pPr>
                      <w:pStyle w:val="Style4"/>
                      <w:shd w:val="clear" w:color="auto" w:fill="auto"/>
                      <w:rPr>
                        <w:sz w:val="9"/>
                        <w:szCs w:val="9"/>
                      </w:rPr>
                    </w:pPr>
                    <w:r>
                      <w:rPr>
                        <w:rFonts w:ascii="Arial" w:eastAsia="Arial" w:hAnsi="Arial" w:cs="Arial"/>
                        <w:b/>
                        <w:bCs/>
                        <w:sz w:val="9"/>
                        <w:szCs w:val="9"/>
                      </w:rPr>
                      <w:t>KOMODITNÍ BURZA KLADNO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8480" behindDoc="1" locked="0" layoutInCell="1" allowOverlap="1">
              <wp:simplePos x="0" y="0"/>
              <wp:positionH relativeFrom="page">
                <wp:posOffset>1200785</wp:posOffset>
              </wp:positionH>
              <wp:positionV relativeFrom="page">
                <wp:posOffset>537210</wp:posOffset>
              </wp:positionV>
              <wp:extent cx="1532890" cy="194945"/>
              <wp:effectExtent l="0" t="0" r="0" b="0"/>
              <wp:wrapNone/>
              <wp:docPr id="37" name="Shape 37"/>
              <wp:cNvGraphicFramePr/>
              <a:graphic xmlns:a="http://schemas.openxmlformats.org/drawingml/2006/main">
                <a:graphicData uri="http://schemas.microsoft.com/office/word/2010/wordprocessingShape">
                  <wps:wsp>
                    <wps:cNvSpPr txBox="1"/>
                    <wps:spPr>
                      <a:xfrm>
                        <a:off x="0" y="0"/>
                        <a:ext cx="1532890" cy="194945"/>
                      </a:xfrm>
                      <a:prstGeom prst="rect">
                        <a:avLst/>
                      </a:prstGeom>
                      <a:noFill/>
                    </wps:spPr>
                    <wps:txbx>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 xml:space="preserve">™l </w:t>
                          </w:r>
                          <w:r>
                            <w:rPr>
                              <w:rFonts w:ascii="Arial" w:eastAsia="Arial" w:hAnsi="Arial" w:cs="Arial"/>
                              <w:b/>
                              <w:bCs/>
                              <w:sz w:val="9"/>
                              <w:szCs w:val="9"/>
                              <w:lang w:val="en-US" w:eastAsia="en-US" w:bidi="en-US"/>
                            </w:rPr>
                            <w:t xml:space="preserve">'J </w:t>
                          </w:r>
                          <w:r>
                            <w:rPr>
                              <w:rFonts w:ascii="Arial" w:eastAsia="Arial" w:hAnsi="Arial" w:cs="Arial"/>
                              <w:b/>
                              <w:bCs/>
                              <w:sz w:val="9"/>
                              <w:szCs w:val="9"/>
                            </w:rPr>
                            <w:t>KOMODITNÍ UURZA KLADNO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1" type="#_x0000_t202" style="position:absolute;margin-left:94.55pt;margin-top:42.3pt;width:120.7pt;height:15.3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" filled="f" stroked="f">
              <v:textbox style="mso-fit-shape-to-text:t" inset="0,0,0,0">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 xml:space="preserve">™l </w:t>
                    </w:r>
                    <w:r>
                      <w:rPr>
                        <w:rFonts w:ascii="Arial" w:eastAsia="Arial" w:hAnsi="Arial" w:cs="Arial"/>
                        <w:b/>
                        <w:bCs/>
                        <w:sz w:val="9"/>
                        <w:szCs w:val="9"/>
                        <w:lang w:val="en-US" w:eastAsia="en-US" w:bidi="en-US"/>
                      </w:rPr>
                      <w:t xml:space="preserve">'J </w:t>
                    </w:r>
                    <w:r>
                      <w:rPr>
                        <w:rFonts w:ascii="Arial" w:eastAsia="Arial" w:hAnsi="Arial" w:cs="Arial"/>
                        <w:b/>
                        <w:bCs/>
                        <w:sz w:val="9"/>
                        <w:szCs w:val="9"/>
                      </w:rPr>
                      <w:t>KOMODITNÍ UURZA KLADNO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0D0" w:rsidRDefault="00E140D0">
    <w:pPr>
      <w:spacing w:line="1" w:lineRule="exact"/>
    </w:pPr>
    <w:r>
      <w:rPr>
        <w:noProof/>
      </w:rPr>
      <mc:AlternateContent>
        <mc:Choice Requires="wps">
          <w:drawing>
            <wp:anchor distT="0" distB="0" distL="0" distR="0" simplePos="0" relativeHeight="251666432" behindDoc="1" locked="0" layoutInCell="1" allowOverlap="1">
              <wp:simplePos x="0" y="0"/>
              <wp:positionH relativeFrom="page">
                <wp:posOffset>1200785</wp:posOffset>
              </wp:positionH>
              <wp:positionV relativeFrom="page">
                <wp:posOffset>537210</wp:posOffset>
              </wp:positionV>
              <wp:extent cx="1532890" cy="194945"/>
              <wp:effectExtent l="0" t="0" r="0" b="0"/>
              <wp:wrapNone/>
              <wp:docPr id="32" name="Shape 32"/>
              <wp:cNvGraphicFramePr/>
              <a:graphic xmlns:a="http://schemas.openxmlformats.org/drawingml/2006/main">
                <a:graphicData uri="http://schemas.microsoft.com/office/word/2010/wordprocessingShape">
                  <wps:wsp>
                    <wps:cNvSpPr txBox="1"/>
                    <wps:spPr>
                      <a:xfrm>
                        <a:off x="0" y="0"/>
                        <a:ext cx="1532890" cy="194945"/>
                      </a:xfrm>
                      <a:prstGeom prst="rect">
                        <a:avLst/>
                      </a:prstGeom>
                      <a:noFill/>
                    </wps:spPr>
                    <wps:txbx>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 xml:space="preserve">™l </w:t>
                          </w:r>
                          <w:r>
                            <w:rPr>
                              <w:rFonts w:ascii="Arial" w:eastAsia="Arial" w:hAnsi="Arial" w:cs="Arial"/>
                              <w:b/>
                              <w:bCs/>
                              <w:sz w:val="9"/>
                              <w:szCs w:val="9"/>
                              <w:lang w:val="en-US" w:eastAsia="en-US" w:bidi="en-US"/>
                            </w:rPr>
                            <w:t xml:space="preserve">'J </w:t>
                          </w:r>
                          <w:r>
                            <w:rPr>
                              <w:rFonts w:ascii="Arial" w:eastAsia="Arial" w:hAnsi="Arial" w:cs="Arial"/>
                              <w:b/>
                              <w:bCs/>
                              <w:sz w:val="9"/>
                              <w:szCs w:val="9"/>
                            </w:rPr>
                            <w:t>KOMODITNÍ UURZA KLADNO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42" type="#_x0000_t202" style="position:absolute;margin-left:94.55pt;margin-top:42.3pt;width:120.7pt;height:15.3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" filled="f" stroked="f">
              <v:textbox style="mso-fit-shape-to-text:t" inset="0,0,0,0">
                <w:txbxContent>
                  <w:p w:rsidR="00E140D0" w:rsidRDefault="00E140D0">
                    <w:pPr>
                      <w:pStyle w:val="Style4"/>
                      <w:shd w:val="clear" w:color="auto" w:fill="auto"/>
                      <w:rPr>
                        <w:sz w:val="9"/>
                        <w:szCs w:val="9"/>
                      </w:rPr>
                    </w:pPr>
                    <w:r>
                      <w:rPr>
                        <w:rFonts w:ascii="Arial" w:eastAsia="Arial" w:hAnsi="Arial" w:cs="Arial"/>
                        <w:b/>
                        <w:bCs/>
                        <w:sz w:val="9"/>
                        <w:szCs w:val="9"/>
                      </w:rPr>
                      <w:t>ČESKOMORAVSKÁ</w:t>
                    </w:r>
                  </w:p>
                  <w:p w:rsidR="00E140D0" w:rsidRDefault="00E140D0">
                    <w:pPr>
                      <w:pStyle w:val="Style4"/>
                      <w:shd w:val="clear" w:color="auto" w:fill="auto"/>
                      <w:rPr>
                        <w:sz w:val="9"/>
                        <w:szCs w:val="9"/>
                      </w:rPr>
                    </w:pPr>
                    <w:r>
                      <w:rPr>
                        <w:rFonts w:ascii="Arial" w:eastAsia="Arial" w:hAnsi="Arial" w:cs="Arial"/>
                        <w:b/>
                        <w:bCs/>
                        <w:sz w:val="9"/>
                        <w:szCs w:val="9"/>
                      </w:rPr>
                      <w:t xml:space="preserve">™l </w:t>
                    </w:r>
                    <w:r>
                      <w:rPr>
                        <w:rFonts w:ascii="Arial" w:eastAsia="Arial" w:hAnsi="Arial" w:cs="Arial"/>
                        <w:b/>
                        <w:bCs/>
                        <w:sz w:val="9"/>
                        <w:szCs w:val="9"/>
                        <w:lang w:val="en-US" w:eastAsia="en-US" w:bidi="en-US"/>
                      </w:rPr>
                      <w:t xml:space="preserve">'J </w:t>
                    </w:r>
                    <w:r>
                      <w:rPr>
                        <w:rFonts w:ascii="Arial" w:eastAsia="Arial" w:hAnsi="Arial" w:cs="Arial"/>
                        <w:b/>
                        <w:bCs/>
                        <w:sz w:val="9"/>
                        <w:szCs w:val="9"/>
                      </w:rPr>
                      <w:t>KOMODITNÍ UURZA KLADNO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381E"/>
    <w:multiLevelType w:val="multilevel"/>
    <w:tmpl w:val="360E26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300144"/>
    <w:multiLevelType w:val="multilevel"/>
    <w:tmpl w:val="73AACE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2226F"/>
    <w:multiLevelType w:val="multilevel"/>
    <w:tmpl w:val="858EFB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AE0E82"/>
    <w:multiLevelType w:val="multilevel"/>
    <w:tmpl w:val="90F0CA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9B49E0"/>
    <w:multiLevelType w:val="multilevel"/>
    <w:tmpl w:val="C640190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2D0A69"/>
    <w:multiLevelType w:val="multilevel"/>
    <w:tmpl w:val="184690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C03E6F"/>
    <w:multiLevelType w:val="multilevel"/>
    <w:tmpl w:val="E71A5F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370469"/>
    <w:multiLevelType w:val="multilevel"/>
    <w:tmpl w:val="A1E445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204A89"/>
    <w:multiLevelType w:val="multilevel"/>
    <w:tmpl w:val="7CC04E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F14B83"/>
    <w:multiLevelType w:val="multilevel"/>
    <w:tmpl w:val="3D1600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3A3781"/>
    <w:multiLevelType w:val="multilevel"/>
    <w:tmpl w:val="FBBC1C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A648D8"/>
    <w:multiLevelType w:val="multilevel"/>
    <w:tmpl w:val="B7629D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0F7FE9"/>
    <w:multiLevelType w:val="multilevel"/>
    <w:tmpl w:val="E5A6B6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142BC9"/>
    <w:multiLevelType w:val="multilevel"/>
    <w:tmpl w:val="F44457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296E1A"/>
    <w:multiLevelType w:val="multilevel"/>
    <w:tmpl w:val="480431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BB1AA0"/>
    <w:multiLevelType w:val="multilevel"/>
    <w:tmpl w:val="582AA2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2"/>
  </w:num>
  <w:num w:numId="4">
    <w:abstractNumId w:val="13"/>
  </w:num>
  <w:num w:numId="5">
    <w:abstractNumId w:val="0"/>
  </w:num>
  <w:num w:numId="6">
    <w:abstractNumId w:val="11"/>
  </w:num>
  <w:num w:numId="7">
    <w:abstractNumId w:val="15"/>
  </w:num>
  <w:num w:numId="8">
    <w:abstractNumId w:val="9"/>
  </w:num>
  <w:num w:numId="9">
    <w:abstractNumId w:val="10"/>
  </w:num>
  <w:num w:numId="10">
    <w:abstractNumId w:val="2"/>
  </w:num>
  <w:num w:numId="11">
    <w:abstractNumId w:val="3"/>
  </w:num>
  <w:num w:numId="12">
    <w:abstractNumId w:val="5"/>
  </w:num>
  <w:num w:numId="13">
    <w:abstractNumId w:val="14"/>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9C"/>
    <w:rsid w:val="0049279B"/>
    <w:rsid w:val="00533C63"/>
    <w:rsid w:val="00862131"/>
    <w:rsid w:val="00E140D0"/>
    <w:rsid w:val="00E741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BF172"/>
  <w15:docId w15:val="{F11330FC-6B44-42D7-B525-CF19ABB7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8"/>
      <w:szCs w:val="28"/>
      <w:u w:val="singl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8"/>
      <w:szCs w:val="18"/>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8"/>
      <w:szCs w:val="18"/>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9"/>
      <w:szCs w:val="9"/>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8"/>
      <w:szCs w:val="18"/>
      <w:u w:val="single"/>
    </w:rPr>
  </w:style>
  <w:style w:type="character" w:customStyle="1" w:styleId="CharStyle21">
    <w:name w:val="Char Style 21"/>
    <w:basedOn w:val="Standardnpsmoodstavce"/>
    <w:link w:val="Style20"/>
    <w:rPr>
      <w:rFonts w:ascii="Arial" w:eastAsia="Arial" w:hAnsi="Arial" w:cs="Arial"/>
      <w:b/>
      <w:bCs/>
      <w:i w:val="0"/>
      <w:iCs w:val="0"/>
      <w:smallCaps w:val="0"/>
      <w:strike w:val="0"/>
      <w:sz w:val="9"/>
      <w:szCs w:val="9"/>
      <w:u w:val="none"/>
    </w:rPr>
  </w:style>
  <w:style w:type="character" w:customStyle="1" w:styleId="CharStyle24">
    <w:name w:val="Char Style 24"/>
    <w:basedOn w:val="Standardnpsmoodstavce"/>
    <w:link w:val="Style23"/>
    <w:rPr>
      <w:rFonts w:ascii="Arial" w:eastAsia="Arial" w:hAnsi="Arial" w:cs="Arial"/>
      <w:b w:val="0"/>
      <w:bCs w:val="0"/>
      <w:i w:val="0"/>
      <w:iCs w:val="0"/>
      <w:smallCaps/>
      <w:strike w:val="0"/>
      <w:sz w:val="13"/>
      <w:szCs w:val="13"/>
      <w:u w:val="none"/>
    </w:rPr>
  </w:style>
  <w:style w:type="character" w:customStyle="1" w:styleId="CharStyle31">
    <w:name w:val="Char Style 31"/>
    <w:basedOn w:val="Standardnpsmoodstavce"/>
    <w:link w:val="Style30"/>
    <w:rPr>
      <w:rFonts w:ascii="Arial" w:eastAsia="Arial" w:hAnsi="Arial" w:cs="Arial"/>
      <w:b w:val="0"/>
      <w:bCs w:val="0"/>
      <w:i/>
      <w:iCs/>
      <w:smallCaps w:val="0"/>
      <w:strike w:val="0"/>
      <w:sz w:val="11"/>
      <w:szCs w:val="11"/>
      <w:u w:val="none"/>
    </w:rPr>
  </w:style>
  <w:style w:type="character" w:customStyle="1" w:styleId="CharStyle33">
    <w:name w:val="Char Style 33"/>
    <w:basedOn w:val="Standardnpsmoodstavce"/>
    <w:link w:val="Style32"/>
    <w:rPr>
      <w:rFonts w:ascii="Arial" w:eastAsia="Arial" w:hAnsi="Arial" w:cs="Arial"/>
      <w:b w:val="0"/>
      <w:bCs w:val="0"/>
      <w:i w:val="0"/>
      <w:iCs w:val="0"/>
      <w:smallCaps w:val="0"/>
      <w:strike w:val="0"/>
      <w:sz w:val="18"/>
      <w:szCs w:val="18"/>
      <w:u w:val="none"/>
    </w:rPr>
  </w:style>
  <w:style w:type="character" w:customStyle="1" w:styleId="CharStyle35">
    <w:name w:val="Char Style 35"/>
    <w:basedOn w:val="Standardnpsmoodstavce"/>
    <w:link w:val="Style34"/>
    <w:rPr>
      <w:b/>
      <w:bCs/>
      <w:i w:val="0"/>
      <w:iCs w:val="0"/>
      <w:smallCaps w:val="0"/>
      <w:strike w:val="0"/>
      <w:sz w:val="14"/>
      <w:szCs w:val="14"/>
      <w:u w:val="none"/>
    </w:rPr>
  </w:style>
  <w:style w:type="character" w:customStyle="1" w:styleId="CharStyle39">
    <w:name w:val="Char Style 39"/>
    <w:basedOn w:val="Standardnpsmoodstavce"/>
    <w:link w:val="Style38"/>
    <w:rPr>
      <w:rFonts w:ascii="Arial" w:eastAsia="Arial" w:hAnsi="Arial" w:cs="Arial"/>
      <w:b/>
      <w:bCs/>
      <w:i w:val="0"/>
      <w:iCs w:val="0"/>
      <w:smallCaps w:val="0"/>
      <w:strike w:val="0"/>
      <w:sz w:val="8"/>
      <w:szCs w:val="8"/>
      <w:u w:val="none"/>
      <w:lang w:val="en-US" w:eastAsia="en-US" w:bidi="en-US"/>
    </w:rPr>
  </w:style>
  <w:style w:type="paragraph" w:customStyle="1" w:styleId="Style2">
    <w:name w:val="Style 2"/>
    <w:basedOn w:val="Normln"/>
    <w:link w:val="CharStyle3"/>
    <w:pPr>
      <w:shd w:val="clear" w:color="auto" w:fill="FFFFFF"/>
      <w:spacing w:after="60"/>
      <w:jc w:val="center"/>
      <w:outlineLvl w:val="0"/>
    </w:pPr>
    <w:rPr>
      <w:rFonts w:ascii="Arial" w:eastAsia="Arial" w:hAnsi="Arial" w:cs="Arial"/>
      <w:b/>
      <w:bCs/>
      <w:sz w:val="28"/>
      <w:szCs w:val="28"/>
      <w:u w:val="single"/>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after="200" w:line="254" w:lineRule="auto"/>
    </w:pPr>
    <w:rPr>
      <w:rFonts w:ascii="Arial" w:eastAsia="Arial" w:hAnsi="Arial" w:cs="Arial"/>
      <w:sz w:val="18"/>
      <w:szCs w:val="18"/>
    </w:rPr>
  </w:style>
  <w:style w:type="paragraph" w:customStyle="1" w:styleId="Style10">
    <w:name w:val="Style 10"/>
    <w:basedOn w:val="Normln"/>
    <w:link w:val="CharStyle11"/>
    <w:pPr>
      <w:shd w:val="clear" w:color="auto" w:fill="FFFFFF"/>
      <w:spacing w:after="200" w:line="254" w:lineRule="auto"/>
    </w:pPr>
    <w:rPr>
      <w:rFonts w:ascii="Arial" w:eastAsia="Arial" w:hAnsi="Arial" w:cs="Arial"/>
      <w:sz w:val="18"/>
      <w:szCs w:val="18"/>
    </w:rPr>
  </w:style>
  <w:style w:type="paragraph" w:customStyle="1" w:styleId="Style13">
    <w:name w:val="Style 13"/>
    <w:basedOn w:val="Normln"/>
    <w:link w:val="CharStyle14"/>
    <w:pPr>
      <w:shd w:val="clear" w:color="auto" w:fill="FFFFFF"/>
      <w:spacing w:line="252" w:lineRule="auto"/>
    </w:pPr>
    <w:rPr>
      <w:rFonts w:ascii="Arial" w:eastAsia="Arial" w:hAnsi="Arial" w:cs="Arial"/>
      <w:b/>
      <w:bCs/>
      <w:sz w:val="9"/>
      <w:szCs w:val="9"/>
    </w:rPr>
  </w:style>
  <w:style w:type="paragraph" w:customStyle="1" w:styleId="Style18">
    <w:name w:val="Style 18"/>
    <w:basedOn w:val="Normln"/>
    <w:link w:val="CharStyle19"/>
    <w:pPr>
      <w:shd w:val="clear" w:color="auto" w:fill="FFFFFF"/>
      <w:spacing w:after="220" w:line="254" w:lineRule="auto"/>
      <w:outlineLvl w:val="1"/>
    </w:pPr>
    <w:rPr>
      <w:rFonts w:ascii="Arial" w:eastAsia="Arial" w:hAnsi="Arial" w:cs="Arial"/>
      <w:b/>
      <w:bCs/>
      <w:sz w:val="18"/>
      <w:szCs w:val="18"/>
      <w:u w:val="single"/>
    </w:rPr>
  </w:style>
  <w:style w:type="paragraph" w:customStyle="1" w:styleId="Style20">
    <w:name w:val="Style 20"/>
    <w:basedOn w:val="Normln"/>
    <w:link w:val="CharStyle21"/>
    <w:pPr>
      <w:shd w:val="clear" w:color="auto" w:fill="FFFFFF"/>
      <w:ind w:firstLine="220"/>
    </w:pPr>
    <w:rPr>
      <w:rFonts w:ascii="Arial" w:eastAsia="Arial" w:hAnsi="Arial" w:cs="Arial"/>
      <w:b/>
      <w:bCs/>
      <w:sz w:val="9"/>
      <w:szCs w:val="9"/>
    </w:rPr>
  </w:style>
  <w:style w:type="paragraph" w:customStyle="1" w:styleId="Style23">
    <w:name w:val="Style 23"/>
    <w:basedOn w:val="Normln"/>
    <w:link w:val="CharStyle24"/>
    <w:pPr>
      <w:shd w:val="clear" w:color="auto" w:fill="FFFFFF"/>
      <w:spacing w:after="200" w:line="180" w:lineRule="auto"/>
      <w:ind w:firstLine="220"/>
    </w:pPr>
    <w:rPr>
      <w:rFonts w:ascii="Arial" w:eastAsia="Arial" w:hAnsi="Arial" w:cs="Arial"/>
      <w:smallCaps/>
      <w:sz w:val="13"/>
      <w:szCs w:val="13"/>
    </w:rPr>
  </w:style>
  <w:style w:type="paragraph" w:customStyle="1" w:styleId="Style30">
    <w:name w:val="Style 30"/>
    <w:basedOn w:val="Normln"/>
    <w:link w:val="CharStyle31"/>
    <w:pPr>
      <w:shd w:val="clear" w:color="auto" w:fill="FFFFFF"/>
    </w:pPr>
    <w:rPr>
      <w:rFonts w:ascii="Arial" w:eastAsia="Arial" w:hAnsi="Arial" w:cs="Arial"/>
      <w:i/>
      <w:iCs/>
      <w:sz w:val="11"/>
      <w:szCs w:val="11"/>
    </w:rPr>
  </w:style>
  <w:style w:type="paragraph" w:customStyle="1" w:styleId="Style32">
    <w:name w:val="Style 32"/>
    <w:basedOn w:val="Normln"/>
    <w:link w:val="CharStyle33"/>
    <w:pPr>
      <w:shd w:val="clear" w:color="auto" w:fill="FFFFFF"/>
    </w:pPr>
    <w:rPr>
      <w:rFonts w:ascii="Arial" w:eastAsia="Arial" w:hAnsi="Arial" w:cs="Arial"/>
      <w:sz w:val="18"/>
      <w:szCs w:val="18"/>
    </w:rPr>
  </w:style>
  <w:style w:type="paragraph" w:customStyle="1" w:styleId="Style34">
    <w:name w:val="Style 34"/>
    <w:basedOn w:val="Normln"/>
    <w:link w:val="CharStyle35"/>
    <w:pPr>
      <w:shd w:val="clear" w:color="auto" w:fill="FFFFFF"/>
      <w:spacing w:after="200" w:line="293" w:lineRule="auto"/>
      <w:jc w:val="center"/>
    </w:pPr>
    <w:rPr>
      <w:b/>
      <w:bCs/>
      <w:sz w:val="14"/>
      <w:szCs w:val="14"/>
    </w:rPr>
  </w:style>
  <w:style w:type="paragraph" w:customStyle="1" w:styleId="Style38">
    <w:name w:val="Style 38"/>
    <w:basedOn w:val="Normln"/>
    <w:link w:val="CharStyle39"/>
    <w:pPr>
      <w:shd w:val="clear" w:color="auto" w:fill="FFFFFF"/>
      <w:spacing w:after="160" w:line="252" w:lineRule="auto"/>
      <w:ind w:left="900" w:hanging="260"/>
    </w:pPr>
    <w:rPr>
      <w:rFonts w:ascii="Arial" w:eastAsia="Arial" w:hAnsi="Arial" w:cs="Arial"/>
      <w:b/>
      <w:bCs/>
      <w:sz w:val="8"/>
      <w:szCs w:val="8"/>
      <w:lang w:val="en-US" w:eastAsia="en-US" w:bidi="en-US"/>
    </w:rPr>
  </w:style>
  <w:style w:type="paragraph" w:styleId="Zhlav">
    <w:name w:val="header"/>
    <w:basedOn w:val="Normln"/>
    <w:link w:val="ZhlavChar"/>
    <w:uiPriority w:val="99"/>
    <w:unhideWhenUsed/>
    <w:rsid w:val="00E140D0"/>
    <w:pPr>
      <w:tabs>
        <w:tab w:val="center" w:pos="4536"/>
        <w:tab w:val="right" w:pos="9072"/>
      </w:tabs>
    </w:pPr>
  </w:style>
  <w:style w:type="character" w:customStyle="1" w:styleId="ZhlavChar">
    <w:name w:val="Záhlaví Char"/>
    <w:basedOn w:val="Standardnpsmoodstavce"/>
    <w:link w:val="Zhlav"/>
    <w:uiPriority w:val="99"/>
    <w:rsid w:val="00E140D0"/>
    <w:rPr>
      <w:color w:val="000000"/>
    </w:rPr>
  </w:style>
  <w:style w:type="paragraph" w:styleId="Zpat">
    <w:name w:val="footer"/>
    <w:basedOn w:val="Normln"/>
    <w:link w:val="ZpatChar"/>
    <w:uiPriority w:val="99"/>
    <w:unhideWhenUsed/>
    <w:rsid w:val="00E140D0"/>
    <w:pPr>
      <w:tabs>
        <w:tab w:val="center" w:pos="4536"/>
        <w:tab w:val="right" w:pos="9072"/>
      </w:tabs>
    </w:pPr>
  </w:style>
  <w:style w:type="character" w:customStyle="1" w:styleId="ZpatChar">
    <w:name w:val="Zápatí Char"/>
    <w:basedOn w:val="Standardnpsmoodstavce"/>
    <w:link w:val="Zpat"/>
    <w:uiPriority w:val="99"/>
    <w:rsid w:val="00E140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mailto:eva_liberska@nm.cz" TargetMode="External"/><Relationship Id="rId39" Type="http://schemas.openxmlformats.org/officeDocument/2006/relationships/hyperlink" Target="mailto:eva_liberska@nm.cz" TargetMode="Externa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yperlink" Target="mailto:eva_liberska@nm.cz" TargetMode="External"/><Relationship Id="rId42" Type="http://schemas.openxmlformats.org/officeDocument/2006/relationships/hyperlink" Target="mailto:eva_liberska@nm.cz" TargetMode="External"/><Relationship Id="rId47" Type="http://schemas.openxmlformats.org/officeDocument/2006/relationships/hyperlink" Target="mailto:eva_liberska@nm.cz" TargetMode="External"/><Relationship Id="rId50" Type="http://schemas.openxmlformats.org/officeDocument/2006/relationships/footer" Target="footer10.xml"/><Relationship Id="rId7" Type="http://schemas.openxmlformats.org/officeDocument/2006/relationships/hyperlink" Target="mailto:Milan.Benes@mkcr.cz"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yperlink" Target="mailto:eva_liberska@nm.cz" TargetMode="External"/><Relationship Id="rId38" Type="http://schemas.openxmlformats.org/officeDocument/2006/relationships/hyperlink" Target="mailto:eva_liberska@nm.cz" TargetMode="External"/><Relationship Id="rId46" Type="http://schemas.openxmlformats.org/officeDocument/2006/relationships/hyperlink" Target="mailto:eva_liberska@nm.cz"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mailto:eva_liberska@nm.cz" TargetMode="External"/><Relationship Id="rId41" Type="http://schemas.openxmlformats.org/officeDocument/2006/relationships/hyperlink" Target="mailto:eva_liberska@n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mailto:eva_liberska@nm.cz" TargetMode="External"/><Relationship Id="rId37" Type="http://schemas.openxmlformats.org/officeDocument/2006/relationships/hyperlink" Target="mailto:eva_liberska@nm.cz" TargetMode="External"/><Relationship Id="rId40" Type="http://schemas.openxmlformats.org/officeDocument/2006/relationships/hyperlink" Target="mailto:eva_liberska@nm.cz" TargetMode="External"/><Relationship Id="rId45" Type="http://schemas.openxmlformats.org/officeDocument/2006/relationships/hyperlink" Target="mailto:eva_liberska@nm.cz"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yperlink" Target="mailto:eva_liberska@nm.cz" TargetMode="External"/><Relationship Id="rId36" Type="http://schemas.openxmlformats.org/officeDocument/2006/relationships/hyperlink" Target="mailto:eva_liberska@nm.cz" TargetMode="External"/><Relationship Id="rId49"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mailto:eva_liberska@nm.cz" TargetMode="External"/><Relationship Id="rId44" Type="http://schemas.openxmlformats.org/officeDocument/2006/relationships/hyperlink" Target="mailto:eva_liberska@nm.cz"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mailto:eva_liberska@nm.cz" TargetMode="External"/><Relationship Id="rId30" Type="http://schemas.openxmlformats.org/officeDocument/2006/relationships/hyperlink" Target="mailto:eva_liberska@nm.cz" TargetMode="External"/><Relationship Id="rId35" Type="http://schemas.openxmlformats.org/officeDocument/2006/relationships/hyperlink" Target="mailto:eva_liberska@nm.cz" TargetMode="External"/><Relationship Id="rId43" Type="http://schemas.openxmlformats.org/officeDocument/2006/relationships/hyperlink" Target="mailto:eva_liberska@nm.cz" TargetMode="External"/><Relationship Id="rId48" Type="http://schemas.openxmlformats.org/officeDocument/2006/relationships/header" Target="header10.xml"/><Relationship Id="rId8" Type="http://schemas.openxmlformats.org/officeDocument/2006/relationships/header" Target="header1.xml"/><Relationship Id="rId51" Type="http://schemas.openxmlformats.org/officeDocument/2006/relationships/footer" Target="footer1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3916</Words>
  <Characters>23105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Kofroňová</dc:creator>
  <cp:lastModifiedBy>Kristýna Kofroňová</cp:lastModifiedBy>
  <cp:revision>2</cp:revision>
  <dcterms:created xsi:type="dcterms:W3CDTF">2020-10-05T09:24:00Z</dcterms:created>
  <dcterms:modified xsi:type="dcterms:W3CDTF">2020-10-05T09:24:00Z</dcterms:modified>
</cp:coreProperties>
</file>