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5"/>
        <w:widowControl w:val="0"/>
        <w:keepNext/>
        <w:keepLines/>
        <w:shd w:val="clear" w:color="auto" w:fill="auto"/>
        <w:bidi w:val="0"/>
        <w:spacing w:before="0" w:after="471" w:line="70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5.75pt;margin-top:29.1pt;width:74.4pt;height:14.85pt;z-index:-125829376;mso-wrap-distance-left:5.pt;mso-wrap-distance-top:14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 xml:space="preserve">STATNI FOND DOPRAVNÍ </w:t>
                  </w:r>
                  <w:r>
                    <w:rPr>
                      <w:rStyle w:val="CharStyle6"/>
                      <w:b/>
                      <w:bCs/>
                    </w:rPr>
                    <w:t>INFRASTRU*TURY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>
        <w:rPr>
          <w:rStyle w:val="CharStyle17"/>
          <w:b w:val="0"/>
          <w:bCs w:val="0"/>
        </w:rPr>
        <w:t xml:space="preserve">0 </w:t>
      </w:r>
      <w:r>
        <w:rPr>
          <w:rStyle w:val="CharStyle18"/>
          <w:b w:val="0"/>
          <w:bCs w:val="0"/>
        </w:rPr>
        <w:t>sfdi</w:t>
      </w:r>
      <w:bookmarkEnd w:id="0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70" w:line="28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84" w:line="24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ke smlouvě o dílo 111/34775 Staré Bříště - Bystrá, ze dne 8. 7. 2020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604"/>
        <w:ind w:left="0" w:right="40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 N-ST-1-2020-3-2 Číslo smlouvy zhotovitele: S21-043-0074</w:t>
      </w:r>
    </w:p>
    <w:p>
      <w:pPr>
        <w:pStyle w:val="Style27"/>
        <w:widowControl w:val="0"/>
        <w:keepNext/>
        <w:keepLines/>
        <w:shd w:val="clear" w:color="auto" w:fill="auto"/>
        <w:bidi w:val="0"/>
        <w:spacing w:before="0" w:after="288" w:line="240" w:lineRule="exact"/>
        <w:ind w:left="0" w:right="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</w:r>
      <w:bookmarkEnd w:id="1"/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44" w:line="298" w:lineRule="exact"/>
        <w:ind w:left="0" w:right="4020" w:firstLine="0"/>
      </w:pPr>
      <w:r>
        <w:pict>
          <v:shape id="_x0000_s1027" type="#_x0000_t202" style="position:absolute;margin-left:-0.5pt;margin-top:-3.55pt;width:120.95pt;height:105.35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93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8"/>
                      <w:b/>
                      <w:bCs/>
                    </w:rPr>
                    <w:t>zastoupený: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1"/>
                    </w:rPr>
                    <w:t>Bankovní spojení: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1"/>
                    </w:rPr>
                    <w:t>IČO: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1"/>
                    </w:rPr>
                    <w:t>DIČ: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1"/>
                    </w:rPr>
                    <w:t>Zřizovatel: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93" w:lineRule="exact"/>
                    <w:ind w:left="0" w:right="0" w:firstLine="0"/>
                  </w:pPr>
                  <w:r>
                    <w:rPr>
                      <w:rStyle w:val="CharStyle14"/>
                      <w:b w:val="0"/>
                      <w:bCs w:val="0"/>
                      <w:i w:val="0"/>
                      <w:iCs w:val="0"/>
                    </w:rPr>
                    <w:t xml:space="preserve">(dále jen </w:t>
                  </w:r>
                  <w:r>
                    <w:rPr>
                      <w:rStyle w:val="CharStyle13"/>
                      <w:b/>
                      <w:bCs/>
                      <w:i/>
                      <w:iCs/>
                    </w:rPr>
                    <w:t>„Objednatel")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29"/>
          <w:b w:val="0"/>
          <w:bCs w:val="0"/>
        </w:rPr>
        <w:t xml:space="preserve">Kosovská 1122/16, 58601 Jihlava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Ing. Radovan Necid, ředitel organizace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642"/>
        <w:ind w:left="0" w:right="3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00090450 CZ00090450 Kraj Vysočina</w:t>
      </w:r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before="0" w:after="275" w:line="24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  <w:bookmarkEnd w:id="3"/>
    </w:p>
    <w:p>
      <w:pPr>
        <w:pStyle w:val="Style27"/>
        <w:tabs>
          <w:tab w:leader="none" w:pos="2046" w:val="left"/>
          <w:tab w:leader="none" w:pos="9048" w:val="right"/>
        </w:tabs>
        <w:widowControl w:val="0"/>
        <w:keepNext/>
        <w:keepLines/>
        <w:shd w:val="clear" w:color="auto" w:fill="auto"/>
        <w:bidi w:val="0"/>
        <w:jc w:val="both"/>
        <w:spacing w:before="0" w:after="0" w:line="293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SWIETELSKY stavební,</w:t>
        <w:tab/>
        <w:t>s.r.o. odštěpný závod Dopravní stavby VÝCHOD</w:t>
      </w:r>
      <w:bookmarkEnd w:id="4"/>
    </w:p>
    <w:p>
      <w:pPr>
        <w:pStyle w:val="Style10"/>
        <w:tabs>
          <w:tab w:leader="none" w:pos="2046" w:val="left"/>
          <w:tab w:leader="none" w:pos="4104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 Silu 1143393 01</w:t>
        <w:tab/>
        <w:t>Pelhřimov</w:t>
      </w:r>
    </w:p>
    <w:p>
      <w:pPr>
        <w:pStyle w:val="Style7"/>
        <w:tabs>
          <w:tab w:leader="none" w:pos="39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, ředitel oblasti Vysočina, v plné moci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30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, vedoucí obchodního oddělení oblasti Vysočina, v plné moci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u Krajského soudu v Českých Budějovicích, oddíl C, vložka 8032 Bankovní spojení:</w:t>
      </w:r>
    </w:p>
    <w:p>
      <w:pPr>
        <w:pStyle w:val="Style10"/>
        <w:tabs>
          <w:tab w:leader="none" w:pos="20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48035599</w:t>
      </w:r>
    </w:p>
    <w:p>
      <w:pPr>
        <w:pStyle w:val="Style10"/>
        <w:tabs>
          <w:tab w:leader="none" w:pos="20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CZ48035599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0"/>
      </w:pPr>
      <w:r>
        <w:rPr>
          <w:rStyle w:val="CharStyle32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„Zhotovitel")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33"/>
        </w:rPr>
        <w:t>„Smluvnístrany"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jednotlivě </w:t>
      </w:r>
      <w:r>
        <w:rPr>
          <w:rStyle w:val="CharStyle33"/>
        </w:rPr>
        <w:t>„Smluvnístrana“)</w:t>
      </w:r>
    </w:p>
    <w:p>
      <w:pPr>
        <w:pStyle w:val="Style27"/>
        <w:widowControl w:val="0"/>
        <w:keepNext/>
        <w:keepLines/>
        <w:shd w:val="clear" w:color="auto" w:fill="auto"/>
        <w:bidi w:val="0"/>
        <w:spacing w:before="0" w:after="0" w:line="293" w:lineRule="exact"/>
        <w:ind w:left="0" w:right="4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  <w:bookmarkEnd w:id="5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21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geodetického zaměření skutečně provedených prací uzavírají smluvní strany v souladu s ustanovením § 222 odst. 4 zákona č. 134/2016 Sb., o zadávání veřejných zakázek (dále jen „zákon") tento dodatek č. 1 ke smlouvě o dílo číslo objednatele N-ST-1-2020-3-2, číslo zhotovitele S21-043-0074 ze dne 08.07.2020 (dále také SoD).</w:t>
      </w:r>
    </w:p>
    <w:p>
      <w:pPr>
        <w:pStyle w:val="Style27"/>
        <w:widowControl w:val="0"/>
        <w:keepNext/>
        <w:keepLines/>
        <w:shd w:val="clear" w:color="auto" w:fill="auto"/>
        <w:bidi w:val="0"/>
        <w:spacing w:before="0" w:after="0" w:line="331" w:lineRule="exact"/>
        <w:ind w:left="0" w:right="4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</w:r>
      <w:bookmarkEnd w:id="6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 plnění dle </w:t>
      </w:r>
      <w:r>
        <w:rPr>
          <w:rStyle w:val="CharStyle34"/>
        </w:rPr>
        <w:t xml:space="preserve">článku II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stávající smlouvy v aktuálním znění se mění o dodatečné stavební práce (vícepráce) a méněpráce tak, jak je uvedeno v příloze tohoto dodatku.</w:t>
      </w:r>
      <w:r>
        <w:br w:type="page"/>
      </w:r>
    </w:p>
    <w:p>
      <w:pPr>
        <w:framePr w:h="135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515pt;height:68pt;">
            <v:imagedata r:id="rId5" r:href="rId6"/>
          </v:shape>
        </w:pict>
      </w:r>
    </w:p>
    <w:p>
      <w:pPr>
        <w:pStyle w:val="Style35"/>
        <w:framePr w:h="135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Celková cena díla dle </w:t>
      </w:r>
      <w:r>
        <w:rPr>
          <w:rStyle w:val="CharStyle37"/>
        </w:rPr>
        <w:t xml:space="preserve">článku VI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 </w:t>
      </w:r>
      <w:r>
        <w:rPr>
          <w:rStyle w:val="CharStyle37"/>
        </w:rPr>
        <w:t xml:space="preserve">odst. 6.1.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stávající smlouvy je ve znění tohoto dodatku stanovena násle</w:t>
        <w:softHyphen/>
        <w:t>dovně:</w:t>
      </w: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184"/>
        <w:gridCol w:w="3269"/>
      </w:tblGrid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Původní cena dle smlouvy o dílo bez DPH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6 769 566,40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9"/>
              </w:rPr>
              <w:t>Vícepráce Z1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9"/>
              </w:rPr>
              <w:t>+ 446 372,12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9"/>
              </w:rPr>
              <w:t>Méněpráce Z1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9"/>
              </w:rPr>
              <w:t>- 125 465,67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Nově sjednaná cena dle dodatku č. 1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7 090 472,85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1 488 999,30 Kč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Nově sjednaná cena dle dodatku č. 1 včetně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0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8 579 472,15 Kč</w:t>
            </w:r>
          </w:p>
        </w:tc>
      </w:tr>
    </w:tbl>
    <w:p>
      <w:pPr>
        <w:framePr w:w="845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605" w:after="43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4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91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Předmětem tohoto </w:t>
      </w:r>
      <w:r>
        <w:rPr>
          <w:rStyle w:val="CharStyle34"/>
        </w:rPr>
        <w:t xml:space="preserve">dodatku č 1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 rozšíření závazku o změnu </w:t>
      </w:r>
      <w:r>
        <w:rPr>
          <w:rStyle w:val="CharStyle34"/>
        </w:rPr>
        <w:t>Z1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97" w:line="33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tohoto dodatku jsou změny závazku z původní smlouvy na veřejnou zakázku, které se nepo</w:t>
        <w:softHyphen/>
        <w:t xml:space="preserve">važují za podstatnou změnu závazku, neboť ve smyslu </w:t>
      </w:r>
      <w:r>
        <w:rPr>
          <w:rStyle w:val="CharStyle34"/>
        </w:rPr>
        <w:t xml:space="preserve">§ 222 odst. 4 zákona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se za podstatnou změnu zá</w:t>
        <w:softHyphen/>
        <w:t>vazku ze smlouvy na veřejnou zakázku nepovažuje změna, která nemění celkovou povahu veřejné zakáz</w:t>
        <w:softHyphen/>
        <w:t>ky a jejíž hodnota je:</w:t>
      </w:r>
    </w:p>
    <w:p>
      <w:pPr>
        <w:pStyle w:val="Style10"/>
        <w:numPr>
          <w:ilvl w:val="0"/>
          <w:numId w:val="1"/>
        </w:numPr>
        <w:tabs>
          <w:tab w:leader="none" w:pos="4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1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nižší než finanční limit pro nadlimitní veřejnou zakázku a</w:t>
      </w:r>
    </w:p>
    <w:p>
      <w:pPr>
        <w:pStyle w:val="Style10"/>
        <w:numPr>
          <w:ilvl w:val="0"/>
          <w:numId w:val="1"/>
        </w:numPr>
        <w:tabs>
          <w:tab w:leader="none" w:pos="4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97" w:line="336" w:lineRule="exact"/>
        <w:ind w:left="4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nižší než 15 % původní hodnoty ze smlouvy; dílčí změnou závazku </w:t>
      </w:r>
      <w:r>
        <w:rPr>
          <w:rStyle w:val="CharStyle34"/>
        </w:rPr>
        <w:t xml:space="preserve">Z1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ze smlouvy jsou vícepráce na opravované části komunikace v úseku km 1,091 - 2,164 a s tím spojené práce (recyklace za studena, infiltrační postřik, obrusná vrstva ACO 16+ , posyp drceným kamenivem) a méněpráce v úseku km 0,021 - 1,091 a s tím spojené práce (spojovací postřik, obrusná vrstva ACO </w:t>
      </w:r>
      <w:r>
        <w:rPr>
          <w:rStyle w:val="CharStyle40"/>
        </w:rPr>
        <w:t>11+,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výplň spár a řezání, výšková úprava mříží), přičemž hodnota změny závazku činí 8,45 % původní hodnoty závazku a ná</w:t>
        <w:softHyphen/>
        <w:t>růst ceny díla činí 5 % původní hodnoty závazku.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8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5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38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osoby a ostatní ustanovení shora citované smlouvy se nemění a zůstávají v platnosti.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3" w:line="240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6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21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stávající smlouvy.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 elektronické podobě, přičemž obě smluvní strany obdrží její elektronický ori</w:t>
        <w:softHyphen/>
        <w:t>ginál.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6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účinný dnem jejího uveřejnění v registru smluv.</w:t>
      </w:r>
      <w:r>
        <w:br w:type="page"/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39" w:line="700" w:lineRule="exact"/>
        <w:ind w:left="0" w:right="0" w:firstLine="0"/>
      </w:pPr>
      <w:bookmarkStart w:id="7" w:name="bookmark7"/>
      <w:r>
        <w:rPr>
          <w:rStyle w:val="CharStyle17"/>
          <w:b w:val="0"/>
          <w:bCs w:val="0"/>
        </w:rPr>
        <w:t xml:space="preserve">0 </w:t>
      </w:r>
      <w:r>
        <w:rPr>
          <w:rStyle w:val="CharStyle18"/>
          <w:b w:val="0"/>
          <w:bCs w:val="0"/>
        </w:rPr>
        <w:t>sfdi</w:t>
      </w:r>
      <w:bookmarkEnd w:id="7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0" w:right="0" w:firstLine="0"/>
      </w:pPr>
      <w:r>
        <w:pict>
          <v:shape id="_x0000_s1029" type="#_x0000_t202" style="position:absolute;margin-left:244.8pt;margin-top:-29.45pt;width:74.4pt;height:14.85pt;z-index:-125829374;mso-wrap-distance-left:5.pt;mso-wrap-distance-top:14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 xml:space="preserve">STATNI FOND DOPRAVNÍ </w:t>
                  </w:r>
                  <w:r>
                    <w:rPr>
                      <w:rStyle w:val="CharStyle6"/>
                      <w:b/>
                      <w:bCs/>
                    </w:rPr>
                    <w:t>INFRASTRU*TURY</w:t>
                  </w:r>
                </w:p>
              </w:txbxContent>
            </v:textbox>
            <w10:wrap type="square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0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63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tohoto dodatku jsou následující přílohy: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164" w:line="240" w:lineRule="exact"/>
        <w:ind w:left="1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 stavby Změnového listu č. 1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2240" w:h="15840"/>
          <w:pgMar w:top="453" w:left="1146" w:right="730" w:bottom="134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tbl>
      <w:tblPr>
        <w:tblOverlap w:val="never"/>
        <w:tblLayout w:type="fixed"/>
        <w:jc w:val="center"/>
      </w:tblPr>
      <w:tblGrid>
        <w:gridCol w:w="1416"/>
        <w:gridCol w:w="3307"/>
        <w:gridCol w:w="1315"/>
        <w:gridCol w:w="1104"/>
        <w:gridCol w:w="1411"/>
        <w:gridCol w:w="1094"/>
      </w:tblGrid>
      <w:tr>
        <w:trPr>
          <w:trHeight w:val="131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00" w:right="0" w:firstLine="0"/>
            </w:pPr>
            <w:r>
              <w:rPr>
                <w:rStyle w:val="CharStyle41"/>
              </w:rPr>
              <w:t>® Aspe*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00" w:lineRule="exact"/>
              <w:ind w:left="240" w:right="0" w:firstLine="0"/>
            </w:pPr>
            <w:r>
              <w:rPr>
                <w:rStyle w:val="CharStyle42"/>
              </w:rPr>
              <w:t>Firma: SWIETELSKY stavební s.r.o.</w:t>
            </w:r>
          </w:p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/>
              <w:ind w:left="0" w:right="0" w:firstLine="0"/>
            </w:pPr>
            <w:r>
              <w:rPr>
                <w:rStyle w:val="CharStyle43"/>
              </w:rPr>
              <w:t>Soupis objektů s DPH Stavba: 2020 - IM/34775 Staré Bříště</w:t>
            </w:r>
          </w:p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240" w:right="0" w:firstLine="0"/>
            </w:pPr>
            <w:r>
              <w:rPr>
                <w:rStyle w:val="CharStyle42"/>
              </w:rPr>
              <w:t>Varianta: IV - Importovaná varianta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90" w:lineRule="exact"/>
              <w:ind w:left="0" w:right="0" w:firstLine="0"/>
            </w:pPr>
            <w:r>
              <w:rPr>
                <w:rStyle w:val="CharStyle43"/>
              </w:rPr>
              <w:t>- Bystrá</w:t>
            </w:r>
          </w:p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80" w:after="0" w:line="139" w:lineRule="exact"/>
              <w:ind w:left="0" w:right="300" w:firstLine="0"/>
            </w:pPr>
            <w:r>
              <w:rPr>
                <w:rStyle w:val="CharStyle42"/>
              </w:rPr>
              <w:t>Odbytová cena: OC+DPH: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2"/>
              </w:rPr>
              <w:t>6,769,566.40</w:t>
            </w:r>
          </w:p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2"/>
              </w:rPr>
              <w:t>8,191,175.34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9" w:lineRule="exact"/>
              <w:ind w:left="0" w:right="240" w:firstLine="0"/>
            </w:pPr>
            <w:r>
              <w:rPr>
                <w:rStyle w:val="CharStyle44"/>
              </w:rPr>
              <w:t>cena dle ZBV: cena dle ZBV + DPH: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4"/>
              </w:rPr>
              <w:t>7,090,472.85</w:t>
            </w:r>
          </w:p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4"/>
              </w:rPr>
              <w:t>8,579,472.15</w:t>
            </w:r>
          </w:p>
        </w:tc>
      </w:tr>
      <w:tr>
        <w:trPr>
          <w:trHeight w:val="139" w:hRule="exact"/>
        </w:trPr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680" w:right="0" w:firstLine="0"/>
            </w:pPr>
            <w:r>
              <w:rPr>
                <w:rStyle w:val="CharStyle45"/>
              </w:rPr>
              <w:t>Objekt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2160" w:right="0" w:firstLine="0"/>
            </w:pPr>
            <w:r>
              <w:rPr>
                <w:rStyle w:val="CharStyle45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300" w:right="0" w:firstLine="0"/>
            </w:pPr>
            <w:r>
              <w:rPr>
                <w:rStyle w:val="CharStyle45"/>
              </w:rPr>
              <w:t>OC</w:t>
            </w:r>
          </w:p>
        </w:tc>
        <w:tc>
          <w:tcPr>
            <w:shd w:val="clear" w:color="auto" w:fill="000000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460" w:right="0" w:firstLine="0"/>
            </w:pPr>
            <w:r>
              <w:rPr>
                <w:rStyle w:val="CharStyle45"/>
              </w:rPr>
              <w:t>DPH</w:t>
            </w:r>
          </w:p>
        </w:tc>
        <w:tc>
          <w:tcPr>
            <w:shd w:val="clear" w:color="auto" w:fill="000000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220" w:right="0" w:firstLine="0"/>
            </w:pPr>
            <w:r>
              <w:rPr>
                <w:rStyle w:val="CharStyle45"/>
              </w:rPr>
              <w:t>OC+DPH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42"/>
              </w:rPr>
              <w:t>ISO 01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240" w:right="0" w:firstLine="0"/>
            </w:pPr>
            <w:r>
              <w:rPr>
                <w:rStyle w:val="CharStyle42"/>
              </w:rPr>
              <w:t>oprava silnice v km 0,021 - 2,164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2"/>
              </w:rPr>
              <w:t>6,769,566.40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240" w:firstLine="0"/>
            </w:pPr>
            <w:r>
              <w:rPr>
                <w:rStyle w:val="CharStyle42"/>
              </w:rPr>
              <w:t>1,421,608.94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2"/>
              </w:rPr>
              <w:t>8,191,175.34</w:t>
            </w:r>
          </w:p>
        </w:tc>
      </w:tr>
      <w:tr>
        <w:trPr>
          <w:trHeight w:val="14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6"/>
              </w:rPr>
              <w:t>L_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7"/>
              </w:rPr>
              <w:t>7,090,472.85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240" w:firstLine="0"/>
            </w:pPr>
            <w:r>
              <w:rPr>
                <w:rStyle w:val="CharStyle47"/>
              </w:rPr>
              <w:t>1,488,999.30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47"/>
              </w:rPr>
              <w:t>8,579,472.15</w:t>
            </w:r>
          </w:p>
        </w:tc>
      </w:tr>
    </w:tbl>
    <w:p>
      <w:pPr>
        <w:framePr w:w="964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default" r:id="rId8"/>
          <w:titlePg/>
          <w:pgSz w:w="12240" w:h="15840"/>
          <w:pgMar w:top="1281" w:left="1210" w:right="1383" w:bottom="1281" w:header="0" w:footer="3" w:gutter="0"/>
          <w:rtlGutter w:val="0"/>
          <w:cols w:space="720"/>
          <w:noEndnote/>
          <w:docGrid w:linePitch="360"/>
        </w:sectPr>
      </w:pPr>
    </w:p>
    <w:p>
      <w:pPr>
        <w:framePr w:w="9706" w:h="13301" w:hSpace="48" w:wrap="notBeside" w:vAnchor="text" w:hAnchor="text" w:x="97" w:y="1"/>
        <w:widowControl w:val="0"/>
        <w:rPr>
          <w:sz w:val="2"/>
          <w:szCs w:val="2"/>
        </w:rPr>
      </w:pPr>
      <w:r>
        <w:pict>
          <v:shape id="_x0000_s1032" type="#_x0000_t75" style="width:485pt;height:665pt;">
            <v:imagedata r:id="rId9" r:href="rId10"/>
          </v:shape>
        </w:pict>
      </w:r>
    </w:p>
    <w:p>
      <w:pPr>
        <w:pStyle w:val="Style48"/>
        <w:framePr w:w="710" w:h="242" w:hSpace="48" w:wrap="notBeside" w:vAnchor="text" w:hAnchor="text" w:x="49" w:y="13287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rStyle w:val="CharStyle50"/>
        </w:rPr>
        <w:t>Nové položky</w:t>
      </w:r>
    </w:p>
    <w:p>
      <w:pPr>
        <w:pStyle w:val="Style51"/>
        <w:framePr w:w="710" w:h="242" w:hSpace="48" w:wrap="notBeside" w:vAnchor="text" w:hAnchor="text" w:x="49" w:y="13287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295</w:t>
      </w:r>
    </w:p>
    <w:p>
      <w:pPr>
        <w:pStyle w:val="Style51"/>
        <w:framePr w:w="1776" w:h="122" w:hSpace="48" w:wrap="notBeside" w:vAnchor="text" w:hAnchor="text" w:x="1777" w:y="13407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 POSYP KAMENIVEM DRCENÝM 5KG/M2</w:t>
      </w:r>
    </w:p>
    <w:p>
      <w:pPr>
        <w:pStyle w:val="Style51"/>
        <w:framePr w:w="1469" w:h="114" w:hSpace="48" w:wrap="notBeside" w:vAnchor="text" w:hAnchor="text" w:x="8382" w:y="13405"/>
        <w:tabs>
          <w:tab w:leader="none" w:pos="9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5,623.730 5,623.730</w:t>
        <w:tab/>
      </w:r>
      <w:r>
        <w:rPr>
          <w:rStyle w:val="CharStyle53"/>
        </w:rPr>
        <w:t>33,742.38</w:t>
      </w:r>
    </w:p>
    <w:p>
      <w:pPr>
        <w:pStyle w:val="Style51"/>
        <w:framePr w:w="221" w:h="85" w:hSpace="48" w:wrap="notBeside" w:vAnchor="text" w:hAnchor="text" w:x="1115" w:y="13425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57621</w:t>
      </w:r>
    </w:p>
    <w:p>
      <w:pPr>
        <w:pStyle w:val="Style51"/>
        <w:framePr w:w="106" w:h="85" w:hSpace="48" w:wrap="notBeside" w:vAnchor="text" w:hAnchor="text" w:x="5425" w:y="13425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M2</w:t>
      </w:r>
    </w:p>
    <w:p>
      <w:pPr>
        <w:pStyle w:val="Style51"/>
        <w:framePr w:w="202" w:h="85" w:hSpace="48" w:wrap="notBeside" w:vAnchor="text" w:hAnchor="text" w:x="6059" w:y="13425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0.000</w:t>
      </w:r>
    </w:p>
    <w:p>
      <w:pPr>
        <w:pStyle w:val="Style51"/>
        <w:framePr w:w="163" w:h="85" w:hSpace="48" w:wrap="notBeside" w:vAnchor="text" w:hAnchor="text" w:x="6875" w:y="13425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6.00</w:t>
      </w:r>
    </w:p>
    <w:p>
      <w:pPr>
        <w:pStyle w:val="Style51"/>
        <w:framePr w:w="163" w:h="85" w:hSpace="48" w:wrap="notBeside" w:vAnchor="text" w:hAnchor="text" w:x="7671" w:y="13425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0.00</w: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2240" w:h="15840"/>
      <w:pgMar w:top="935" w:left="1195" w:right="1243" w:bottom="935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466.55pt;margin-top:765.6pt;width:46.1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Stránka </w:t>
                </w:r>
                <w:fldSimple w:instr=" PAGE \* MERGEFORMAT ">
                  <w:r>
                    <w:rPr>
                      <w:rStyle w:val="CharStyle21"/>
                    </w:rPr>
                    <w:t>#</w:t>
                  </w:r>
                </w:fldSimple>
                <w:r>
                  <w:rPr>
                    <w:rStyle w:val="CharStyle21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500.65pt;margin-top:731.1pt;width:45.35pt;height:3.85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90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4"/>
                  </w:rPr>
                  <w:t>Změna</w:t>
                  <w:tab/>
                </w:r>
                <w:r>
                  <w:rPr>
                    <w:rStyle w:val="CharStyle55"/>
                  </w:rPr>
                  <w:t>320,906.45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2) Exact"/>
    <w:basedOn w:val="DefaultParagraphFont"/>
    <w:link w:val="Style3"/>
    <w:rPr>
      <w:b/>
      <w:bCs/>
      <w:i w:val="0"/>
      <w:iCs w:val="0"/>
      <w:u w:val="none"/>
      <w:strike w:val="0"/>
      <w:smallCaps w:val="0"/>
      <w:sz w:val="10"/>
      <w:szCs w:val="10"/>
      <w:rFonts w:ascii="Bookman Old Style" w:eastAsia="Bookman Old Style" w:hAnsi="Bookman Old Style" w:cs="Bookman Old Style"/>
    </w:rPr>
  </w:style>
  <w:style w:type="character" w:customStyle="1" w:styleId="CharStyle5">
    <w:name w:val="Základní text (12)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">
    <w:name w:val="Základní text (12) + Arial Exact"/>
    <w:basedOn w:val="CharStyle4"/>
    <w:rPr>
      <w:lang w:val="cs-CZ" w:eastAsia="cs-CZ" w:bidi="cs-CZ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9">
    <w:name w:val="Základní text (4) + Ne tučné Exact"/>
    <w:basedOn w:val="CharStyle24"/>
    <w:rPr>
      <w:b/>
      <w:bCs/>
    </w:rPr>
  </w:style>
  <w:style w:type="character" w:customStyle="1" w:styleId="CharStyle11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3">
    <w:name w:val="Základní text (6) Exact"/>
    <w:basedOn w:val="DefaultParagraphFont"/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4">
    <w:name w:val="Základní text (6) + Ne tučné,Ne kurzíva Exact"/>
    <w:basedOn w:val="CharStyle31"/>
    <w:rPr>
      <w:b/>
      <w:bCs/>
      <w:i/>
      <w:iCs/>
    </w:rPr>
  </w:style>
  <w:style w:type="character" w:customStyle="1" w:styleId="CharStyle16">
    <w:name w:val="Nadpis #1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70"/>
      <w:szCs w:val="70"/>
      <w:rFonts w:ascii="Arial" w:eastAsia="Arial" w:hAnsi="Arial" w:cs="Arial"/>
      <w:spacing w:val="-30"/>
    </w:rPr>
  </w:style>
  <w:style w:type="character" w:customStyle="1" w:styleId="CharStyle17">
    <w:name w:val="Nadpis #1 (2)"/>
    <w:basedOn w:val="CharStyle16"/>
    <w:rPr>
      <w:lang w:val="cs-CZ" w:eastAsia="cs-CZ" w:bidi="cs-CZ"/>
      <w:w w:val="100"/>
      <w:color w:val="000000"/>
      <w:position w:val="0"/>
    </w:rPr>
  </w:style>
  <w:style w:type="character" w:customStyle="1" w:styleId="CharStyle18">
    <w:name w:val="Nadpis #1 (2)"/>
    <w:basedOn w:val="CharStyle16"/>
    <w:rPr>
      <w:lang w:val="cs-CZ" w:eastAsia="cs-CZ" w:bidi="cs-CZ"/>
      <w:w w:val="100"/>
      <w:color w:val="000000"/>
      <w:position w:val="0"/>
    </w:rPr>
  </w:style>
  <w:style w:type="character" w:customStyle="1" w:styleId="CharStyle20">
    <w:name w:val="Záhlaví nebo Zápatí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21">
    <w:name w:val="Záhlaví nebo Zápatí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3">
    <w:name w:val="Základní text (3)_"/>
    <w:basedOn w:val="DefaultParagraphFont"/>
    <w:link w:val="Style22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24">
    <w:name w:val="Základní text (4)_"/>
    <w:basedOn w:val="DefaultParagraphFont"/>
    <w:link w:val="Style7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6">
    <w:name w:val="Základní text (5)_"/>
    <w:basedOn w:val="DefaultParagraphFont"/>
    <w:link w:val="Style25"/>
    <w:rPr>
      <w:b w:val="0"/>
      <w:bCs w:val="0"/>
      <w:i/>
      <w:iCs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28">
    <w:name w:val="Nadpis #2_"/>
    <w:basedOn w:val="DefaultParagraphFont"/>
    <w:link w:val="Style27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9">
    <w:name w:val="Základní text (4) + Ne tučné"/>
    <w:basedOn w:val="CharStyle2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0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31">
    <w:name w:val="Základní text (6)_"/>
    <w:basedOn w:val="DefaultParagraphFont"/>
    <w:link w:val="Style12"/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32">
    <w:name w:val="Základní text (6) + Ne tučné,Ne kurzíva"/>
    <w:basedOn w:val="CharStyle31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3">
    <w:name w:val="Základní text (2) + Tučné,Kurzíva"/>
    <w:basedOn w:val="CharStyle30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4">
    <w:name w:val="Základní text (2) + Tučné"/>
    <w:basedOn w:val="CharStyle3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6">
    <w:name w:val="Titulek obrázku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37">
    <w:name w:val="Titulek obrázku + Tučné"/>
    <w:basedOn w:val="CharStyle3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8">
    <w:name w:val="Základní text (2) + Tučné"/>
    <w:basedOn w:val="CharStyle3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9">
    <w:name w:val="Základní text (2)"/>
    <w:basedOn w:val="CharStyle3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0">
    <w:name w:val="Základní text (2)"/>
    <w:basedOn w:val="CharStyle3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1">
    <w:name w:val="Základní text (2) + 15 pt"/>
    <w:basedOn w:val="CharStyle30"/>
    <w:rPr>
      <w:lang w:val="cs-CZ" w:eastAsia="cs-CZ" w:bidi="cs-CZ"/>
      <w:sz w:val="30"/>
      <w:szCs w:val="30"/>
      <w:w w:val="100"/>
      <w:spacing w:val="0"/>
      <w:color w:val="000000"/>
      <w:position w:val="0"/>
    </w:rPr>
  </w:style>
  <w:style w:type="character" w:customStyle="1" w:styleId="CharStyle42">
    <w:name w:val="Základní text (2) + Arial,5 pt"/>
    <w:basedOn w:val="CharStyle30"/>
    <w:rPr>
      <w:lang w:val="cs-CZ" w:eastAsia="cs-CZ" w:bidi="cs-CZ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3">
    <w:name w:val="Základní text (2) + 9,5 pt,Tučné"/>
    <w:basedOn w:val="CharStyle30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44">
    <w:name w:val="Základní text (2) + Arial,5 pt,Tučné"/>
    <w:basedOn w:val="CharStyle30"/>
    <w:rPr>
      <w:lang w:val="cs-CZ" w:eastAsia="cs-CZ" w:bidi="cs-CZ"/>
      <w:b/>
      <w:bCs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5">
    <w:name w:val="Základní text (2) + Arial,5 pt"/>
    <w:basedOn w:val="CharStyle30"/>
    <w:rPr>
      <w:lang w:val="cs-CZ" w:eastAsia="cs-CZ" w:bidi="cs-CZ"/>
      <w:sz w:val="10"/>
      <w:szCs w:val="10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6">
    <w:name w:val="Základní text (2) + Arial,10,5 pt"/>
    <w:basedOn w:val="CharStyle30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7">
    <w:name w:val="Základní text (2) + Arial,5 pt"/>
    <w:basedOn w:val="CharStyle30"/>
    <w:rPr>
      <w:lang w:val="cs-CZ" w:eastAsia="cs-CZ" w:bidi="cs-CZ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9">
    <w:name w:val="Titulek obrázku (3)_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9"/>
      <w:szCs w:val="9"/>
      <w:rFonts w:ascii="Franklin Gothic Heavy" w:eastAsia="Franklin Gothic Heavy" w:hAnsi="Franklin Gothic Heavy" w:cs="Franklin Gothic Heavy"/>
    </w:rPr>
  </w:style>
  <w:style w:type="character" w:customStyle="1" w:styleId="CharStyle50">
    <w:name w:val="Titulek obrázku (3)"/>
    <w:basedOn w:val="CharStyle4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2">
    <w:name w:val="Titulek obrázku (4)_"/>
    <w:basedOn w:val="DefaultParagraphFont"/>
    <w:link w:val="Style51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53">
    <w:name w:val="Titulek obrázku (4)"/>
    <w:basedOn w:val="CharStyle5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4">
    <w:name w:val="Záhlaví nebo Zápatí + Calibri,4,5 pt"/>
    <w:basedOn w:val="CharStyle20"/>
    <w:rPr>
      <w:lang w:val="cs-CZ" w:eastAsia="cs-CZ" w:bidi="cs-CZ"/>
      <w:sz w:val="9"/>
      <w:szCs w:val="9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55">
    <w:name w:val="Záhlaví nebo Zápatí + Calibri,4,5 pt"/>
    <w:basedOn w:val="CharStyle20"/>
    <w:rPr>
      <w:lang w:val="cs-CZ" w:eastAsia="cs-CZ" w:bidi="cs-CZ"/>
      <w:sz w:val="9"/>
      <w:szCs w:val="9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Základní text (12)"/>
    <w:basedOn w:val="Normal"/>
    <w:link w:val="CharStyle4"/>
    <w:pPr>
      <w:widowControl w:val="0"/>
      <w:shd w:val="clear" w:color="auto" w:fill="FFFFFF"/>
      <w:jc w:val="both"/>
      <w:spacing w:line="125" w:lineRule="exact"/>
    </w:pPr>
    <w:rPr>
      <w:b/>
      <w:bCs/>
      <w:i w:val="0"/>
      <w:iCs w:val="0"/>
      <w:u w:val="none"/>
      <w:strike w:val="0"/>
      <w:smallCaps w:val="0"/>
      <w:sz w:val="10"/>
      <w:szCs w:val="10"/>
      <w:rFonts w:ascii="Bookman Old Style" w:eastAsia="Bookman Old Style" w:hAnsi="Bookman Old Style" w:cs="Bookman Old Style"/>
    </w:rPr>
  </w:style>
  <w:style w:type="paragraph" w:customStyle="1" w:styleId="Style7">
    <w:name w:val="Základní text (4)"/>
    <w:basedOn w:val="Normal"/>
    <w:link w:val="CharStyle24"/>
    <w:pPr>
      <w:widowControl w:val="0"/>
      <w:shd w:val="clear" w:color="auto" w:fill="FFFFFF"/>
      <w:jc w:val="center"/>
      <w:spacing w:before="240" w:after="42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0">
    <w:name w:val="Základní text (2)"/>
    <w:basedOn w:val="Normal"/>
    <w:link w:val="CharStyle30"/>
    <w:pPr>
      <w:widowControl w:val="0"/>
      <w:shd w:val="clear" w:color="auto" w:fill="FFFFFF"/>
      <w:spacing w:line="293" w:lineRule="exact"/>
      <w:ind w:hanging="460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2">
    <w:name w:val="Základní text (6)"/>
    <w:basedOn w:val="Normal"/>
    <w:link w:val="CharStyle31"/>
    <w:pPr>
      <w:widowControl w:val="0"/>
      <w:shd w:val="clear" w:color="auto" w:fill="FFFFFF"/>
      <w:spacing w:after="420" w:line="0" w:lineRule="exact"/>
    </w:pPr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5">
    <w:name w:val="Nadpis #1 (2)"/>
    <w:basedOn w:val="Normal"/>
    <w:link w:val="CharStyle16"/>
    <w:pPr>
      <w:widowControl w:val="0"/>
      <w:shd w:val="clear" w:color="auto" w:fill="FFFFFF"/>
      <w:jc w:val="right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70"/>
      <w:szCs w:val="70"/>
      <w:rFonts w:ascii="Arial" w:eastAsia="Arial" w:hAnsi="Arial" w:cs="Arial"/>
      <w:spacing w:val="-30"/>
    </w:rPr>
  </w:style>
  <w:style w:type="paragraph" w:customStyle="1" w:styleId="Style19">
    <w:name w:val="Záhlaví nebo Zápatí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jc w:val="center"/>
      <w:spacing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25">
    <w:name w:val="Základní text (5)"/>
    <w:basedOn w:val="Normal"/>
    <w:link w:val="CharStyle26"/>
    <w:pPr>
      <w:widowControl w:val="0"/>
      <w:shd w:val="clear" w:color="auto" w:fill="FFFFFF"/>
      <w:spacing w:before="420" w:after="600" w:line="245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27">
    <w:name w:val="Nadpis #2"/>
    <w:basedOn w:val="Normal"/>
    <w:link w:val="CharStyle28"/>
    <w:pPr>
      <w:widowControl w:val="0"/>
      <w:shd w:val="clear" w:color="auto" w:fill="FFFFFF"/>
      <w:jc w:val="center"/>
      <w:outlineLvl w:val="1"/>
      <w:spacing w:before="600" w:after="42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35">
    <w:name w:val="Titulek obrázku"/>
    <w:basedOn w:val="Normal"/>
    <w:link w:val="CharStyle36"/>
    <w:pPr>
      <w:widowControl w:val="0"/>
      <w:shd w:val="clear" w:color="auto" w:fill="FFFFFF"/>
      <w:jc w:val="both"/>
      <w:spacing w:line="336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48">
    <w:name w:val="Titulek obrázku (3)"/>
    <w:basedOn w:val="Normal"/>
    <w:link w:val="CharStyle4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Franklin Gothic Heavy" w:eastAsia="Franklin Gothic Heavy" w:hAnsi="Franklin Gothic Heavy" w:cs="Franklin Gothic Heavy"/>
    </w:rPr>
  </w:style>
  <w:style w:type="paragraph" w:customStyle="1" w:styleId="Style51">
    <w:name w:val="Titulek obrázku (4)"/>
    <w:basedOn w:val="Normal"/>
    <w:link w:val="CharStyle5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