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D6" w:rsidRDefault="00516A15">
      <w:pPr>
        <w:spacing w:after="581"/>
        <w:ind w:right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Příloha č. 1 ke Smlouvě č.  PPK-130a/53/20</w:t>
      </w:r>
    </w:p>
    <w:p w:rsidR="006B03D6" w:rsidRDefault="00516A15">
      <w:pPr>
        <w:spacing w:after="332"/>
        <w:ind w:left="2" w:right="0"/>
      </w:pPr>
      <w:r>
        <w:rPr>
          <w:b/>
          <w:sz w:val="22"/>
        </w:rPr>
        <w:t>Kalkulace nákladů na výsadbu ovocných dřevin v k. ú. Hlinná</w:t>
      </w:r>
    </w:p>
    <w:tbl>
      <w:tblPr>
        <w:tblStyle w:val="TableGrid"/>
        <w:tblW w:w="10912" w:type="dxa"/>
        <w:tblInd w:w="-38" w:type="dxa"/>
        <w:tblCellMar>
          <w:top w:w="54" w:type="dxa"/>
          <w:left w:w="34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5723"/>
        <w:gridCol w:w="1032"/>
        <w:gridCol w:w="1032"/>
        <w:gridCol w:w="1046"/>
        <w:gridCol w:w="2079"/>
      </w:tblGrid>
      <w:tr w:rsidR="006B03D6">
        <w:trPr>
          <w:trHeight w:val="290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left="5" w:right="0"/>
            </w:pPr>
            <w:r>
              <w:rPr>
                <w:b/>
              </w:rPr>
              <w:t xml:space="preserve">Kalkulace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</w:pPr>
            <w:r>
              <w:rPr>
                <w:b/>
                <w:sz w:val="16"/>
              </w:rPr>
              <w:t>jednotka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</w:pPr>
            <w:r>
              <w:rPr>
                <w:b/>
                <w:sz w:val="16"/>
              </w:rPr>
              <w:t>jednotek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</w:pPr>
            <w:r>
              <w:rPr>
                <w:b/>
                <w:sz w:val="16"/>
              </w:rPr>
              <w:t>cena/jedn.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</w:pPr>
            <w:r>
              <w:rPr>
                <w:sz w:val="16"/>
              </w:rPr>
              <w:t>cena</w:t>
            </w:r>
          </w:p>
        </w:tc>
      </w:tr>
      <w:tr w:rsidR="006B03D6">
        <w:trPr>
          <w:trHeight w:val="290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left="5" w:right="0"/>
            </w:pPr>
            <w:r>
              <w:t>Ovocný strom vysokokmen rozvětvený*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</w:pPr>
            <w:r>
              <w:rPr>
                <w:sz w:val="16"/>
              </w:rPr>
              <w:t>ks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0"/>
              <w:jc w:val="right"/>
            </w:pPr>
            <w:r>
              <w:rPr>
                <w:sz w:val="16"/>
              </w:rPr>
              <w:t>61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left="120" w:right="0"/>
            </w:pPr>
            <w:r>
              <w:rPr>
                <w:sz w:val="16"/>
              </w:rPr>
              <w:t>1 700,00 Kč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5"/>
              <w:jc w:val="right"/>
            </w:pPr>
            <w:r>
              <w:rPr>
                <w:b/>
              </w:rPr>
              <w:t>103 700,00 Kč</w:t>
            </w:r>
          </w:p>
        </w:tc>
      </w:tr>
      <w:tr w:rsidR="006B03D6">
        <w:trPr>
          <w:trHeight w:val="305"/>
        </w:trPr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left="5" w:right="0"/>
            </w:pPr>
            <w:r>
              <w:rPr>
                <w:b/>
              </w:rPr>
              <w:t>Celkem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6B03D6">
            <w:pPr>
              <w:spacing w:after="160"/>
              <w:ind w:right="0"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6B03D6">
            <w:pPr>
              <w:spacing w:after="160"/>
              <w:ind w:right="0"/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6B03D6">
            <w:pPr>
              <w:spacing w:after="160"/>
              <w:ind w:right="0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3D6" w:rsidRDefault="00516A15">
            <w:pPr>
              <w:ind w:right="13"/>
              <w:jc w:val="right"/>
            </w:pPr>
            <w:r>
              <w:rPr>
                <w:b/>
                <w:sz w:val="24"/>
              </w:rPr>
              <w:t>103 700,00 Kč</w:t>
            </w:r>
          </w:p>
        </w:tc>
      </w:tr>
    </w:tbl>
    <w:p w:rsidR="006B03D6" w:rsidRDefault="00516A15">
      <w:r>
        <w:t>Pozn: * zahrnuje všechny nezbytné činnosti a materiály, jako jsou vytyčení výsadeb, (příprava půdy), vykopání jamky, přesun hmot pro účely výsadby, výměna půdy, výsadba, sazenice, mulčování výsadby, kotvení, ochrana kmene, zálivka, hnojení, materiál pro vý</w:t>
      </w:r>
      <w:r>
        <w:t>sadbu (substrát, kotvení, ochrana kmene stromu, ochrana proti okusu v případě volné krajiny, drenáž, mulč, hnojivo, půdní kondicionér), likvidace zeminy zbylé po výměně</w:t>
      </w:r>
    </w:p>
    <w:sectPr w:rsidR="006B03D6">
      <w:pgSz w:w="16834" w:h="11904" w:orient="landscape"/>
      <w:pgMar w:top="1440" w:right="1440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6"/>
    <w:rsid w:val="00516A15"/>
    <w:rsid w:val="006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29EB4-65AE-43B4-86FF-4DF1F6C7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right="3383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PC-5QR2C5J</dc:creator>
  <cp:keywords/>
  <cp:lastModifiedBy>Windows User</cp:lastModifiedBy>
  <cp:revision>2</cp:revision>
  <dcterms:created xsi:type="dcterms:W3CDTF">2020-09-30T12:24:00Z</dcterms:created>
  <dcterms:modified xsi:type="dcterms:W3CDTF">2020-09-30T12:24:00Z</dcterms:modified>
</cp:coreProperties>
</file>