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7F4" w:rsidRDefault="00780989">
      <w:pPr>
        <w:pStyle w:val="Bodytext40"/>
        <w:shd w:val="clear" w:color="auto" w:fill="auto"/>
        <w:spacing w:after="40"/>
        <w:ind w:left="3460" w:right="0" w:firstLine="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margin">
                  <wp:posOffset>-21590</wp:posOffset>
                </wp:positionV>
                <wp:extent cx="215519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7F4" w:rsidRDefault="000827F4" w:rsidP="00B6792E">
                            <w:pPr>
                              <w:pStyle w:val="Zkladntext"/>
                              <w:shd w:val="clear" w:color="auto" w:fill="auto"/>
                              <w:spacing w:before="80" w:after="0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.85pt;margin-top:-1.7pt;width:169.7pt;height:42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" filled="f" stroked="f">
                <v:textbox style="mso-fit-shape-to-text:t" inset="0,0,0,0">
                  <w:txbxContent>
                    <w:p w:rsidR="000827F4" w:rsidRDefault="000827F4" w:rsidP="00B6792E">
                      <w:pPr>
                        <w:pStyle w:val="Zkladntext"/>
                        <w:shd w:val="clear" w:color="auto" w:fill="auto"/>
                        <w:spacing w:before="80" w:after="0"/>
                        <w:jc w:val="lef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0827F4" w:rsidRDefault="000827F4">
      <w:pPr>
        <w:pStyle w:val="Heading10"/>
        <w:keepNext/>
        <w:keepLines/>
        <w:shd w:val="clear" w:color="auto" w:fill="auto"/>
      </w:pPr>
    </w:p>
    <w:p w:rsidR="000827F4" w:rsidRDefault="00780989">
      <w:pPr>
        <w:pStyle w:val="Heading20"/>
        <w:keepNext/>
        <w:keepLines/>
        <w:shd w:val="clear" w:color="auto" w:fill="auto"/>
        <w:tabs>
          <w:tab w:val="left" w:leader="hyphen" w:pos="7171"/>
          <w:tab w:val="left" w:leader="hyphen" w:pos="8741"/>
        </w:tabs>
        <w:spacing w:after="600" w:line="180" w:lineRule="auto"/>
        <w:ind w:left="3460" w:right="0" w:firstLine="20"/>
        <w:jc w:val="both"/>
      </w:pPr>
      <w:bookmarkStart w:id="0" w:name="bookmark1"/>
      <w:r>
        <w:rPr>
          <w:rFonts w:ascii="Calibri" w:eastAsia="Calibri" w:hAnsi="Calibri" w:cs="Calibri"/>
        </w:rPr>
        <w:t>Smlouva o dílo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564E9D"/>
          <w:vertAlign w:val="superscript"/>
        </w:rPr>
        <w:t>L</w:t>
      </w:r>
      <w:r>
        <w:rPr>
          <w:rFonts w:ascii="Calibri" w:eastAsia="Calibri" w:hAnsi="Calibri" w:cs="Calibri"/>
        </w:rPr>
        <w:t>——</w:t>
      </w:r>
      <w:r>
        <w:rPr>
          <w:rFonts w:ascii="Calibri" w:eastAsia="Calibri" w:hAnsi="Calibri" w:cs="Calibri"/>
        </w:rPr>
        <w:tab/>
        <w:t>—</w:t>
      </w:r>
      <w:bookmarkEnd w:id="0"/>
    </w:p>
    <w:p w:rsidR="000827F4" w:rsidRDefault="00780989">
      <w:pPr>
        <w:pStyle w:val="Heading40"/>
        <w:keepNext/>
        <w:keepLines/>
        <w:shd w:val="clear" w:color="auto" w:fill="auto"/>
        <w:spacing w:after="0"/>
        <w:ind w:left="0"/>
        <w:jc w:val="both"/>
      </w:pPr>
      <w:bookmarkStart w:id="1" w:name="bookmark2"/>
      <w:r>
        <w:t>Uživatel:</w:t>
      </w:r>
      <w:bookmarkEnd w:id="1"/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0"/>
      </w:pPr>
      <w:r>
        <w:t>Firma společnosti:</w:t>
      </w:r>
      <w:r>
        <w:tab/>
      </w:r>
      <w:r>
        <w:rPr>
          <w:b/>
          <w:bCs/>
        </w:rPr>
        <w:t>Výzkumný ústav živočišné výroby, v. v. i.</w:t>
      </w:r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0"/>
      </w:pPr>
      <w:r>
        <w:t>Sídlo:</w:t>
      </w:r>
      <w:r>
        <w:tab/>
        <w:t>Přátelství 815,104 00 Praha Uhříněves</w:t>
      </w:r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0"/>
        <w:ind w:right="3020"/>
        <w:jc w:val="left"/>
      </w:pPr>
      <w:r>
        <w:t xml:space="preserve">Adresa pro písemný styk: Přátelství 815,104 00 Praha </w:t>
      </w:r>
      <w:r>
        <w:t>Uhříněves zastoupená:</w:t>
      </w:r>
      <w:r>
        <w:tab/>
      </w:r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60"/>
      </w:pPr>
      <w:r>
        <w:t>IČ: 00027014</w:t>
      </w:r>
      <w:r>
        <w:tab/>
        <w:t>DIČ: CZ00027014</w:t>
      </w:r>
    </w:p>
    <w:p w:rsidR="000827F4" w:rsidRDefault="00780989">
      <w:pPr>
        <w:pStyle w:val="Zkladntext"/>
        <w:shd w:val="clear" w:color="auto" w:fill="auto"/>
        <w:spacing w:after="260"/>
      </w:pPr>
      <w:r>
        <w:t>jako objednatel na straně jedné (dále také jako „objednatel“)</w:t>
      </w:r>
    </w:p>
    <w:p w:rsidR="000827F4" w:rsidRDefault="00780989">
      <w:pPr>
        <w:pStyle w:val="Zkladntext"/>
        <w:shd w:val="clear" w:color="auto" w:fill="auto"/>
        <w:spacing w:after="220" w:line="276" w:lineRule="auto"/>
        <w:ind w:left="1440"/>
        <w:jc w:val="left"/>
      </w:pPr>
      <w:r>
        <w:t>a</w:t>
      </w:r>
    </w:p>
    <w:p w:rsidR="000827F4" w:rsidRDefault="00780989">
      <w:pPr>
        <w:pStyle w:val="Heading40"/>
        <w:keepNext/>
        <w:keepLines/>
        <w:shd w:val="clear" w:color="auto" w:fill="auto"/>
        <w:spacing w:after="260" w:line="276" w:lineRule="auto"/>
        <w:ind w:left="0"/>
        <w:jc w:val="both"/>
      </w:pPr>
      <w:bookmarkStart w:id="2" w:name="bookmark3"/>
      <w:r>
        <w:t>Dodavatel:</w:t>
      </w:r>
      <w:bookmarkEnd w:id="2"/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0"/>
      </w:pPr>
      <w:r>
        <w:t>Firma společnosti:</w:t>
      </w:r>
      <w:r>
        <w:tab/>
      </w:r>
      <w:proofErr w:type="spellStart"/>
      <w:r>
        <w:rPr>
          <w:b/>
          <w:bCs/>
        </w:rPr>
        <w:t>Solitea</w:t>
      </w:r>
      <w:proofErr w:type="spellEnd"/>
      <w:r>
        <w:rPr>
          <w:b/>
          <w:bCs/>
        </w:rPr>
        <w:t>, a.s.</w:t>
      </w:r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0" w:line="276" w:lineRule="auto"/>
      </w:pPr>
      <w:r>
        <w:t>Sídlo:</w:t>
      </w:r>
      <w:r>
        <w:tab/>
        <w:t xml:space="preserve">Drobného 555/49, </w:t>
      </w:r>
      <w:proofErr w:type="spellStart"/>
      <w:r>
        <w:t>Ponava</w:t>
      </w:r>
      <w:proofErr w:type="spellEnd"/>
      <w:r>
        <w:t>, 602 00 Brno</w:t>
      </w:r>
    </w:p>
    <w:p w:rsidR="00B6792E" w:rsidRDefault="00780989">
      <w:pPr>
        <w:pStyle w:val="Zkladntext"/>
        <w:shd w:val="clear" w:color="auto" w:fill="auto"/>
        <w:tabs>
          <w:tab w:val="left" w:pos="2498"/>
        </w:tabs>
        <w:spacing w:after="0" w:line="276" w:lineRule="auto"/>
        <w:ind w:right="2620"/>
        <w:jc w:val="left"/>
      </w:pPr>
      <w:r>
        <w:t xml:space="preserve">Adresa pro </w:t>
      </w:r>
      <w:r>
        <w:t xml:space="preserve">písemný styk: Žižkova 708, 261 01 Příbram II </w:t>
      </w:r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0" w:line="276" w:lineRule="auto"/>
        <w:ind w:right="2620"/>
        <w:jc w:val="left"/>
      </w:pPr>
      <w:r>
        <w:t>zastoupená:</w:t>
      </w:r>
      <w:r>
        <w:tab/>
      </w:r>
    </w:p>
    <w:p w:rsidR="000827F4" w:rsidRDefault="00780989">
      <w:pPr>
        <w:pStyle w:val="Zkladntext"/>
        <w:shd w:val="clear" w:color="auto" w:fill="auto"/>
        <w:tabs>
          <w:tab w:val="left" w:pos="2498"/>
        </w:tabs>
        <w:spacing w:after="60"/>
      </w:pPr>
      <w:r>
        <w:t>IČ: 01572377</w:t>
      </w:r>
      <w:r>
        <w:tab/>
        <w:t>DIČ: CZ01572377</w:t>
      </w:r>
    </w:p>
    <w:p w:rsidR="000827F4" w:rsidRDefault="00780989">
      <w:pPr>
        <w:pStyle w:val="Zkladntext"/>
        <w:shd w:val="clear" w:color="auto" w:fill="auto"/>
        <w:spacing w:after="260" w:line="276" w:lineRule="auto"/>
      </w:pPr>
      <w:r>
        <w:t xml:space="preserve">Jako zhotovitel na straně druhé (dále také jako „dodavatel“) prohlašují, že jsou zcela způsobilí k právním úkonům a po </w:t>
      </w:r>
      <w:r>
        <w:t>vzájemné domluvě uzavírají tuto smlouvu:</w:t>
      </w:r>
    </w:p>
    <w:p w:rsidR="000827F4" w:rsidRDefault="00780989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570"/>
        </w:tabs>
        <w:spacing w:after="320"/>
        <w:ind w:left="2840"/>
      </w:pPr>
      <w:bookmarkStart w:id="3" w:name="bookmark4"/>
      <w:r>
        <w:t>Předmět smlouvy o dílo</w:t>
      </w:r>
      <w:bookmarkEnd w:id="3"/>
    </w:p>
    <w:p w:rsidR="000827F4" w:rsidRDefault="00780989">
      <w:pPr>
        <w:pStyle w:val="Zkladntext"/>
        <w:shd w:val="clear" w:color="auto" w:fill="auto"/>
        <w:spacing w:after="0"/>
      </w:pPr>
      <w:r>
        <w:t>Předmětem smlouvy jsou služby a převod licence z Byznys VR na Byznys B6. Dílo v sobě zahrnuje provedení</w:t>
      </w:r>
    </w:p>
    <w:p w:rsidR="000827F4" w:rsidRDefault="00780989">
      <w:pPr>
        <w:pStyle w:val="Zkladntext"/>
        <w:shd w:val="clear" w:color="auto" w:fill="auto"/>
        <w:spacing w:after="0"/>
        <w:ind w:left="380"/>
        <w:jc w:val="left"/>
      </w:pPr>
      <w:r>
        <w:t xml:space="preserve">• Analýza nasazení Licence konfigurace Byznys B6, LAN, </w:t>
      </w:r>
      <w:proofErr w:type="spellStart"/>
      <w:r>
        <w:t>monoverze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141"/>
        <w:gridCol w:w="2146"/>
      </w:tblGrid>
      <w:tr w:rsidR="000827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rPr>
                <w:b/>
                <w:bCs/>
                <w:i/>
                <w:iCs/>
              </w:rPr>
              <w:t>modul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počet přístupů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b/>
                <w:bCs/>
                <w:i/>
                <w:iCs/>
              </w:rPr>
              <w:t>typ licence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Centrální menu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220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pojmenovaný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Finanční účetnictví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14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Fakturace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70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Pokladna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Bankovní operace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Evidence majetku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Skladové hospodářství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Zakázky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70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Informace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220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Manažer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15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CRM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souběžný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proofErr w:type="spellStart"/>
            <w:r>
              <w:t>Power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BI </w:t>
            </w:r>
            <w:r>
              <w:t>(EKO)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komunikační rozhraní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Mzdy a personalistika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300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rFonts w:ascii="SimSun" w:eastAsia="SimSun" w:hAnsi="SimSun" w:cs="SimSun"/>
                <w:i/>
                <w:iCs/>
                <w:sz w:val="28"/>
                <w:szCs w:val="28"/>
              </w:rPr>
              <w:t>★</w:t>
            </w:r>
            <w:r>
              <w:rPr>
                <w:i/>
                <w:iCs/>
              </w:rPr>
              <w:t>počet zaměstnanců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Centrum Sdílení Dokumentů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 xml:space="preserve">licence na </w:t>
            </w:r>
            <w:r>
              <w:rPr>
                <w:i/>
                <w:iCs/>
              </w:rPr>
              <w:t>instalaci</w:t>
            </w:r>
          </w:p>
        </w:tc>
      </w:tr>
    </w:tbl>
    <w:p w:rsidR="000827F4" w:rsidRDefault="000827F4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2136"/>
        <w:gridCol w:w="2141"/>
      </w:tblGrid>
      <w:tr w:rsidR="000827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t>GDPR</w:t>
            </w:r>
          </w:p>
        </w:tc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licence na instalaci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t xml:space="preserve">Účtový rozvrh (hospodářské </w:t>
            </w:r>
            <w:proofErr w:type="spellStart"/>
            <w:r>
              <w:t>org</w:t>
            </w:r>
            <w:proofErr w:type="spellEnd"/>
            <w:r>
              <w:t xml:space="preserve">. - </w:t>
            </w:r>
            <w:proofErr w:type="gramStart"/>
            <w:r>
              <w:t>Č,A</w:t>
            </w:r>
            <w:proofErr w:type="gramEnd"/>
            <w:r>
              <w:t>,N)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licence na instalaci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t xml:space="preserve">Výkazy (rozvaha, výsledovka - </w:t>
            </w:r>
            <w:proofErr w:type="gramStart"/>
            <w:r>
              <w:t>Č,A</w:t>
            </w:r>
            <w:proofErr w:type="gramEnd"/>
            <w:r>
              <w:t>,N)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licence na instalaci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lastRenderedPageBreak/>
              <w:t>Penzijní fondy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licence na instalaci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rPr>
                <w:lang w:val="en-US" w:eastAsia="en-US" w:bidi="en-US"/>
              </w:rPr>
              <w:t xml:space="preserve">Excellent </w:t>
            </w:r>
            <w:r>
              <w:t>- finanční analýza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pojmenovaný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rPr>
                <w:lang w:val="en-US" w:eastAsia="en-US" w:bidi="en-US"/>
              </w:rPr>
              <w:t xml:space="preserve">Excellent </w:t>
            </w:r>
            <w:r>
              <w:t>- středisková analýza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pojmenovaný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rPr>
                <w:lang w:val="en-US" w:eastAsia="en-US" w:bidi="en-US"/>
              </w:rPr>
              <w:t xml:space="preserve">Excellent </w:t>
            </w:r>
            <w:r>
              <w:t>- statistické výkazy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pojmenovaný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r>
              <w:rPr>
                <w:lang w:val="en-US" w:eastAsia="en-US" w:bidi="en-US"/>
              </w:rPr>
              <w:t xml:space="preserve">Excellent </w:t>
            </w:r>
            <w:r>
              <w:t>- generátor sestav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i/>
                <w:iCs/>
              </w:rPr>
              <w:t>pojmenovaný přístup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firstLine="140"/>
              <w:jc w:val="left"/>
            </w:pPr>
            <w:proofErr w:type="gramStart"/>
            <w:r>
              <w:t>Doprava - dispečink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/>
              <w:jc w:val="left"/>
            </w:pPr>
            <w:r>
              <w:t>170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rFonts w:ascii="SimSun" w:eastAsia="SimSun" w:hAnsi="SimSun" w:cs="SimSun"/>
                <w:i/>
                <w:iCs/>
                <w:sz w:val="28"/>
                <w:szCs w:val="28"/>
              </w:rPr>
              <w:t>★</w:t>
            </w:r>
            <w:r>
              <w:rPr>
                <w:i/>
                <w:iCs/>
              </w:rPr>
              <w:t>počet SPZ</w:t>
            </w:r>
          </w:p>
        </w:tc>
      </w:tr>
    </w:tbl>
    <w:p w:rsidR="000827F4" w:rsidRDefault="000827F4">
      <w:pPr>
        <w:spacing w:after="246" w:line="14" w:lineRule="exact"/>
      </w:pPr>
    </w:p>
    <w:p w:rsidR="000827F4" w:rsidRDefault="00780989">
      <w:pPr>
        <w:pStyle w:val="Heading40"/>
        <w:keepNext/>
        <w:keepLines/>
        <w:shd w:val="clear" w:color="auto" w:fill="auto"/>
        <w:spacing w:after="580"/>
        <w:ind w:left="740" w:hanging="360"/>
      </w:pPr>
      <w:bookmarkStart w:id="4" w:name="bookmark5"/>
      <w:r>
        <w:rPr>
          <w:rFonts w:ascii="Calibri" w:eastAsia="Calibri" w:hAnsi="Calibri" w:cs="Calibri"/>
        </w:rPr>
        <w:t xml:space="preserve">• </w:t>
      </w:r>
      <w:proofErr w:type="spellStart"/>
      <w:proofErr w:type="gramStart"/>
      <w:r>
        <w:rPr>
          <w:rFonts w:ascii="Calibri" w:eastAsia="Calibri" w:hAnsi="Calibri" w:cs="Calibri"/>
        </w:rPr>
        <w:t>Impementaci</w:t>
      </w:r>
      <w:proofErr w:type="spellEnd"/>
      <w:r>
        <w:rPr>
          <w:rFonts w:ascii="Calibri" w:eastAsia="Calibri" w:hAnsi="Calibri" w:cs="Calibri"/>
        </w:rPr>
        <w:t xml:space="preserve"> - představující</w:t>
      </w:r>
      <w:proofErr w:type="gramEnd"/>
      <w:r>
        <w:rPr>
          <w:rFonts w:ascii="Calibri" w:eastAsia="Calibri" w:hAnsi="Calibri" w:cs="Calibri"/>
        </w:rPr>
        <w:t xml:space="preserve"> převod stávající licence </w:t>
      </w:r>
      <w:r>
        <w:rPr>
          <w:rFonts w:ascii="Calibri" w:eastAsia="Calibri" w:hAnsi="Calibri" w:cs="Calibri"/>
        </w:rPr>
        <w:t>VR na Byznys B6 a rozsahu který je nyní využíván.</w:t>
      </w:r>
      <w:bookmarkEnd w:id="4"/>
    </w:p>
    <w:p w:rsidR="000827F4" w:rsidRDefault="00780989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025"/>
        </w:tabs>
        <w:spacing w:after="620"/>
        <w:ind w:left="2300"/>
      </w:pPr>
      <w:bookmarkStart w:id="5" w:name="bookmark6"/>
      <w:r>
        <w:t>Finanční ujednání smlouvy o dílo</w:t>
      </w:r>
      <w:bookmarkEnd w:id="5"/>
    </w:p>
    <w:p w:rsidR="000827F4" w:rsidRDefault="00780989">
      <w:pPr>
        <w:pStyle w:val="Zkladntext"/>
        <w:shd w:val="clear" w:color="auto" w:fill="auto"/>
        <w:spacing w:after="400"/>
        <w:ind w:left="740" w:hanging="740"/>
      </w:pPr>
      <w:r>
        <w:t>Smluvní strany se dohodly na následující finanční kalkulaci:</w:t>
      </w:r>
    </w:p>
    <w:p w:rsidR="000827F4" w:rsidRDefault="00780989">
      <w:pPr>
        <w:pStyle w:val="Zkladntext"/>
        <w:numPr>
          <w:ilvl w:val="0"/>
          <w:numId w:val="2"/>
        </w:numPr>
        <w:shd w:val="clear" w:color="auto" w:fill="auto"/>
        <w:tabs>
          <w:tab w:val="left" w:pos="695"/>
          <w:tab w:val="left" w:pos="7197"/>
        </w:tabs>
        <w:spacing w:after="100"/>
        <w:ind w:left="740" w:hanging="740"/>
      </w:pPr>
      <w:r>
        <w:t>Analýza nasazení</w:t>
      </w:r>
      <w:r>
        <w:tab/>
      </w:r>
      <w:r>
        <w:t>Kč</w:t>
      </w:r>
    </w:p>
    <w:p w:rsidR="000827F4" w:rsidRDefault="00780989">
      <w:pPr>
        <w:pStyle w:val="Zkladntext"/>
        <w:numPr>
          <w:ilvl w:val="0"/>
          <w:numId w:val="2"/>
        </w:numPr>
        <w:shd w:val="clear" w:color="auto" w:fill="auto"/>
        <w:tabs>
          <w:tab w:val="left" w:pos="695"/>
          <w:tab w:val="left" w:pos="2794"/>
          <w:tab w:val="left" w:pos="7197"/>
        </w:tabs>
        <w:spacing w:after="100"/>
        <w:ind w:left="740" w:hanging="740"/>
      </w:pPr>
      <w:r>
        <w:t>Licence Konfigurace:</w:t>
      </w:r>
      <w:r>
        <w:tab/>
        <w:t xml:space="preserve">Byznys B6, LAN, </w:t>
      </w:r>
      <w:proofErr w:type="spellStart"/>
      <w:r>
        <w:t>monoverze</w:t>
      </w:r>
      <w:proofErr w:type="spellEnd"/>
      <w:r>
        <w:tab/>
      </w:r>
      <w:r>
        <w:t>Kč</w:t>
      </w:r>
    </w:p>
    <w:p w:rsidR="000827F4" w:rsidRDefault="00780989">
      <w:pPr>
        <w:pStyle w:val="Zkladntext"/>
        <w:numPr>
          <w:ilvl w:val="0"/>
          <w:numId w:val="2"/>
        </w:numPr>
        <w:shd w:val="clear" w:color="auto" w:fill="auto"/>
        <w:tabs>
          <w:tab w:val="left" w:pos="695"/>
          <w:tab w:val="left" w:pos="7197"/>
        </w:tabs>
        <w:spacing w:after="100"/>
        <w:ind w:left="740" w:hanging="740"/>
      </w:pPr>
      <w:r>
        <w:t>Implementace</w:t>
      </w:r>
      <w:r>
        <w:tab/>
      </w:r>
      <w:r>
        <w:t>Kč</w:t>
      </w:r>
    </w:p>
    <w:p w:rsidR="000827F4" w:rsidRDefault="00780989">
      <w:pPr>
        <w:pStyle w:val="Zkladntext"/>
        <w:numPr>
          <w:ilvl w:val="0"/>
          <w:numId w:val="2"/>
        </w:numPr>
        <w:shd w:val="clear" w:color="auto" w:fill="auto"/>
        <w:tabs>
          <w:tab w:val="left" w:pos="695"/>
        </w:tabs>
        <w:spacing w:after="100"/>
        <w:ind w:left="740" w:hanging="740"/>
      </w:pPr>
      <w:r>
        <w:t xml:space="preserve">Náhrada cestovních nákladů zhotovitele a náklady související s ubytováním osob zmocněných zhotovitelem k plnění jeho závazků dle této smlouvy nejsou součástí ceny dle tohoto oddílu. Zhotovitel má nárok na náhradu cestovních nákladů ve </w:t>
      </w:r>
      <w:proofErr w:type="gramStart"/>
      <w:r>
        <w:t xml:space="preserve">výši </w:t>
      </w:r>
      <w:r>
        <w:t xml:space="preserve"> Kč</w:t>
      </w:r>
      <w:proofErr w:type="gramEnd"/>
      <w:r>
        <w:t>/km. Zho</w:t>
      </w:r>
      <w:r>
        <w:t xml:space="preserve">tovitel má nárok na náhradu nákladů na ubytování dle skutečně vynaložených nákladů prokázaných dokladem o ubytování, </w:t>
      </w:r>
      <w:r>
        <w:rPr>
          <w:lang w:val="en-US" w:eastAsia="en-US" w:bidi="en-US"/>
        </w:rPr>
        <w:t xml:space="preserve">max. </w:t>
      </w:r>
      <w:r>
        <w:t xml:space="preserve">ve výši </w:t>
      </w:r>
      <w:r>
        <w:t>Kč/osoba/noc, to však pouze v případě, že mu tento náklad bude objednatelem dopředu odsouhlasen.</w:t>
      </w:r>
    </w:p>
    <w:p w:rsidR="000827F4" w:rsidRDefault="00780989">
      <w:pPr>
        <w:pStyle w:val="Zkladntext"/>
        <w:shd w:val="clear" w:color="auto" w:fill="auto"/>
        <w:spacing w:after="660"/>
        <w:ind w:left="740"/>
      </w:pPr>
      <w:r>
        <w:t>K ceně bude připočtena D</w:t>
      </w:r>
      <w:r>
        <w:t>PH dle příslušných předpisů.</w:t>
      </w:r>
    </w:p>
    <w:p w:rsidR="000827F4" w:rsidRDefault="00780989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840"/>
        </w:tabs>
        <w:spacing w:after="740"/>
        <w:ind w:left="3120"/>
      </w:pPr>
      <w:bookmarkStart w:id="6" w:name="bookmark7"/>
      <w:r>
        <w:t>Platební podmínky</w:t>
      </w:r>
      <w:bookmarkEnd w:id="6"/>
    </w:p>
    <w:p w:rsidR="000827F4" w:rsidRDefault="00780989">
      <w:pPr>
        <w:pStyle w:val="Zkladntext"/>
        <w:numPr>
          <w:ilvl w:val="0"/>
          <w:numId w:val="3"/>
        </w:numPr>
        <w:shd w:val="clear" w:color="auto" w:fill="auto"/>
        <w:tabs>
          <w:tab w:val="left" w:pos="695"/>
        </w:tabs>
        <w:spacing w:after="100"/>
        <w:ind w:left="740" w:hanging="740"/>
      </w:pPr>
      <w:r>
        <w:t xml:space="preserve">Cenová kalkulace za Analýzu nasazení bude fakturována </w:t>
      </w:r>
      <w:proofErr w:type="spellStart"/>
      <w:r>
        <w:t>kdatu</w:t>
      </w:r>
      <w:proofErr w:type="spellEnd"/>
      <w:r>
        <w:t xml:space="preserve"> předání Analýzy nasazení. Cenová kalkulace za Analýzu nasazení je konečná a její zpracování zohledňuje zpracování všech uživatelských úprav, která má</w:t>
      </w:r>
      <w:r>
        <w:t xml:space="preserve"> objednatel v programu Byznys VR již zahrnuty.</w:t>
      </w:r>
    </w:p>
    <w:p w:rsidR="000827F4" w:rsidRDefault="00780989">
      <w:pPr>
        <w:pStyle w:val="Zkladntext"/>
        <w:numPr>
          <w:ilvl w:val="0"/>
          <w:numId w:val="3"/>
        </w:numPr>
        <w:shd w:val="clear" w:color="auto" w:fill="auto"/>
        <w:tabs>
          <w:tab w:val="left" w:pos="695"/>
        </w:tabs>
        <w:spacing w:after="400"/>
        <w:ind w:left="740" w:hanging="740"/>
      </w:pPr>
      <w:r>
        <w:t>Cenová kalkulace licence konfigurace Byznys B6 bude proplacena dle následujícího rozpisu na základě daňových dokladů:</w:t>
      </w:r>
    </w:p>
    <w:p w:rsidR="000827F4" w:rsidRDefault="00780989">
      <w:pPr>
        <w:pStyle w:val="Zkladntext"/>
        <w:shd w:val="clear" w:color="auto" w:fill="auto"/>
        <w:tabs>
          <w:tab w:val="left" w:pos="1978"/>
          <w:tab w:val="left" w:pos="5564"/>
          <w:tab w:val="left" w:pos="7698"/>
        </w:tabs>
        <w:spacing w:after="60"/>
        <w:ind w:left="740"/>
      </w:pPr>
      <w:r>
        <w:t>k datu</w:t>
      </w:r>
      <w:r>
        <w:tab/>
        <w:t>zahájení implementace</w:t>
      </w:r>
      <w:r>
        <w:tab/>
        <w:t>částka</w:t>
      </w:r>
      <w:r>
        <w:tab/>
      </w:r>
      <w:r>
        <w:t>Kč</w:t>
      </w:r>
    </w:p>
    <w:p w:rsidR="000827F4" w:rsidRDefault="00780989">
      <w:pPr>
        <w:pStyle w:val="Zkladntext"/>
        <w:shd w:val="clear" w:color="auto" w:fill="auto"/>
        <w:tabs>
          <w:tab w:val="left" w:pos="1978"/>
          <w:tab w:val="left" w:pos="7698"/>
        </w:tabs>
        <w:spacing w:after="320"/>
        <w:ind w:left="740"/>
      </w:pPr>
      <w:proofErr w:type="spellStart"/>
      <w:r>
        <w:t>kdatu</w:t>
      </w:r>
      <w:proofErr w:type="spellEnd"/>
      <w:r>
        <w:tab/>
      </w:r>
      <w:proofErr w:type="spellStart"/>
      <w:r>
        <w:t>kdatu</w:t>
      </w:r>
      <w:proofErr w:type="spellEnd"/>
      <w:r>
        <w:t xml:space="preserve"> předání do rutinního provozu </w:t>
      </w:r>
      <w:r>
        <w:t>částka</w:t>
      </w:r>
      <w:r>
        <w:tab/>
      </w:r>
      <w:r>
        <w:t>Kč</w:t>
      </w:r>
    </w:p>
    <w:p w:rsidR="000827F4" w:rsidRDefault="00780989">
      <w:pPr>
        <w:pStyle w:val="Zkladntext"/>
        <w:shd w:val="clear" w:color="auto" w:fill="auto"/>
        <w:spacing w:after="380"/>
        <w:ind w:left="720" w:firstLine="20"/>
      </w:pPr>
      <w:r>
        <w:t>Cena za licence konfigurace Byznys B6 po předání do rutinního provozu bude fakturována až na základě objednatelem podepsaného předávacího protokolu.</w:t>
      </w:r>
    </w:p>
    <w:p w:rsidR="000827F4" w:rsidRDefault="00780989">
      <w:pPr>
        <w:pStyle w:val="Zkladntext"/>
        <w:numPr>
          <w:ilvl w:val="0"/>
          <w:numId w:val="3"/>
        </w:numPr>
        <w:shd w:val="clear" w:color="auto" w:fill="auto"/>
        <w:tabs>
          <w:tab w:val="left" w:pos="709"/>
        </w:tabs>
        <w:spacing w:after="400"/>
        <w:ind w:left="720" w:hanging="720"/>
      </w:pPr>
      <w:r>
        <w:t>Cenová kalkulace implementačních služeb bude proplacena dle následujícího rozpisu na zákl</w:t>
      </w:r>
      <w:r>
        <w:t>adě daňových dokladů:</w:t>
      </w:r>
    </w:p>
    <w:p w:rsidR="000827F4" w:rsidRDefault="00780989">
      <w:pPr>
        <w:pStyle w:val="Zkladntext"/>
        <w:shd w:val="clear" w:color="auto" w:fill="auto"/>
        <w:tabs>
          <w:tab w:val="left" w:pos="1974"/>
          <w:tab w:val="left" w:pos="5578"/>
          <w:tab w:val="left" w:pos="7724"/>
        </w:tabs>
        <w:spacing w:after="40"/>
        <w:ind w:left="720" w:firstLine="20"/>
      </w:pPr>
      <w:r>
        <w:t>k datu</w:t>
      </w:r>
      <w:r>
        <w:tab/>
        <w:t>zahájení implementace</w:t>
      </w:r>
      <w:r>
        <w:tab/>
        <w:t>částka</w:t>
      </w:r>
      <w:r>
        <w:tab/>
      </w:r>
      <w:r>
        <w:t>Kč</w:t>
      </w:r>
    </w:p>
    <w:p w:rsidR="000827F4" w:rsidRDefault="00780989">
      <w:pPr>
        <w:pStyle w:val="Zkladntext"/>
        <w:shd w:val="clear" w:color="auto" w:fill="auto"/>
        <w:tabs>
          <w:tab w:val="left" w:pos="1974"/>
          <w:tab w:val="left" w:pos="7724"/>
        </w:tabs>
        <w:spacing w:after="460"/>
        <w:ind w:left="720" w:firstLine="20"/>
      </w:pPr>
      <w:r>
        <w:lastRenderedPageBreak/>
        <w:t>k datu</w:t>
      </w:r>
      <w:r>
        <w:tab/>
        <w:t>k datu předání do rutinního provozu částka</w:t>
      </w:r>
      <w:r>
        <w:tab/>
      </w:r>
      <w:r>
        <w:t>Kč</w:t>
      </w:r>
    </w:p>
    <w:p w:rsidR="000827F4" w:rsidRDefault="00780989">
      <w:pPr>
        <w:pStyle w:val="Zkladntext"/>
        <w:shd w:val="clear" w:color="auto" w:fill="auto"/>
        <w:spacing w:after="400"/>
        <w:ind w:left="720" w:firstLine="20"/>
      </w:pPr>
      <w:r>
        <w:t xml:space="preserve">Cena za dokončení implementačních služeb do rutinního provozu bude fakturována až na základě objednatelem podepsaného </w:t>
      </w:r>
      <w:r>
        <w:t>předávacího protokolu.</w:t>
      </w:r>
    </w:p>
    <w:p w:rsidR="000827F4" w:rsidRDefault="00780989">
      <w:pPr>
        <w:pStyle w:val="Zkladntext"/>
        <w:numPr>
          <w:ilvl w:val="0"/>
          <w:numId w:val="3"/>
        </w:numPr>
        <w:shd w:val="clear" w:color="auto" w:fill="auto"/>
        <w:tabs>
          <w:tab w:val="left" w:pos="709"/>
        </w:tabs>
        <w:spacing w:after="660"/>
        <w:ind w:left="720" w:hanging="720"/>
      </w:pPr>
      <w:r>
        <w:t xml:space="preserve">Náhrada cestovních nákladů zhotovitele a náklady související s ubytováním osob zmocněných zhotovitelem k plnění jeho závazků dle této smlouvy o dílo budou proplaceny na základě skutečnosti a vystavení daňových dokladů, dle </w:t>
      </w:r>
      <w:proofErr w:type="spellStart"/>
      <w:r>
        <w:t>čl</w:t>
      </w:r>
      <w:proofErr w:type="spellEnd"/>
      <w:r>
        <w:t xml:space="preserve"> II odst</w:t>
      </w:r>
      <w:r>
        <w:t>avce 4 této Smlouvy</w:t>
      </w:r>
    </w:p>
    <w:p w:rsidR="000827F4" w:rsidRDefault="00780989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066"/>
        </w:tabs>
        <w:spacing w:after="460"/>
        <w:ind w:left="2360"/>
      </w:pPr>
      <w:bookmarkStart w:id="7" w:name="bookmark8"/>
      <w:r>
        <w:t>Termínové a jiné plnění Dohody</w:t>
      </w:r>
      <w:bookmarkEnd w:id="7"/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709"/>
        </w:tabs>
        <w:spacing w:after="40"/>
        <w:ind w:left="300" w:hanging="300"/>
      </w:pPr>
      <w:r>
        <w:t>Smluvní strany se dohodly na následujících termínech:</w:t>
      </w:r>
    </w:p>
    <w:p w:rsidR="000827F4" w:rsidRDefault="00780989">
      <w:pPr>
        <w:pStyle w:val="Bodytext20"/>
        <w:shd w:val="clear" w:color="auto" w:fill="auto"/>
        <w:tabs>
          <w:tab w:val="left" w:pos="7191"/>
        </w:tabs>
      </w:pPr>
      <w:r>
        <w:t>Předání Analýzy nasazení</w:t>
      </w:r>
      <w:r>
        <w:tab/>
        <w:t>30. září 2020</w:t>
      </w:r>
    </w:p>
    <w:p w:rsidR="000827F4" w:rsidRDefault="00780989">
      <w:pPr>
        <w:pStyle w:val="Bodytext20"/>
        <w:shd w:val="clear" w:color="auto" w:fill="auto"/>
        <w:tabs>
          <w:tab w:val="left" w:pos="7028"/>
        </w:tabs>
      </w:pPr>
      <w:r>
        <w:t>Zahájení Implementace</w:t>
      </w:r>
      <w:r>
        <w:tab/>
        <w:t>1. listopad 2020</w:t>
      </w:r>
    </w:p>
    <w:p w:rsidR="000827F4" w:rsidRDefault="00780989">
      <w:pPr>
        <w:pStyle w:val="Bodytext20"/>
        <w:shd w:val="clear" w:color="auto" w:fill="auto"/>
        <w:tabs>
          <w:tab w:val="left" w:pos="6841"/>
        </w:tabs>
      </w:pPr>
      <w:r>
        <w:t>Ukončení implementace</w:t>
      </w:r>
      <w:r>
        <w:tab/>
        <w:t>31. prosinec 2020</w:t>
      </w:r>
    </w:p>
    <w:p w:rsidR="000827F4" w:rsidRDefault="00780989">
      <w:pPr>
        <w:pStyle w:val="Bodytext20"/>
        <w:shd w:val="clear" w:color="auto" w:fill="auto"/>
        <w:tabs>
          <w:tab w:val="left" w:pos="7191"/>
        </w:tabs>
        <w:spacing w:after="140"/>
      </w:pPr>
      <w:r>
        <w:t>Předání do rutinního provozu</w:t>
      </w:r>
      <w:r>
        <w:tab/>
        <w:t>4. l</w:t>
      </w:r>
      <w:r>
        <w:t>eden 2021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318"/>
        </w:tabs>
        <w:spacing w:after="100"/>
        <w:ind w:left="300" w:hanging="300"/>
      </w:pPr>
      <w:r>
        <w:t xml:space="preserve">Dodavatel si vyhrazuje právo posunout termíny v případě nedodržení termínu uzavření této smlouvy, nebo na základě dodatečně získaných informací během vlastních realizačních prací. V případě posunutí termínů bude uzavřen dodatek v této smlouvě s </w:t>
      </w:r>
      <w:r>
        <w:t>uvedením nových termínů.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318"/>
        </w:tabs>
        <w:spacing w:after="100"/>
        <w:ind w:left="300" w:hanging="300"/>
      </w:pPr>
      <w:r>
        <w:t xml:space="preserve">Dodavatel si vyhrazuje právo na změnu termínu z důvodů vyšší moci (nemoc pracovníků, živelné pohromy, ...) aniž by to mělo za důsledek nedodržení dohodnutých termínů. Pakliže </w:t>
      </w:r>
      <w:proofErr w:type="spellStart"/>
      <w:r>
        <w:t>ktéto</w:t>
      </w:r>
      <w:proofErr w:type="spellEnd"/>
      <w:r>
        <w:t xml:space="preserve"> situaci dojde, dodavatel se zavazuje neprodleně in</w:t>
      </w:r>
      <w:r>
        <w:t>formovat uživatele a navrhnout mu náhradní termíny. V případě posunutí termínů bude uzavřen dodatek v této smlouvě s uvedením nových termínů.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323"/>
        </w:tabs>
        <w:spacing w:after="100"/>
        <w:ind w:left="300" w:hanging="300"/>
      </w:pPr>
      <w:r>
        <w:t>Pakliže bude nesporné, že nedodržení termínu rutinního předání bude objektivně a prokazatelně výhradně na straně d</w:t>
      </w:r>
      <w:r>
        <w:t xml:space="preserve">odavatele, bude dodavatel povinen zaplatit objednateli smluvní pokutu ve </w:t>
      </w:r>
      <w:proofErr w:type="gramStart"/>
      <w:r>
        <w:t>výši</w:t>
      </w:r>
      <w:r>
        <w:t>,-</w:t>
      </w:r>
      <w:proofErr w:type="gramEnd"/>
      <w:r>
        <w:t xml:space="preserve"> Kč za každý i započatý den prodlení, s tím, že tím není dotčeno právo objednatele na náhradu škody ve skutečné výši.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323"/>
        </w:tabs>
        <w:spacing w:after="100"/>
        <w:ind w:left="300" w:hanging="300"/>
      </w:pPr>
      <w:r>
        <w:t>Předání předmětu smlouvy o dílo je realizováno instalac</w:t>
      </w:r>
      <w:r>
        <w:t>í, objednatelovým ověřením a podpisem Předávacího protokolu.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323"/>
        </w:tabs>
        <w:spacing w:after="100"/>
        <w:ind w:left="300" w:hanging="300"/>
      </w:pPr>
      <w:r>
        <w:t xml:space="preserve">Dodavatel může pověřit subdodávkou části díla své </w:t>
      </w:r>
      <w:proofErr w:type="spellStart"/>
      <w:r>
        <w:rPr>
          <w:lang w:val="en-US" w:eastAsia="en-US" w:bidi="en-US"/>
        </w:rPr>
        <w:t>podzhotovitele</w:t>
      </w:r>
      <w:proofErr w:type="spellEnd"/>
      <w:r>
        <w:rPr>
          <w:lang w:val="en-US" w:eastAsia="en-US" w:bidi="en-US"/>
        </w:rPr>
        <w:t xml:space="preserve">. </w:t>
      </w:r>
      <w:r>
        <w:t>V takovém případě se zhotovitel zavazuje nad celým předmětem této smlouvy realizovat dozorování a přebírá právní odpovědnost za s</w:t>
      </w:r>
      <w:r>
        <w:t>právný průběh a výsledek veškerých prací.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323"/>
        </w:tabs>
        <w:spacing w:after="100"/>
        <w:ind w:left="300" w:hanging="300"/>
      </w:pPr>
      <w:r>
        <w:t>Dodavatel se zavazuje garantovat uživateli koexistenci předmětu smlouvy o dílo se standardními funkcemi systému Byznys B6 na základě vzájemné spolupráce. V případě, že se vyskytne problém v koexistenci předmětu sml</w:t>
      </w:r>
      <w:r>
        <w:t>ouvy o dílo se systémem a bude řádně nahlášen uživatelem dodavateli, ten zajistí řešení a vyřešení problému v co nejkratší době, pakliže se bude jednat o práce spojené se</w:t>
      </w:r>
      <w:r>
        <w:br w:type="page"/>
      </w:r>
    </w:p>
    <w:p w:rsidR="000827F4" w:rsidRDefault="00780989">
      <w:pPr>
        <w:pStyle w:val="Zkladntext"/>
        <w:shd w:val="clear" w:color="auto" w:fill="auto"/>
        <w:spacing w:after="120"/>
        <w:ind w:left="300" w:firstLine="20"/>
      </w:pPr>
      <w:r>
        <w:lastRenderedPageBreak/>
        <w:t>základním zajištěním předmětu smlouvy o dílo se systémem, nebude dodavatel požadovat</w:t>
      </w:r>
      <w:r>
        <w:t xml:space="preserve"> finanční úhradu za tyto práce a čerpat se bude z úhrady za údržbu systému jako celku. Pakliže bude nesporné, že nedodržení termínů lokalizace nahlášených problémů, viz příloha č,1 Smlouva o údržbě, kapitola IX, bude objektivně a prokazatelně výhradně na s</w:t>
      </w:r>
      <w:r>
        <w:t xml:space="preserve">traně zhotovitele, bude objednatel povinen zaplatit objednateli smluvní pokutu ve </w:t>
      </w:r>
      <w:proofErr w:type="gramStart"/>
      <w:r>
        <w:t>výši</w:t>
      </w:r>
      <w:r>
        <w:t>,-</w:t>
      </w:r>
      <w:proofErr w:type="gramEnd"/>
      <w:r>
        <w:t xml:space="preserve"> Kč za každý i započatý den prodlení.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281"/>
        </w:tabs>
        <w:spacing w:after="100"/>
        <w:ind w:left="300" w:hanging="300"/>
      </w:pPr>
      <w:r>
        <w:t>Primární kontaktní osoba pro realizaci přechodu ze systému Byznys VR na Byznys B6 bude</w:t>
      </w:r>
      <w:r>
        <w:rPr>
          <w:lang w:val="en-US" w:eastAsia="en-US" w:bidi="en-US"/>
        </w:rPr>
        <w:t>.</w:t>
      </w:r>
    </w:p>
    <w:p w:rsidR="000827F4" w:rsidRDefault="00780989">
      <w:pPr>
        <w:pStyle w:val="Zkladntext"/>
        <w:numPr>
          <w:ilvl w:val="0"/>
          <w:numId w:val="4"/>
        </w:numPr>
        <w:shd w:val="clear" w:color="auto" w:fill="auto"/>
        <w:tabs>
          <w:tab w:val="left" w:pos="281"/>
        </w:tabs>
        <w:spacing w:after="100"/>
        <w:ind w:left="300" w:hanging="300"/>
      </w:pPr>
      <w:r>
        <w:t>Analýza nasazení, kterou dodavatel vypracuje jako výstupní zprávu stejnojmenného procesu, se po schválení objednatelem stane nedílnou součástí této smlouvy. Nastane-li situace, že některé důležité údaje, ja</w:t>
      </w:r>
      <w:r>
        <w:t>ko kupř. rozsah konfigurace, cena uživatelské licence, cenové podmínky implementační etapy, časové posloupnosti, termíny plnění apod. ve smlouvě a v tomto dokumentu budou rozdílné, pak údaje uvedené v dokumentu Analýza mají přednost a po oboustranném schvá</w:t>
      </w:r>
      <w:r>
        <w:t>lení jsou právně závazné. Dodavatel garantuje převod všech uživatelských úprav, ze systému Byznys VR do systému Byznys B6, jejichž je autorem, a které jsou ke dni přechodu ve verzi VR obsaženy.</w:t>
      </w:r>
    </w:p>
    <w:p w:rsidR="000827F4" w:rsidRDefault="00780989">
      <w:pPr>
        <w:pStyle w:val="Zkladntext"/>
        <w:shd w:val="clear" w:color="auto" w:fill="auto"/>
        <w:spacing w:after="120"/>
        <w:ind w:left="300" w:hanging="300"/>
      </w:pPr>
      <w:r>
        <w:t xml:space="preserve">10.Obě strany se zavázaly řešit veškeré sporné body vzájemnou </w:t>
      </w:r>
      <w:r>
        <w:t>dohodou a jednáním.</w:t>
      </w:r>
    </w:p>
    <w:p w:rsidR="000827F4" w:rsidRDefault="00780989">
      <w:pPr>
        <w:pStyle w:val="Zkladntext"/>
        <w:shd w:val="clear" w:color="auto" w:fill="auto"/>
        <w:spacing w:after="120"/>
        <w:ind w:left="300" w:hanging="300"/>
      </w:pPr>
      <w:proofErr w:type="gramStart"/>
      <w:r>
        <w:t>11 .Tato</w:t>
      </w:r>
      <w:proofErr w:type="gramEnd"/>
      <w:r>
        <w:t xml:space="preserve"> smlouva o dílo je uzavřena dle nového občanského zákoníku č. 89/2012 Sb. v platném znění a závazkové vztahy založené touto smlouvou, které v ní nejsou výslovně upraveny nebo jsou v rozporu s kogentními ustanoveními občanského z</w:t>
      </w:r>
      <w:r>
        <w:t>ákoníku se řídí příslušnými ustanoveními občanského zákoníku, Autorským zákonem a dalšími obecně závaznými právními předpisy</w:t>
      </w:r>
    </w:p>
    <w:p w:rsidR="000827F4" w:rsidRDefault="00780989">
      <w:pPr>
        <w:pStyle w:val="Zkladntext"/>
        <w:shd w:val="clear" w:color="auto" w:fill="auto"/>
        <w:spacing w:after="100"/>
        <w:ind w:left="300" w:hanging="300"/>
      </w:pPr>
      <w:r>
        <w:t xml:space="preserve">12.Současně uvedeným převodem licence z Byznys VR na Byznys B6 dle vzájemné dohody smluvních stran ke dni předání verze B6 do </w:t>
      </w:r>
      <w:r>
        <w:t>rutinního provozu zaniká smlouva o údržbě na údržbu systému Byznys VR.</w:t>
      </w:r>
    </w:p>
    <w:p w:rsidR="000827F4" w:rsidRDefault="00780989">
      <w:pPr>
        <w:pStyle w:val="Zkladntext"/>
        <w:shd w:val="clear" w:color="auto" w:fill="auto"/>
        <w:spacing w:after="1540"/>
        <w:ind w:left="300" w:hanging="30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1587500</wp:posOffset>
                </wp:positionV>
                <wp:extent cx="1774190" cy="2012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7F4" w:rsidRDefault="00780989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Příloha č.1 - Smlouva o údržbě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81.35pt;margin-top:125pt;width:139.7pt;height:15.8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" filled="f" stroked="f">
                <v:textbox style="mso-fit-shape-to-text:t" inset="0,0,0,0">
                  <w:txbxContent>
                    <w:p w:rsidR="000827F4" w:rsidRDefault="00780989">
                      <w:pPr>
                        <w:pStyle w:val="Picturecaption0"/>
                        <w:shd w:val="clear" w:color="auto" w:fill="auto"/>
                      </w:pPr>
                      <w:r>
                        <w:t>Příloha č.1 - Smlouva o údržbě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2977515</wp:posOffset>
                </wp:positionV>
                <wp:extent cx="2060575" cy="18605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7F4" w:rsidRDefault="00780989">
                            <w:pPr>
                              <w:pStyle w:val="Picturecaption0"/>
                              <w:shd w:val="clear" w:color="auto" w:fill="auto"/>
                            </w:pPr>
                            <w:proofErr w:type="gramStart"/>
                            <w:r>
                              <w:t>uživatel - jméno</w:t>
                            </w:r>
                            <w:proofErr w:type="gramEnd"/>
                            <w:r>
                              <w:t xml:space="preserve">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110.6pt;margin-top:234.45pt;width:162.25pt;height:14.6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" filled="f" stroked="f">
                <v:textbox style="mso-fit-shape-to-text:t" inset="0,0,0,0">
                  <w:txbxContent>
                    <w:p w:rsidR="000827F4" w:rsidRDefault="00780989">
                      <w:pPr>
                        <w:pStyle w:val="Picturecaption0"/>
                        <w:shd w:val="clear" w:color="auto" w:fill="auto"/>
                      </w:pPr>
                      <w:proofErr w:type="gramStart"/>
                      <w:r>
                        <w:t>uživatel - jméno</w:t>
                      </w:r>
                      <w:proofErr w:type="gramEnd"/>
                      <w:r>
                        <w:t xml:space="preserve"> a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3239770</wp:posOffset>
                </wp:positionV>
                <wp:extent cx="2060575" cy="49403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7F4" w:rsidRDefault="00780989">
                            <w:pPr>
                              <w:pStyle w:val="Picturecaption0"/>
                              <w:shd w:val="clear" w:color="auto" w:fill="auto"/>
                              <w:jc w:val="righ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C98C6"/>
                              </w:rPr>
                              <w:t>Vyifcuittný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C98C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C98C6"/>
                              </w:rPr>
                              <w:t>úsfwV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C98C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5C98C6"/>
                                <w:sz w:val="19"/>
                                <w:szCs w:val="19"/>
                              </w:rPr>
                              <w:t>íivočišné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5C98C6"/>
                                <w:sz w:val="19"/>
                                <w:szCs w:val="19"/>
                              </w:rPr>
                              <w:t xml:space="preserve"> výroby,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C98C6"/>
                              </w:rPr>
                              <w:t>v.v.l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5C98C6"/>
                              </w:rPr>
                              <w:t>.</w:t>
                            </w:r>
                          </w:p>
                          <w:p w:rsidR="000827F4" w:rsidRDefault="00780989">
                            <w:pPr>
                              <w:pStyle w:val="Picturecaption0"/>
                              <w:shd w:val="clear" w:color="auto" w:fill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C98C6"/>
                                <w:sz w:val="16"/>
                                <w:szCs w:val="16"/>
                              </w:rPr>
                              <w:t>Přátelství 815</w:t>
                            </w:r>
                          </w:p>
                          <w:p w:rsidR="000827F4" w:rsidRDefault="00780989">
                            <w:pPr>
                              <w:pStyle w:val="Picturecaption0"/>
                              <w:shd w:val="clear" w:color="auto" w:fill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C98C6"/>
                                <w:sz w:val="17"/>
                                <w:szCs w:val="17"/>
                              </w:rPr>
                              <w:t xml:space="preserve">104 OO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5C98C6"/>
                                <w:sz w:val="17"/>
                                <w:szCs w:val="17"/>
                              </w:rPr>
                              <w:t>Praha - Uhříněves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5C98C6"/>
                                <w:sz w:val="17"/>
                                <w:szCs w:val="17"/>
                              </w:rPr>
                              <w:t xml:space="preserve"> (3)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110.6pt;margin-top:255.1pt;width:162.25pt;height:38.9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" filled="f" stroked="f">
                <v:textbox style="mso-fit-shape-to-text:t" inset="0,0,0,0">
                  <w:txbxContent>
                    <w:p w:rsidR="000827F4" w:rsidRDefault="00780989">
                      <w:pPr>
                        <w:pStyle w:val="Picturecaption0"/>
                        <w:shd w:val="clear" w:color="auto" w:fill="auto"/>
                        <w:jc w:val="righ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5C98C6"/>
                        </w:rPr>
                        <w:t>Vyifcuittný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5C98C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5C98C6"/>
                        </w:rPr>
                        <w:t>úsfwV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5C98C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5C98C6"/>
                          <w:sz w:val="19"/>
                          <w:szCs w:val="19"/>
                        </w:rPr>
                        <w:t>íivočišné</w:t>
                      </w:r>
                      <w:proofErr w:type="spellEnd"/>
                      <w:r>
                        <w:rPr>
                          <w:b/>
                          <w:bCs/>
                          <w:color w:val="5C98C6"/>
                          <w:sz w:val="19"/>
                          <w:szCs w:val="19"/>
                        </w:rPr>
                        <w:t xml:space="preserve"> výroby,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5C98C6"/>
                        </w:rPr>
                        <w:t>v.v.l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5C98C6"/>
                        </w:rPr>
                        <w:t>.</w:t>
                      </w:r>
                    </w:p>
                    <w:p w:rsidR="000827F4" w:rsidRDefault="00780989">
                      <w:pPr>
                        <w:pStyle w:val="Picturecaption0"/>
                        <w:shd w:val="clear" w:color="auto" w:fill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5C98C6"/>
                          <w:sz w:val="16"/>
                          <w:szCs w:val="16"/>
                        </w:rPr>
                        <w:t>Přátelství 815</w:t>
                      </w:r>
                    </w:p>
                    <w:p w:rsidR="000827F4" w:rsidRDefault="00780989">
                      <w:pPr>
                        <w:pStyle w:val="Picturecaption0"/>
                        <w:shd w:val="clear" w:color="auto" w:fill="auto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color w:val="5C98C6"/>
                          <w:sz w:val="17"/>
                          <w:szCs w:val="17"/>
                        </w:rPr>
                        <w:t xml:space="preserve">104 OO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5C98C6"/>
                          <w:sz w:val="17"/>
                          <w:szCs w:val="17"/>
                        </w:rPr>
                        <w:t>Praha - Uhříněves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5C98C6"/>
                          <w:sz w:val="17"/>
                          <w:szCs w:val="17"/>
                        </w:rPr>
                        <w:t xml:space="preserve"> (3)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13.Dodavatel tímto potvrzuje </w:t>
      </w:r>
      <w:r>
        <w:t>seznámení se se skutečností, že pokud je hodnota plněni objednávky vzniklé přijetím objednávky vyšší než 50.000 Kč bez DPH, podléhá tato objednávka povinnosti uveřejněni v registru smluv podle zákona č. 340/2015 Sb., o registru smluv. Na základě dohody sml</w:t>
      </w:r>
      <w:r>
        <w:t xml:space="preserve">uvních stran odběratel zajistí v zákonem stanovené lhůtě povinnost uveřejnění akceptované objednávky v registru smluv, přičemž tato objednávka nabude účinnosti nejdříve dnem jejího uveřejněni. Pro tento případ dodavatel výslovně prohlašuje, že skutečnosti </w:t>
      </w:r>
      <w:r>
        <w:t>uváděné v této objednávce, stejně jako samotné její uzavřeni, nepovažuje za své obchodní tajemství</w:t>
      </w:r>
    </w:p>
    <w:p w:rsidR="00B6792E" w:rsidRDefault="00B6792E">
      <w:pPr>
        <w:pStyle w:val="Zkladntext"/>
        <w:shd w:val="clear" w:color="auto" w:fill="auto"/>
        <w:spacing w:before="180" w:after="0"/>
        <w:ind w:left="1840"/>
        <w:jc w:val="left"/>
      </w:pPr>
      <w:r>
        <w:t xml:space="preserve">                                                                                 </w:t>
      </w:r>
    </w:p>
    <w:p w:rsidR="00B6792E" w:rsidRDefault="00B6792E">
      <w:pPr>
        <w:pStyle w:val="Zkladntext"/>
        <w:shd w:val="clear" w:color="auto" w:fill="auto"/>
        <w:spacing w:before="180" w:after="0"/>
        <w:ind w:left="1840"/>
        <w:jc w:val="left"/>
      </w:pPr>
    </w:p>
    <w:p w:rsidR="00B6792E" w:rsidRDefault="00B6792E">
      <w:pPr>
        <w:pStyle w:val="Zkladntext"/>
        <w:shd w:val="clear" w:color="auto" w:fill="auto"/>
        <w:spacing w:before="180" w:after="0"/>
        <w:ind w:left="1840"/>
        <w:jc w:val="left"/>
      </w:pPr>
    </w:p>
    <w:p w:rsidR="000827F4" w:rsidRDefault="00B6792E">
      <w:pPr>
        <w:pStyle w:val="Zkladntext"/>
        <w:shd w:val="clear" w:color="auto" w:fill="auto"/>
        <w:spacing w:before="180" w:after="0"/>
        <w:ind w:left="1840"/>
        <w:jc w:val="left"/>
      </w:pPr>
      <w:r>
        <w:t xml:space="preserve">                                      </w:t>
      </w:r>
      <w:proofErr w:type="gramStart"/>
      <w:r w:rsidR="00780989">
        <w:t>dodavatel - jméno</w:t>
      </w:r>
      <w:proofErr w:type="gramEnd"/>
      <w:r w:rsidR="00780989">
        <w:t xml:space="preserve"> a podpis</w:t>
      </w:r>
    </w:p>
    <w:p w:rsidR="000827F4" w:rsidRDefault="00780989">
      <w:pPr>
        <w:pStyle w:val="Bodytext30"/>
        <w:shd w:val="clear" w:color="auto" w:fill="auto"/>
        <w:spacing w:after="100"/>
        <w:ind w:left="5380" w:firstLine="0"/>
      </w:pPr>
      <w:r>
        <w:br w:type="page"/>
      </w:r>
    </w:p>
    <w:p w:rsidR="000827F4" w:rsidRDefault="00780989">
      <w:pPr>
        <w:pStyle w:val="Zkladntext"/>
        <w:shd w:val="clear" w:color="auto" w:fill="auto"/>
      </w:pPr>
      <w:r>
        <w:lastRenderedPageBreak/>
        <w:t>Příloha č.1 -</w:t>
      </w:r>
      <w:r>
        <w:t xml:space="preserve"> Smlouva o údržbě</w:t>
      </w:r>
    </w:p>
    <w:p w:rsidR="000827F4" w:rsidRDefault="00780989">
      <w:pPr>
        <w:pStyle w:val="Heading20"/>
        <w:keepNext/>
        <w:keepLines/>
        <w:shd w:val="clear" w:color="auto" w:fill="auto"/>
        <w:spacing w:after="560" w:line="240" w:lineRule="auto"/>
        <w:ind w:left="0" w:right="100" w:firstLine="0"/>
      </w:pPr>
      <w:bookmarkStart w:id="8" w:name="bookmark9"/>
      <w:r>
        <w:t>Smlouva o údržbě systému Byznys B6</w:t>
      </w:r>
      <w:bookmarkEnd w:id="8"/>
    </w:p>
    <w:p w:rsidR="000827F4" w:rsidRDefault="00780989">
      <w:pPr>
        <w:pStyle w:val="Tablecaption0"/>
        <w:shd w:val="clear" w:color="auto" w:fill="auto"/>
        <w:spacing w:after="0"/>
        <w:ind w:left="120"/>
      </w:pPr>
      <w:r>
        <w:rPr>
          <w:b/>
          <w:bCs/>
        </w:rPr>
        <w:t>Uživatel: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6480"/>
      </w:tblGrid>
      <w:tr w:rsidR="000827F4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Název společnosti:</w:t>
            </w:r>
          </w:p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Sídlo: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r>
              <w:rPr>
                <w:b/>
                <w:bCs/>
              </w:rPr>
              <w:t>Výzkumný ústav živočišné výroby, v. v. i.</w:t>
            </w:r>
          </w:p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r>
              <w:t>Přátelství 815,104 00 Praha Uhříněves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Adresa pro písemný styk: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r>
              <w:t>Přátelství 815,104 00 Praha Uhříněves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zastoupená: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0827F4">
            <w:pPr>
              <w:pStyle w:val="Other0"/>
              <w:shd w:val="clear" w:color="auto" w:fill="auto"/>
              <w:spacing w:after="0"/>
              <w:ind w:left="140" w:firstLine="20"/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96" w:type="dxa"/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IČ: 00027014</w:t>
            </w:r>
          </w:p>
        </w:tc>
        <w:tc>
          <w:tcPr>
            <w:tcW w:w="6480" w:type="dxa"/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r>
              <w:t>DIČ: CZ00027014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right="800"/>
              <w:jc w:val="right"/>
            </w:pPr>
            <w:r>
              <w:t>Bankovní spojení: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2440"/>
              <w:jc w:val="left"/>
            </w:pPr>
            <w:r>
              <w:t>číslo účtu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976" w:type="dxa"/>
            <w:gridSpan w:val="2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6"/>
                <w:szCs w:val="26"/>
              </w:rPr>
            </w:pPr>
            <w:r>
              <w:t xml:space="preserve">registrováno v </w:t>
            </w:r>
            <w:proofErr w:type="spellStart"/>
            <w:r>
              <w:t>rejstříku.v.v.i</w:t>
            </w:r>
            <w:proofErr w:type="spellEnd"/>
            <w:r>
              <w:t xml:space="preserve">. vedeném MŠMT, </w:t>
            </w:r>
            <w:proofErr w:type="spellStart"/>
            <w:r>
              <w:rPr>
                <w:sz w:val="26"/>
                <w:szCs w:val="26"/>
              </w:rPr>
              <w:t>sp</w:t>
            </w:r>
            <w:proofErr w:type="spellEnd"/>
            <w:r>
              <w:rPr>
                <w:sz w:val="26"/>
                <w:szCs w:val="26"/>
              </w:rPr>
              <w:t>. zn. 17 023/2006-34/VÚŽV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8976" w:type="dxa"/>
            <w:gridSpan w:val="2"/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Jako objednatel na straně jedné (dále také jako „objednatel“)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2496" w:type="dxa"/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300"/>
              <w:ind w:right="800"/>
              <w:jc w:val="right"/>
            </w:pPr>
            <w:r>
              <w:t>a</w:t>
            </w:r>
          </w:p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6480" w:type="dxa"/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 xml:space="preserve">Název </w:t>
            </w:r>
            <w:r>
              <w:t>společnosti: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proofErr w:type="spellStart"/>
            <w:r>
              <w:rPr>
                <w:b/>
                <w:bCs/>
              </w:rPr>
              <w:t>Solitea</w:t>
            </w:r>
            <w:proofErr w:type="spellEnd"/>
            <w:r>
              <w:rPr>
                <w:b/>
                <w:bCs/>
              </w:rPr>
              <w:t>, a.s.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Sídlo: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r>
              <w:t xml:space="preserve">Drobného 555/49, </w:t>
            </w:r>
            <w:proofErr w:type="spellStart"/>
            <w:r>
              <w:t>Ponava</w:t>
            </w:r>
            <w:proofErr w:type="spellEnd"/>
            <w:r>
              <w:t>, 602 00 Brno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Adresa pro písemný styk: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r>
              <w:t>Žižkova 708,261 01 Příbram II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zastoupená: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0827F4">
            <w:pPr>
              <w:pStyle w:val="Other0"/>
              <w:shd w:val="clear" w:color="auto" w:fill="auto"/>
              <w:spacing w:after="0"/>
              <w:ind w:left="140" w:firstLine="20"/>
              <w:rPr>
                <w:sz w:val="26"/>
                <w:szCs w:val="26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496" w:type="dxa"/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</w:pPr>
            <w:r>
              <w:t>IČ: 01572377</w:t>
            </w:r>
          </w:p>
        </w:tc>
        <w:tc>
          <w:tcPr>
            <w:tcW w:w="6480" w:type="dxa"/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ind w:left="140" w:firstLine="20"/>
            </w:pPr>
            <w:r>
              <w:t>DIČ: CZ01572377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496" w:type="dxa"/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ind w:right="800"/>
              <w:jc w:val="right"/>
            </w:pPr>
            <w:r>
              <w:t>Bankovní spojení: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0827F4" w:rsidRDefault="000827F4">
            <w:pPr>
              <w:pStyle w:val="Other0"/>
              <w:shd w:val="clear" w:color="auto" w:fill="auto"/>
              <w:tabs>
                <w:tab w:val="left" w:pos="2426"/>
                <w:tab w:val="left" w:pos="3923"/>
              </w:tabs>
              <w:spacing w:after="0"/>
              <w:ind w:left="140" w:firstLine="20"/>
            </w:pPr>
          </w:p>
        </w:tc>
      </w:tr>
    </w:tbl>
    <w:p w:rsidR="000827F4" w:rsidRDefault="00780989">
      <w:pPr>
        <w:pStyle w:val="Tablecaption0"/>
        <w:shd w:val="clear" w:color="auto" w:fill="auto"/>
        <w:spacing w:after="60"/>
        <w:ind w:left="106"/>
      </w:pPr>
      <w:r>
        <w:t>Zapsaná v obchodním rejstříku vedeném: KS v Brně oddíl B vložka 7072</w:t>
      </w:r>
    </w:p>
    <w:p w:rsidR="000827F4" w:rsidRDefault="00780989">
      <w:pPr>
        <w:pStyle w:val="Tablecaption0"/>
        <w:shd w:val="clear" w:color="auto" w:fill="auto"/>
        <w:spacing w:after="0"/>
        <w:ind w:left="106"/>
      </w:pPr>
      <w:r>
        <w:t>Jako zhotovitel na straně druhé (dále také jako „zhotovitel“)</w:t>
      </w:r>
    </w:p>
    <w:p w:rsidR="000827F4" w:rsidRDefault="000827F4">
      <w:pPr>
        <w:spacing w:after="346" w:line="14" w:lineRule="exact"/>
      </w:pPr>
    </w:p>
    <w:p w:rsidR="000827F4" w:rsidRDefault="00780989">
      <w:pPr>
        <w:pStyle w:val="Zkladntext"/>
        <w:shd w:val="clear" w:color="auto" w:fill="auto"/>
        <w:spacing w:after="220"/>
        <w:ind w:right="700"/>
        <w:jc w:val="left"/>
      </w:pPr>
      <w:r>
        <w:t xml:space="preserve">uzavírají mezi sebou tuto Smlouvu o údržbě systému Byznys B6 (dále jen systém) a </w:t>
      </w:r>
      <w:r>
        <w:t>uživatelské podpoře.</w:t>
      </w:r>
    </w:p>
    <w:p w:rsidR="000827F4" w:rsidRDefault="00780989">
      <w:pPr>
        <w:pStyle w:val="Heading40"/>
        <w:keepNext/>
        <w:keepLines/>
        <w:shd w:val="clear" w:color="auto" w:fill="auto"/>
        <w:spacing w:after="560"/>
        <w:ind w:left="3860"/>
      </w:pPr>
      <w:bookmarkStart w:id="9" w:name="bookmark10"/>
      <w:r>
        <w:t>I. Předmět smlouvy</w:t>
      </w:r>
      <w:bookmarkEnd w:id="9"/>
    </w:p>
    <w:p w:rsidR="000827F4" w:rsidRDefault="00780989">
      <w:pPr>
        <w:pStyle w:val="Zkladntext"/>
        <w:shd w:val="clear" w:color="auto" w:fill="auto"/>
        <w:spacing w:after="280"/>
      </w:pPr>
      <w:r>
        <w:t>Předmětem této smlouvy je zabezpečení dostupnosti aktuální kompilace systému Byznys B6 pro uživatele a poskytování následujících uživatelských výhod: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20"/>
        </w:tabs>
        <w:spacing w:after="0"/>
        <w:ind w:left="840" w:hanging="360"/>
        <w:jc w:val="left"/>
      </w:pPr>
      <w:r>
        <w:t>sleva 20 procent na veškeré konzultační a analytické služby z cení</w:t>
      </w:r>
      <w:r>
        <w:t>kových cen, dle aktuálního platného ceníku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20"/>
        </w:tabs>
        <w:spacing w:after="0"/>
        <w:ind w:left="840" w:hanging="360"/>
        <w:jc w:val="left"/>
      </w:pPr>
      <w:r>
        <w:t xml:space="preserve">telefonní podpora </w:t>
      </w:r>
      <w:proofErr w:type="spellStart"/>
      <w:r>
        <w:t>HotLine</w:t>
      </w:r>
      <w:proofErr w:type="spellEnd"/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20"/>
        </w:tabs>
        <w:spacing w:after="0"/>
        <w:ind w:left="840" w:hanging="360"/>
        <w:jc w:val="left"/>
      </w:pPr>
      <w:r>
        <w:t xml:space="preserve">emailová podpora </w:t>
      </w:r>
      <w:proofErr w:type="spellStart"/>
      <w:r>
        <w:t>HotLine</w:t>
      </w:r>
      <w:proofErr w:type="spellEnd"/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20"/>
        </w:tabs>
        <w:spacing w:after="0"/>
        <w:ind w:left="840" w:hanging="360"/>
        <w:jc w:val="left"/>
      </w:pPr>
      <w:r>
        <w:t>jednání o možnosti realizace vzdáleného přístupu dodavatel-uživatel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20"/>
        </w:tabs>
        <w:spacing w:after="0"/>
        <w:ind w:left="840" w:hanging="360"/>
        <w:jc w:val="left"/>
      </w:pPr>
      <w:r>
        <w:t>možnost uzavření pravidelného dohledu nad rutinním provozem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20"/>
        </w:tabs>
        <w:spacing w:after="0"/>
        <w:ind w:left="840" w:hanging="360"/>
        <w:jc w:val="left"/>
      </w:pPr>
      <w:r>
        <w:t>realizace programátorských prací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20"/>
        </w:tabs>
        <w:spacing w:after="120"/>
        <w:ind w:left="840" w:hanging="360"/>
        <w:jc w:val="left"/>
      </w:pPr>
      <w:r>
        <w:t>p</w:t>
      </w:r>
      <w:r>
        <w:t>odpora individuálně vytvořených uživatelských úprav</w:t>
      </w:r>
      <w:r>
        <w:br w:type="page"/>
      </w:r>
    </w:p>
    <w:p w:rsidR="000827F4" w:rsidRDefault="00780989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4023"/>
        </w:tabs>
        <w:spacing w:after="0"/>
        <w:ind w:left="3660"/>
      </w:pPr>
      <w:r>
        <w:rPr>
          <w:noProof/>
        </w:rPr>
        <w:lastRenderedPageBreak/>
        <mc:AlternateContent>
          <mc:Choice Requires="wps">
            <w:drawing>
              <wp:anchor distT="76200" distB="0" distL="114300" distR="114300" simplePos="0" relativeHeight="125829388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342900</wp:posOffset>
                </wp:positionV>
                <wp:extent cx="609600" cy="2070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27F4" w:rsidRDefault="00780989">
                            <w:pPr>
                              <w:pStyle w:val="Zkladntext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Byznys B6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83.05pt;margin-top:27pt;width:48pt;height:16.3pt;z-index:125829388;visibility:visible;mso-wrap-style:square;mso-wrap-distance-left:9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" filled="f" stroked="f">
                <v:textbox style="mso-fit-shape-to-text:t" inset="0,0,0,0">
                  <w:txbxContent>
                    <w:p w:rsidR="000827F4" w:rsidRDefault="00780989">
                      <w:pPr>
                        <w:pStyle w:val="Zkladntext"/>
                        <w:shd w:val="clear" w:color="auto" w:fill="auto"/>
                        <w:spacing w:after="0"/>
                        <w:jc w:val="left"/>
                      </w:pPr>
                      <w:r>
                        <w:t>Byznys B6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0" w:name="bookmark11"/>
      <w:r>
        <w:t>Konfigurace systému</w:t>
      </w:r>
      <w:bookmarkEnd w:id="10"/>
    </w:p>
    <w:p w:rsidR="000827F4" w:rsidRDefault="00780989">
      <w:pPr>
        <w:pStyle w:val="Zkladntext"/>
        <w:shd w:val="clear" w:color="auto" w:fill="auto"/>
        <w:tabs>
          <w:tab w:val="left" w:pos="3651"/>
        </w:tabs>
        <w:spacing w:after="260"/>
        <w:ind w:left="1520"/>
      </w:pPr>
      <w:r>
        <w:t>LAN</w:t>
      </w:r>
      <w:r>
        <w:tab/>
        <w:t>MONOVERZE</w:t>
      </w:r>
    </w:p>
    <w:p w:rsidR="000827F4" w:rsidRDefault="00780989">
      <w:pPr>
        <w:pStyle w:val="Zkladntext"/>
        <w:shd w:val="clear" w:color="auto" w:fill="auto"/>
        <w:tabs>
          <w:tab w:val="left" w:pos="4733"/>
        </w:tabs>
        <w:spacing w:after="0"/>
      </w:pPr>
      <w:r>
        <w:rPr>
          <w:i/>
          <w:iCs/>
        </w:rPr>
        <w:t>Modul</w:t>
      </w:r>
      <w:r>
        <w:rPr>
          <w:i/>
          <w:iCs/>
        </w:rPr>
        <w:tab/>
        <w:t>počet přístupů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1733"/>
        <w:gridCol w:w="2184"/>
      </w:tblGrid>
      <w:tr w:rsidR="000827F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jádro systému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220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Finanční účetnictví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Fakturace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majetku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Bankovní operace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Pokladna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Mzdy a </w:t>
            </w:r>
            <w:r>
              <w:rPr>
                <w:sz w:val="20"/>
                <w:szCs w:val="20"/>
              </w:rPr>
              <w:t>personalistika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300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počet zaměstnanců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Skladové hospodářství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220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Manažer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Doprava - referentská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Doprava - dispečink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170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dle automobilů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Doprava - Mapy</w:t>
            </w:r>
            <w:proofErr w:type="gramEnd"/>
            <w:r>
              <w:rPr>
                <w:sz w:val="20"/>
                <w:szCs w:val="20"/>
              </w:rPr>
              <w:t xml:space="preserve"> ČR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Doprava - Mapy</w:t>
            </w:r>
            <w:proofErr w:type="gramEnd"/>
            <w:r>
              <w:rPr>
                <w:sz w:val="20"/>
                <w:szCs w:val="20"/>
              </w:rPr>
              <w:t xml:space="preserve"> Evropa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Doprava - Spedice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dle uživatelů</w:t>
            </w: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Excellent</w:t>
            </w:r>
            <w:r>
              <w:rPr>
                <w:sz w:val="20"/>
                <w:szCs w:val="20"/>
              </w:rPr>
              <w:t>-finanční analýza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Excellent </w:t>
            </w:r>
            <w:r>
              <w:rPr>
                <w:sz w:val="20"/>
                <w:szCs w:val="20"/>
              </w:rPr>
              <w:t>- středisková analýza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Excellent </w:t>
            </w:r>
            <w:r>
              <w:rPr>
                <w:sz w:val="20"/>
                <w:szCs w:val="20"/>
              </w:rPr>
              <w:t>- generátor sestav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Excellent </w:t>
            </w:r>
            <w:r>
              <w:rPr>
                <w:sz w:val="20"/>
                <w:szCs w:val="20"/>
              </w:rPr>
              <w:t>- statistické výkazy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CRM-EŘOP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Byznys </w:t>
            </w:r>
            <w:proofErr w:type="spellStart"/>
            <w:proofErr w:type="gramStart"/>
            <w:r>
              <w:rPr>
                <w:sz w:val="20"/>
                <w:szCs w:val="20"/>
              </w:rPr>
              <w:t>Bl</w:t>
            </w:r>
            <w:proofErr w:type="spellEnd"/>
            <w:r>
              <w:rPr>
                <w:sz w:val="20"/>
                <w:szCs w:val="20"/>
              </w:rPr>
              <w:t xml:space="preserve"> - aktualizace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Byznys </w:t>
            </w:r>
            <w:proofErr w:type="spellStart"/>
            <w:proofErr w:type="gramStart"/>
            <w:r>
              <w:rPr>
                <w:sz w:val="20"/>
                <w:szCs w:val="20"/>
              </w:rPr>
              <w:t>Bl</w:t>
            </w:r>
            <w:proofErr w:type="spellEnd"/>
            <w:r>
              <w:rPr>
                <w:sz w:val="20"/>
                <w:szCs w:val="20"/>
              </w:rPr>
              <w:t xml:space="preserve"> - prohlížení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Workflow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Projektové </w:t>
            </w:r>
            <w:r>
              <w:rPr>
                <w:sz w:val="20"/>
                <w:szCs w:val="20"/>
              </w:rPr>
              <w:t>řízení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Byznys </w:t>
            </w:r>
            <w:proofErr w:type="gramStart"/>
            <w:r>
              <w:rPr>
                <w:sz w:val="20"/>
                <w:szCs w:val="20"/>
              </w:rPr>
              <w:t>mobile - manažer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Byznys </w:t>
            </w:r>
            <w:proofErr w:type="gramStart"/>
            <w:r>
              <w:rPr>
                <w:sz w:val="20"/>
                <w:szCs w:val="20"/>
              </w:rPr>
              <w:t>mobile - obchodník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Byznys </w:t>
            </w:r>
            <w:proofErr w:type="gramStart"/>
            <w:r>
              <w:rPr>
                <w:sz w:val="20"/>
                <w:szCs w:val="20"/>
              </w:rPr>
              <w:t xml:space="preserve">mobile - </w:t>
            </w:r>
            <w:r>
              <w:rPr>
                <w:sz w:val="20"/>
                <w:szCs w:val="20"/>
                <w:lang w:val="en-US" w:eastAsia="en-US" w:bidi="en-US"/>
              </w:rPr>
              <w:t>personal</w:t>
            </w:r>
            <w:proofErr w:type="gram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</w:t>
            </w:r>
            <w:proofErr w:type="spellStart"/>
            <w:r>
              <w:rPr>
                <w:sz w:val="20"/>
                <w:szCs w:val="20"/>
              </w:rPr>
              <w:t>sms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Byznys </w:t>
            </w:r>
            <w:r>
              <w:rPr>
                <w:sz w:val="20"/>
                <w:szCs w:val="20"/>
                <w:lang w:val="en-US" w:eastAsia="en-US" w:bidi="en-US"/>
              </w:rPr>
              <w:t>online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Ano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Byznys mobile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Zakázková výroba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eNeschopenka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Ano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Výkazy činnosti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</w:tbl>
    <w:p w:rsidR="000827F4" w:rsidRDefault="000827F4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2"/>
        <w:gridCol w:w="1733"/>
        <w:gridCol w:w="2160"/>
      </w:tblGrid>
      <w:tr w:rsidR="000827F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Centrum sdílení dokumentů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BSync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  <w:tr w:rsidR="000827F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7F4" w:rsidRDefault="00780989">
            <w:pPr>
              <w:pStyle w:val="Other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BOffice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27F4" w:rsidRDefault="00780989">
            <w:pPr>
              <w:pStyle w:val="Other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7F4" w:rsidRDefault="000827F4">
            <w:pPr>
              <w:rPr>
                <w:sz w:val="10"/>
                <w:szCs w:val="10"/>
              </w:rPr>
            </w:pPr>
          </w:p>
        </w:tc>
      </w:tr>
    </w:tbl>
    <w:p w:rsidR="000827F4" w:rsidRDefault="000827F4">
      <w:pPr>
        <w:spacing w:after="766" w:line="14" w:lineRule="exact"/>
      </w:pPr>
    </w:p>
    <w:p w:rsidR="000827F4" w:rsidRDefault="00780989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637"/>
        </w:tabs>
        <w:spacing w:line="252" w:lineRule="auto"/>
        <w:ind w:left="3240"/>
      </w:pPr>
      <w:bookmarkStart w:id="11" w:name="bookmark12"/>
      <w:r>
        <w:lastRenderedPageBreak/>
        <w:t>Platnost a ukončení smlouvy</w:t>
      </w:r>
      <w:bookmarkEnd w:id="11"/>
    </w:p>
    <w:p w:rsidR="000827F4" w:rsidRDefault="00780989">
      <w:pPr>
        <w:pStyle w:val="Zkladntext"/>
        <w:shd w:val="clear" w:color="auto" w:fill="auto"/>
        <w:spacing w:line="252" w:lineRule="auto"/>
        <w:ind w:left="3660" w:hanging="3660"/>
        <w:jc w:val="left"/>
      </w:pPr>
      <w:r>
        <w:t>Tato Smlouvaje uzavírána na systém od 4.1.2021 dobu neurčitou.</w:t>
      </w:r>
    </w:p>
    <w:p w:rsidR="000827F4" w:rsidRDefault="00780989">
      <w:pPr>
        <w:pStyle w:val="Zkladntext"/>
        <w:shd w:val="clear" w:color="auto" w:fill="auto"/>
        <w:spacing w:line="252" w:lineRule="auto"/>
        <w:ind w:left="3660" w:hanging="3660"/>
        <w:jc w:val="left"/>
      </w:pPr>
      <w:r>
        <w:t>Modul Doprava přistupuje k této smlouvě ke dni 1.1.2021</w:t>
      </w:r>
    </w:p>
    <w:p w:rsidR="000827F4" w:rsidRDefault="00780989">
      <w:pPr>
        <w:pStyle w:val="Zkladntext"/>
        <w:shd w:val="clear" w:color="auto" w:fill="auto"/>
        <w:spacing w:line="252" w:lineRule="auto"/>
        <w:ind w:left="3660" w:hanging="3660"/>
        <w:jc w:val="left"/>
      </w:pPr>
      <w:r>
        <w:t xml:space="preserve">Modul </w:t>
      </w:r>
      <w:r>
        <w:rPr>
          <w:lang w:val="en-US" w:eastAsia="en-US" w:bidi="en-US"/>
        </w:rPr>
        <w:t xml:space="preserve">Excellent </w:t>
      </w:r>
      <w:r>
        <w:t>přistupuje k této smlouvě ke dni 1.1.2021</w:t>
      </w:r>
    </w:p>
    <w:p w:rsidR="000827F4" w:rsidRDefault="00780989">
      <w:pPr>
        <w:pStyle w:val="Zkladntext"/>
        <w:shd w:val="clear" w:color="auto" w:fill="auto"/>
        <w:spacing w:line="252" w:lineRule="auto"/>
        <w:ind w:left="3660" w:hanging="3660"/>
        <w:jc w:val="left"/>
      </w:pPr>
      <w:r>
        <w:t xml:space="preserve">Modul </w:t>
      </w:r>
      <w:proofErr w:type="spellStart"/>
      <w:r>
        <w:t>Bonline</w:t>
      </w:r>
      <w:proofErr w:type="spellEnd"/>
      <w:r>
        <w:t xml:space="preserve"> přistupuje k této </w:t>
      </w:r>
      <w:r>
        <w:t>smlouvě ke dni 1.1.2021</w:t>
      </w:r>
    </w:p>
    <w:p w:rsidR="000827F4" w:rsidRDefault="00780989">
      <w:pPr>
        <w:pStyle w:val="Zkladntext"/>
        <w:shd w:val="clear" w:color="auto" w:fill="auto"/>
        <w:spacing w:line="252" w:lineRule="auto"/>
        <w:ind w:left="3660" w:hanging="3660"/>
        <w:jc w:val="left"/>
      </w:pPr>
      <w:r>
        <w:t>Uživatelské úpravy přistupují k této smlouvě ke dni 1.1.2021</w:t>
      </w:r>
    </w:p>
    <w:p w:rsidR="000827F4" w:rsidRDefault="00780989">
      <w:pPr>
        <w:pStyle w:val="Zkladntext"/>
        <w:shd w:val="clear" w:color="auto" w:fill="auto"/>
        <w:spacing w:after="0" w:line="252" w:lineRule="auto"/>
        <w:ind w:left="3660" w:hanging="3660"/>
        <w:jc w:val="left"/>
      </w:pPr>
      <w:r>
        <w:t>Tato Smlouva může být ukončena:</w:t>
      </w:r>
    </w:p>
    <w:p w:rsidR="000827F4" w:rsidRDefault="00780989">
      <w:pPr>
        <w:pStyle w:val="Zkladntext"/>
        <w:numPr>
          <w:ilvl w:val="0"/>
          <w:numId w:val="7"/>
        </w:numPr>
        <w:shd w:val="clear" w:color="auto" w:fill="auto"/>
        <w:tabs>
          <w:tab w:val="left" w:pos="675"/>
        </w:tabs>
        <w:spacing w:after="0" w:line="252" w:lineRule="auto"/>
        <w:ind w:left="320"/>
        <w:jc w:val="left"/>
      </w:pPr>
      <w:r>
        <w:t>písemnou dohodou obou smluvních stran</w:t>
      </w:r>
    </w:p>
    <w:p w:rsidR="000827F4" w:rsidRDefault="00780989">
      <w:pPr>
        <w:pStyle w:val="Zkladntext"/>
        <w:numPr>
          <w:ilvl w:val="0"/>
          <w:numId w:val="7"/>
        </w:numPr>
        <w:shd w:val="clear" w:color="auto" w:fill="auto"/>
        <w:tabs>
          <w:tab w:val="left" w:pos="675"/>
        </w:tabs>
        <w:spacing w:after="0" w:line="252" w:lineRule="auto"/>
        <w:ind w:left="320"/>
        <w:jc w:val="left"/>
      </w:pPr>
      <w:r>
        <w:t>písemnou výpovědí jedné ze smluvních stran</w:t>
      </w:r>
    </w:p>
    <w:p w:rsidR="000827F4" w:rsidRDefault="00780989">
      <w:pPr>
        <w:pStyle w:val="Zkladntext"/>
        <w:numPr>
          <w:ilvl w:val="0"/>
          <w:numId w:val="7"/>
        </w:numPr>
        <w:shd w:val="clear" w:color="auto" w:fill="auto"/>
        <w:tabs>
          <w:tab w:val="left" w:pos="675"/>
        </w:tabs>
        <w:spacing w:line="252" w:lineRule="auto"/>
        <w:ind w:left="320"/>
        <w:jc w:val="left"/>
      </w:pPr>
      <w:r>
        <w:t>odstoupením od smlouvy.</w:t>
      </w:r>
    </w:p>
    <w:p w:rsidR="000827F4" w:rsidRDefault="00780989">
      <w:pPr>
        <w:pStyle w:val="Zkladntext"/>
        <w:shd w:val="clear" w:color="auto" w:fill="auto"/>
        <w:spacing w:line="252" w:lineRule="auto"/>
        <w:jc w:val="left"/>
      </w:pPr>
      <w:r>
        <w:t xml:space="preserve">Výpovědní lhůta je šest měsíců a </w:t>
      </w:r>
      <w:r>
        <w:t>počíná běžet od prvního dne měsíce následujícího po doručení výpovědi druhé straně.</w:t>
      </w:r>
    </w:p>
    <w:p w:rsidR="000827F4" w:rsidRDefault="00780989">
      <w:pPr>
        <w:pStyle w:val="Zkladntext"/>
        <w:shd w:val="clear" w:color="auto" w:fill="auto"/>
        <w:spacing w:line="252" w:lineRule="auto"/>
        <w:ind w:left="3660" w:hanging="3660"/>
        <w:jc w:val="left"/>
      </w:pPr>
      <w:r>
        <w:t>Odstoupit od smlouvy lze jen písemně a z důvodu uvedených právním předpisem.</w:t>
      </w:r>
    </w:p>
    <w:p w:rsidR="000827F4" w:rsidRDefault="00780989">
      <w:pPr>
        <w:pStyle w:val="Zkladntext"/>
        <w:shd w:val="clear" w:color="auto" w:fill="auto"/>
        <w:spacing w:after="760" w:line="252" w:lineRule="auto"/>
        <w:jc w:val="left"/>
      </w:pPr>
      <w:r>
        <w:t xml:space="preserve">Jestliže jedna ze stran písemnost nepřevezme, je datem doručení 5. následující den po odeslání </w:t>
      </w:r>
      <w:r>
        <w:t>písemnosti.</w:t>
      </w:r>
    </w:p>
    <w:p w:rsidR="000827F4" w:rsidRDefault="00780989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221"/>
        </w:tabs>
        <w:spacing w:after="60" w:line="480" w:lineRule="auto"/>
        <w:ind w:left="2800"/>
      </w:pPr>
      <w:bookmarkStart w:id="12" w:name="bookmark13"/>
      <w:r>
        <w:t>Cenová kalkulace a platební podmínky</w:t>
      </w:r>
      <w:bookmarkEnd w:id="12"/>
    </w:p>
    <w:p w:rsidR="000827F4" w:rsidRDefault="00780989">
      <w:pPr>
        <w:pStyle w:val="Zkladntext"/>
        <w:shd w:val="clear" w:color="auto" w:fill="auto"/>
        <w:spacing w:after="0" w:line="480" w:lineRule="auto"/>
        <w:ind w:left="3660" w:hanging="3660"/>
        <w:jc w:val="left"/>
      </w:pPr>
      <w:r>
        <w:t>Roční cena smlouvy o údržbě je stanovena na částku</w:t>
      </w:r>
    </w:p>
    <w:p w:rsidR="000827F4" w:rsidRDefault="00780989">
      <w:pPr>
        <w:pStyle w:val="Heading40"/>
        <w:keepNext/>
        <w:keepLines/>
        <w:shd w:val="clear" w:color="auto" w:fill="auto"/>
        <w:spacing w:after="0" w:line="480" w:lineRule="auto"/>
        <w:ind w:left="0"/>
        <w:jc w:val="center"/>
      </w:pPr>
      <w:bookmarkStart w:id="13" w:name="bookmark14"/>
      <w:proofErr w:type="gramStart"/>
      <w:r>
        <w:t>,-</w:t>
      </w:r>
      <w:proofErr w:type="gramEnd"/>
      <w:r>
        <w:t xml:space="preserve"> (bez DPH)</w:t>
      </w:r>
      <w:bookmarkEnd w:id="13"/>
    </w:p>
    <w:p w:rsidR="000827F4" w:rsidRDefault="00780989">
      <w:pPr>
        <w:pStyle w:val="Zkladntext"/>
        <w:shd w:val="clear" w:color="auto" w:fill="auto"/>
        <w:jc w:val="left"/>
      </w:pPr>
      <w:r>
        <w:t xml:space="preserve">Roční cena smlouvy o údržbě systému (mimo moduly Doprava, Výroba, </w:t>
      </w:r>
      <w:r>
        <w:rPr>
          <w:lang w:val="en-US" w:eastAsia="en-US" w:bidi="en-US"/>
        </w:rPr>
        <w:t xml:space="preserve">Excellent, </w:t>
      </w:r>
      <w:r>
        <w:t xml:space="preserve">ÍBYZNYS, Uživatelské úpravy, </w:t>
      </w:r>
      <w:proofErr w:type="spellStart"/>
      <w:r>
        <w:t>Bmobile</w:t>
      </w:r>
      <w:proofErr w:type="spellEnd"/>
      <w:r>
        <w:t xml:space="preserve">, </w:t>
      </w:r>
      <w:proofErr w:type="spellStart"/>
      <w:r>
        <w:t>Bonline</w:t>
      </w:r>
      <w:proofErr w:type="spellEnd"/>
      <w:r>
        <w:t>) je stanovena</w:t>
      </w:r>
      <w:r>
        <w:t xml:space="preserve"> na částku</w:t>
      </w:r>
    </w:p>
    <w:p w:rsidR="000827F4" w:rsidRDefault="00780989">
      <w:pPr>
        <w:pStyle w:val="Zkladntext"/>
        <w:shd w:val="clear" w:color="auto" w:fill="auto"/>
        <w:spacing w:after="0" w:line="480" w:lineRule="auto"/>
        <w:jc w:val="center"/>
      </w:pPr>
      <w:proofErr w:type="gramStart"/>
      <w:r>
        <w:t>,-</w:t>
      </w:r>
      <w:proofErr w:type="gramEnd"/>
      <w:r>
        <w:t>(bez DPH)</w:t>
      </w:r>
    </w:p>
    <w:p w:rsidR="000827F4" w:rsidRDefault="00780989">
      <w:pPr>
        <w:pStyle w:val="Zkladntext"/>
        <w:shd w:val="clear" w:color="auto" w:fill="auto"/>
        <w:spacing w:after="0" w:line="480" w:lineRule="auto"/>
        <w:ind w:left="3660" w:hanging="3660"/>
        <w:jc w:val="left"/>
      </w:pPr>
      <w:r>
        <w:t xml:space="preserve">Roční cena smlouvy o údržbě modulu Doprava je stanovena na </w:t>
      </w:r>
      <w:proofErr w:type="gramStart"/>
      <w:r>
        <w:t>částku</w:t>
      </w:r>
      <w:r>
        <w:t>,-</w:t>
      </w:r>
      <w:proofErr w:type="gramEnd"/>
      <w:r>
        <w:t xml:space="preserve"> (bez DPH)</w:t>
      </w:r>
    </w:p>
    <w:p w:rsidR="000827F4" w:rsidRDefault="00780989">
      <w:pPr>
        <w:pStyle w:val="Zkladntext"/>
        <w:shd w:val="clear" w:color="auto" w:fill="auto"/>
        <w:ind w:left="3660" w:hanging="3660"/>
        <w:jc w:val="left"/>
      </w:pPr>
      <w:r>
        <w:t xml:space="preserve">Roční cena smlouvy o údržbě modulu </w:t>
      </w:r>
      <w:r>
        <w:rPr>
          <w:lang w:val="en-US" w:eastAsia="en-US" w:bidi="en-US"/>
        </w:rPr>
        <w:t xml:space="preserve">Excellent </w:t>
      </w:r>
      <w:r>
        <w:t>je stanovena na částku</w:t>
      </w:r>
    </w:p>
    <w:p w:rsidR="000827F4" w:rsidRDefault="00780989">
      <w:pPr>
        <w:pStyle w:val="Zkladntext"/>
        <w:shd w:val="clear" w:color="auto" w:fill="auto"/>
        <w:spacing w:after="260"/>
        <w:jc w:val="center"/>
      </w:pPr>
      <w:proofErr w:type="gramStart"/>
      <w:r>
        <w:t>,-</w:t>
      </w:r>
      <w:proofErr w:type="gramEnd"/>
      <w:r>
        <w:t xml:space="preserve"> (bez DPH)</w:t>
      </w:r>
    </w:p>
    <w:p w:rsidR="000827F4" w:rsidRDefault="00780989">
      <w:pPr>
        <w:pStyle w:val="Zkladntext"/>
        <w:shd w:val="clear" w:color="auto" w:fill="auto"/>
        <w:spacing w:after="0" w:line="442" w:lineRule="auto"/>
        <w:ind w:left="3780" w:right="2980" w:hanging="3780"/>
        <w:jc w:val="left"/>
      </w:pPr>
      <w:r>
        <w:t xml:space="preserve">Roční cena smlouvy o údržbě modulu </w:t>
      </w:r>
      <w:proofErr w:type="spellStart"/>
      <w:r>
        <w:t>Bonline</w:t>
      </w:r>
      <w:proofErr w:type="spellEnd"/>
      <w:r>
        <w:t xml:space="preserve"> je stanovena</w:t>
      </w:r>
      <w:r>
        <w:t xml:space="preserve"> na </w:t>
      </w:r>
      <w:proofErr w:type="gramStart"/>
      <w:r>
        <w:t>částku</w:t>
      </w:r>
      <w:r>
        <w:t>,-</w:t>
      </w:r>
      <w:proofErr w:type="gramEnd"/>
      <w:r>
        <w:t xml:space="preserve"> (bez DPH)</w:t>
      </w:r>
    </w:p>
    <w:p w:rsidR="000827F4" w:rsidRDefault="00780989">
      <w:pPr>
        <w:pStyle w:val="Zkladntext"/>
        <w:shd w:val="clear" w:color="auto" w:fill="auto"/>
        <w:spacing w:after="320" w:line="442" w:lineRule="auto"/>
        <w:ind w:left="3780" w:right="1360" w:hanging="3780"/>
        <w:jc w:val="left"/>
      </w:pPr>
      <w:r>
        <w:t xml:space="preserve">Roční cena smlouvy o údržbě individuálních uživatelských úprav je stanovena na </w:t>
      </w:r>
      <w:proofErr w:type="gramStart"/>
      <w:r>
        <w:t>částku</w:t>
      </w:r>
      <w:r>
        <w:t>,-</w:t>
      </w:r>
      <w:proofErr w:type="gramEnd"/>
      <w:r>
        <w:t xml:space="preserve"> (bez DPH)</w:t>
      </w:r>
    </w:p>
    <w:p w:rsidR="000827F4" w:rsidRDefault="00780989">
      <w:pPr>
        <w:pStyle w:val="Zkladntext"/>
        <w:shd w:val="clear" w:color="auto" w:fill="auto"/>
        <w:spacing w:after="260"/>
      </w:pPr>
      <w:r>
        <w:t xml:space="preserve">Na základě uzavření této smlouvy dodavatel pro každý kalendářní rok vystaví samostatný daňový doklad se všemi předepsanými </w:t>
      </w:r>
      <w:r>
        <w:t xml:space="preserve">náležitostmi. Jestliže je Smlouva uzavřena v průběhu kalendářního roku (tzn. není platnost od 1.1), </w:t>
      </w:r>
      <w:r>
        <w:lastRenderedPageBreak/>
        <w:t>výše uvedená částka bude alikvotně krácena dle počtu měsíců údržby systému v aktuálním kalendářním roce. Datem zdanitelného plnění bude datum vystavení fakt</w:t>
      </w:r>
      <w:r>
        <w:t>ury.</w:t>
      </w:r>
    </w:p>
    <w:p w:rsidR="000827F4" w:rsidRDefault="00780989">
      <w:pPr>
        <w:pStyle w:val="Zkladntext"/>
        <w:shd w:val="clear" w:color="auto" w:fill="auto"/>
        <w:spacing w:after="260"/>
        <w:jc w:val="left"/>
      </w:pPr>
      <w:r>
        <w:t>Splatnost faktur je stanovena 14 dnů ode dne jejich vystavení. Smluvní pokuta je dohodnuta ve výši 0.1 procenta z fakturované částky za každý den prodlení.</w:t>
      </w:r>
    </w:p>
    <w:p w:rsidR="000827F4" w:rsidRDefault="00780989">
      <w:pPr>
        <w:pStyle w:val="Zkladntext"/>
        <w:shd w:val="clear" w:color="auto" w:fill="auto"/>
        <w:spacing w:after="780"/>
      </w:pPr>
      <w:r>
        <w:t>Jsou-li v průběhu platnosti smlouvy zvýšeny/sníženy počty přístupů k jednotlivým modulům na zák</w:t>
      </w:r>
      <w:r>
        <w:t>ladě schváleného, písemného evidenčního záznamu, pak se mění výše údržby dle schváleného záznamu.</w:t>
      </w:r>
    </w:p>
    <w:p w:rsidR="000827F4" w:rsidRDefault="00780989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680"/>
        </w:tabs>
        <w:ind w:left="3320"/>
      </w:pPr>
      <w:bookmarkStart w:id="14" w:name="bookmark15"/>
      <w:r>
        <w:t>Kompetentnost dodavatele</w:t>
      </w:r>
      <w:bookmarkEnd w:id="14"/>
    </w:p>
    <w:p w:rsidR="000827F4" w:rsidRDefault="00780989">
      <w:pPr>
        <w:pStyle w:val="Zkladntext"/>
        <w:shd w:val="clear" w:color="auto" w:fill="auto"/>
        <w:spacing w:after="260"/>
      </w:pPr>
      <w:r>
        <w:t>Je-li dodavatelem jiný právnický nebo fyzický subjekt než autor systému (</w:t>
      </w:r>
      <w:proofErr w:type="spellStart"/>
      <w:r>
        <w:t>Solitea</w:t>
      </w:r>
      <w:proofErr w:type="spellEnd"/>
      <w:r>
        <w:t>, a.s., IČO: 01572377), má tento veškeré kompetence a</w:t>
      </w:r>
      <w:r>
        <w:t xml:space="preserve"> právní odpovědnost za plnění obsahu této Smlouvy a odpovídá objednateli za škodu, která mu tímto nepravdivým prohlášením vznikne.</w:t>
      </w:r>
    </w:p>
    <w:p w:rsidR="000827F4" w:rsidRDefault="00780989">
      <w:pPr>
        <w:pStyle w:val="Zkladntext"/>
        <w:shd w:val="clear" w:color="auto" w:fill="auto"/>
        <w:spacing w:after="500"/>
      </w:pPr>
      <w:r>
        <w:t xml:space="preserve">Dodavatel systému prohlašuje, že byl autorem systému (společnost </w:t>
      </w:r>
      <w:proofErr w:type="spellStart"/>
      <w:r>
        <w:t>Solitea</w:t>
      </w:r>
      <w:proofErr w:type="spellEnd"/>
      <w:r>
        <w:t>, a.s.), řádně vyškolen a certifikován pro poskytován</w:t>
      </w:r>
      <w:r>
        <w:t>í poradenské a konzultační činnosti spojené se systémem a že v době podpisu této smlouvy disponuje platným certifikátem s délkou platnosti minimálně 6 měsíců. Autor systému deklaruje, že vytváří pro dodavatele vhodné prostředí pro rozvíjení vědomostí o sys</w:t>
      </w:r>
      <w:r>
        <w:t>tému.</w:t>
      </w:r>
    </w:p>
    <w:p w:rsidR="000827F4" w:rsidRDefault="00780989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4258"/>
        </w:tabs>
        <w:spacing w:after="600"/>
        <w:ind w:left="3860"/>
      </w:pPr>
      <w:bookmarkStart w:id="15" w:name="bookmark16"/>
      <w:r>
        <w:t>Plnění smlouvy</w:t>
      </w:r>
      <w:bookmarkEnd w:id="15"/>
    </w:p>
    <w:p w:rsidR="000827F4" w:rsidRDefault="00780989">
      <w:pPr>
        <w:pStyle w:val="Zkladntext"/>
        <w:shd w:val="clear" w:color="auto" w:fill="auto"/>
        <w:spacing w:after="500"/>
      </w:pPr>
      <w:r>
        <w:t xml:space="preserve">Uživateli je poskytována telefonní či emailová služba. Telefonní služba </w:t>
      </w:r>
      <w:proofErr w:type="spellStart"/>
      <w:r>
        <w:t>HotLine</w:t>
      </w:r>
      <w:proofErr w:type="spellEnd"/>
      <w:r>
        <w:t xml:space="preserve"> </w:t>
      </w:r>
      <w:r>
        <w:t>(</w:t>
      </w:r>
      <w:r>
        <w:t xml:space="preserve">) je poskytována z oficiálních </w:t>
      </w:r>
      <w:proofErr w:type="spellStart"/>
      <w:r>
        <w:t>HotLine</w:t>
      </w:r>
      <w:proofErr w:type="spellEnd"/>
      <w:r>
        <w:t xml:space="preserve"> míst (</w:t>
      </w:r>
      <w:bookmarkStart w:id="16" w:name="_GoBack"/>
      <w:bookmarkEnd w:id="16"/>
      <w:r>
        <w:t>). Emailovou službu poskytuje výhradně do</w:t>
      </w:r>
      <w:r>
        <w:t>davatel.</w:t>
      </w:r>
    </w:p>
    <w:p w:rsidR="000827F4" w:rsidRDefault="00780989">
      <w:pPr>
        <w:pStyle w:val="Heading40"/>
        <w:keepNext/>
        <w:keepLines/>
        <w:numPr>
          <w:ilvl w:val="0"/>
          <w:numId w:val="6"/>
        </w:numPr>
        <w:shd w:val="clear" w:color="auto" w:fill="auto"/>
        <w:tabs>
          <w:tab w:val="left" w:pos="3971"/>
        </w:tabs>
        <w:ind w:left="3520"/>
      </w:pPr>
      <w:bookmarkStart w:id="17" w:name="bookmark17"/>
      <w:r>
        <w:t>Povinnosti dodavatele</w:t>
      </w:r>
      <w:bookmarkEnd w:id="17"/>
    </w:p>
    <w:p w:rsidR="000827F4" w:rsidRDefault="00780989">
      <w:pPr>
        <w:pStyle w:val="Zkladntext"/>
        <w:shd w:val="clear" w:color="auto" w:fill="auto"/>
        <w:spacing w:after="260"/>
      </w:pPr>
      <w:r>
        <w:t>Dodavatel, se v součinnosti s autorem systému zavazuje zabezpečovat regulérnost chodu systému v rámci platné legislativy a se zohledněním obecných pravidel a zvyklostí v oblasti, kterou systém řeší k datu uzavření smlouvy a v</w:t>
      </w:r>
      <w:r>
        <w:t xml:space="preserve"> rozsahu zakoupené konfigurace systému.</w:t>
      </w:r>
    </w:p>
    <w:p w:rsidR="000827F4" w:rsidRDefault="00780989">
      <w:pPr>
        <w:pStyle w:val="Zkladntext"/>
        <w:shd w:val="clear" w:color="auto" w:fill="auto"/>
        <w:spacing w:after="300" w:line="230" w:lineRule="auto"/>
      </w:pPr>
      <w:r>
        <w:t>Dodavatel se zavazuje informovat uživatele vhodným způsobem o vývoji systému a obsahu novinek v aktuální kompilaci.</w:t>
      </w:r>
    </w:p>
    <w:p w:rsidR="000827F4" w:rsidRDefault="00780989">
      <w:pPr>
        <w:pStyle w:val="Zkladntext"/>
        <w:shd w:val="clear" w:color="auto" w:fill="auto"/>
        <w:spacing w:after="0"/>
      </w:pPr>
      <w:r>
        <w:t>Jestliže uživatel bude mít zájem o: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44"/>
        </w:tabs>
        <w:spacing w:after="0"/>
        <w:ind w:left="500"/>
        <w:jc w:val="left"/>
      </w:pPr>
      <w:r>
        <w:t>realizaci vzdáleného přístupu dodavatel-uživatel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44"/>
        </w:tabs>
        <w:spacing w:after="0"/>
        <w:ind w:left="500"/>
        <w:jc w:val="left"/>
      </w:pPr>
      <w:r>
        <w:t xml:space="preserve">možnost </w:t>
      </w:r>
      <w:r>
        <w:t>uzavření pravidelného dohledu nad rutinním provozem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44"/>
        </w:tabs>
        <w:spacing w:after="0"/>
        <w:ind w:left="500"/>
        <w:jc w:val="left"/>
      </w:pPr>
      <w:r>
        <w:t>realizaci programátorských prací</w:t>
      </w:r>
    </w:p>
    <w:p w:rsidR="000827F4" w:rsidRDefault="00780989">
      <w:pPr>
        <w:pStyle w:val="Zkladntext"/>
        <w:numPr>
          <w:ilvl w:val="0"/>
          <w:numId w:val="5"/>
        </w:numPr>
        <w:shd w:val="clear" w:color="auto" w:fill="auto"/>
        <w:tabs>
          <w:tab w:val="left" w:pos="844"/>
        </w:tabs>
        <w:spacing w:after="260"/>
        <w:ind w:left="500"/>
        <w:jc w:val="left"/>
      </w:pPr>
      <w:r>
        <w:t>realizaci uživatelské úpravy</w:t>
      </w:r>
    </w:p>
    <w:p w:rsidR="000827F4" w:rsidRDefault="00780989">
      <w:pPr>
        <w:pStyle w:val="Zkladntext"/>
        <w:shd w:val="clear" w:color="auto" w:fill="auto"/>
        <w:spacing w:after="260"/>
        <w:ind w:right="740"/>
      </w:pPr>
      <w:r>
        <w:t xml:space="preserve">dodavatel se zavazuje vést takové jednání, které umožní splnění požadavků uživatele v závislosti na specifikaci daného požadavku. Dodavatel </w:t>
      </w:r>
      <w:r>
        <w:t>poskytuje tyto služby na vyžádání uživatele.</w:t>
      </w:r>
    </w:p>
    <w:p w:rsidR="000827F4" w:rsidRDefault="00780989">
      <w:pPr>
        <w:pStyle w:val="Zkladntext"/>
        <w:shd w:val="clear" w:color="auto" w:fill="auto"/>
        <w:spacing w:after="500"/>
        <w:ind w:right="740"/>
      </w:pPr>
      <w:r>
        <w:t>Dodavatel se zavazuje, že v dalších letech je navyšování ceny údržby možné pouze ve výši inflace stanovené Českým statistickým úřadem, případně změnou konfigurace licence Byznys, na základě oboustranného odsouhl</w:t>
      </w:r>
      <w:r>
        <w:t>asení.</w:t>
      </w:r>
    </w:p>
    <w:p w:rsidR="000827F4" w:rsidRDefault="00780989">
      <w:pPr>
        <w:pStyle w:val="Heading40"/>
        <w:keepNext/>
        <w:keepLines/>
        <w:shd w:val="clear" w:color="auto" w:fill="auto"/>
        <w:ind w:left="240"/>
        <w:jc w:val="center"/>
      </w:pPr>
      <w:bookmarkStart w:id="18" w:name="bookmark18"/>
      <w:r>
        <w:lastRenderedPageBreak/>
        <w:t>Vlil. Povinnosti uživatele</w:t>
      </w:r>
      <w:bookmarkEnd w:id="18"/>
    </w:p>
    <w:p w:rsidR="000827F4" w:rsidRDefault="00780989">
      <w:pPr>
        <w:pStyle w:val="Zkladntext"/>
        <w:shd w:val="clear" w:color="auto" w:fill="auto"/>
        <w:spacing w:after="260"/>
        <w:ind w:right="740"/>
      </w:pPr>
      <w:r>
        <w:t>Uživatel se zavazuje, že bude jmenovat kompetentní osobu, která bude mít na starost rutinní provoz systému.</w:t>
      </w:r>
    </w:p>
    <w:p w:rsidR="000827F4" w:rsidRDefault="00780989">
      <w:pPr>
        <w:pStyle w:val="Zkladntext"/>
        <w:shd w:val="clear" w:color="auto" w:fill="auto"/>
        <w:spacing w:after="260"/>
        <w:ind w:right="740"/>
      </w:pPr>
      <w:r>
        <w:t>Uživatel se zavazuje evidovat transparentním způsobem vzniklé problémy při provozu systému a přijímat opatření dop</w:t>
      </w:r>
      <w:r>
        <w:t>oručená dodavatelem.</w:t>
      </w:r>
    </w:p>
    <w:p w:rsidR="000827F4" w:rsidRDefault="00780989">
      <w:pPr>
        <w:pStyle w:val="Zkladntext"/>
        <w:shd w:val="clear" w:color="auto" w:fill="auto"/>
        <w:spacing w:after="500"/>
        <w:ind w:right="740"/>
      </w:pPr>
      <w:r>
        <w:t>Objednatel bere na vědomí, že je software vybaven funkcí ke kontrole užitých konfiguračních souborů a že tato informace je při (re)instalaci software, změně konfigurace software či změně konfiguračního souboru zaslána do informačního s</w:t>
      </w:r>
      <w:r>
        <w:t>ystému Zhotovitele. Obsahem informace je přesné znění konfiguračního souboru a jednoznačná identifikace odběratele tak, aby mohla být provedena kontrola a porovnání s konfiguračním souborem, který byl vygenerován, vydán a zaregistrován Zhotovitelem na jmén</w:t>
      </w:r>
      <w:r>
        <w:t>o Objednatele (koncového uživatele).</w:t>
      </w:r>
    </w:p>
    <w:p w:rsidR="000827F4" w:rsidRDefault="00780989">
      <w:pPr>
        <w:pStyle w:val="Heading40"/>
        <w:keepNext/>
        <w:keepLines/>
        <w:shd w:val="clear" w:color="auto" w:fill="auto"/>
        <w:ind w:left="260"/>
        <w:jc w:val="center"/>
      </w:pPr>
      <w:bookmarkStart w:id="19" w:name="bookmark19"/>
      <w:r>
        <w:t>IX. Individuální uživatelské úpravy</w:t>
      </w:r>
      <w:bookmarkEnd w:id="19"/>
    </w:p>
    <w:p w:rsidR="000827F4" w:rsidRDefault="00780989">
      <w:pPr>
        <w:pStyle w:val="Zkladntext"/>
        <w:shd w:val="clear" w:color="auto" w:fill="auto"/>
        <w:spacing w:after="260"/>
        <w:ind w:right="740"/>
      </w:pPr>
      <w:r>
        <w:t xml:space="preserve">Systém je distribuován se standardními funkcemi, které jsou obsaženy ve standardní instalační podobě. Individuální uživatelská úprava (úprava) je definována jako úprava systému </w:t>
      </w:r>
      <w:r>
        <w:t>vytvořená pro individuální potřeby uživatele na základě jeho požadavku (objednávky). V rámci systému Byznys B6 jsou zahrnuty uživatelské úpravy, které jsou realizovány dodavatelem ke dni předání do rutinního provozu.</w:t>
      </w:r>
    </w:p>
    <w:p w:rsidR="000827F4" w:rsidRDefault="00780989">
      <w:pPr>
        <w:pStyle w:val="Zkladntext"/>
        <w:shd w:val="clear" w:color="auto" w:fill="auto"/>
        <w:spacing w:after="260"/>
        <w:ind w:right="740"/>
      </w:pPr>
      <w:r>
        <w:t>Je-li uživatelská úprava zahrnuta do úd</w:t>
      </w:r>
      <w:r>
        <w:t>ržby, dodavatel se zavazuje garantovat uživateli koexistenci této úpravy se standardními funkcemi systému na základě vzájemné spolupráce. Dodavatel je povinen po celou dobu platnosti licence evidovat jím provedené uživatelské úpravy, v případě, že je na úp</w:t>
      </w:r>
      <w:r>
        <w:t>ravu uplatněna údržba.</w:t>
      </w:r>
    </w:p>
    <w:p w:rsidR="000827F4" w:rsidRDefault="00780989">
      <w:pPr>
        <w:pStyle w:val="Zkladntext"/>
        <w:shd w:val="clear" w:color="auto" w:fill="auto"/>
        <w:spacing w:after="380"/>
        <w:ind w:right="740"/>
      </w:pPr>
      <w:r>
        <w:t xml:space="preserve">Uživateli je doporučeno evidovat si úpravy v Provozním deníku k systému a po instalaci nové kompilace systému vyzkoušet koexistenci úprav se systémem. Ideální způsob zjištění koexistence je provedení v tzv. BETA instalaci (instalace </w:t>
      </w:r>
      <w:r>
        <w:t>systému mimo ostrý rutinní běh).</w:t>
      </w:r>
    </w:p>
    <w:p w:rsidR="000827F4" w:rsidRDefault="00780989">
      <w:pPr>
        <w:pStyle w:val="Zkladntext"/>
        <w:shd w:val="clear" w:color="auto" w:fill="auto"/>
        <w:spacing w:after="260"/>
        <w:ind w:right="740"/>
      </w:pPr>
      <w:r>
        <w:t>V případě, že se vyskytne problém v koexistenci úpravy se systémem a bude řádně nahlášen uživatelem dodavateli, ten zajistí řešení a vyřešení problému v co nejkratší době, zhotovitel se zavazuje</w:t>
      </w:r>
    </w:p>
    <w:p w:rsidR="000827F4" w:rsidRDefault="00780989">
      <w:pPr>
        <w:pStyle w:val="Bodytext40"/>
        <w:shd w:val="clear" w:color="auto" w:fill="auto"/>
        <w:spacing w:after="0"/>
        <w:ind w:right="20"/>
      </w:pPr>
      <w:r>
        <w:t>Výzkumný ústav živočišné výr</w:t>
      </w:r>
      <w:r>
        <w:t xml:space="preserve">oby, </w:t>
      </w:r>
      <w:proofErr w:type="spellStart"/>
      <w:r>
        <w:t>v.v.i</w:t>
      </w:r>
      <w:proofErr w:type="spellEnd"/>
      <w:r>
        <w:t>.</w:t>
      </w:r>
      <w:r>
        <w:br/>
        <w:t>F</w:t>
      </w:r>
      <w:proofErr w:type="gramStart"/>
      <w:r>
        <w:t>';\</w:t>
      </w:r>
      <w:proofErr w:type="gramEnd"/>
      <w:r>
        <w:t xml:space="preserve">. </w:t>
      </w:r>
      <w:proofErr w:type="spellStart"/>
      <w:r>
        <w:t>eistvi</w:t>
      </w:r>
      <w:proofErr w:type="spellEnd"/>
      <w:r>
        <w:t xml:space="preserve"> 815</w:t>
      </w:r>
    </w:p>
    <w:p w:rsidR="000827F4" w:rsidRDefault="00780989">
      <w:pPr>
        <w:pStyle w:val="Bodytext40"/>
        <w:shd w:val="clear" w:color="auto" w:fill="auto"/>
        <w:spacing w:after="40"/>
        <w:ind w:right="0"/>
        <w:jc w:val="right"/>
      </w:pPr>
      <w:r>
        <w:t xml:space="preserve">104 CO </w:t>
      </w:r>
      <w:proofErr w:type="gramStart"/>
      <w:r>
        <w:t xml:space="preserve">Praha - </w:t>
      </w:r>
      <w:proofErr w:type="spellStart"/>
      <w:r>
        <w:t>Ubřinávea</w:t>
      </w:r>
      <w:proofErr w:type="spellEnd"/>
      <w:proofErr w:type="gramEnd"/>
      <w:r>
        <w:t xml:space="preserve"> (1)</w:t>
      </w:r>
    </w:p>
    <w:p w:rsidR="000827F4" w:rsidRDefault="00780989">
      <w:pPr>
        <w:pStyle w:val="Zkladntext"/>
        <w:shd w:val="clear" w:color="auto" w:fill="auto"/>
        <w:spacing w:after="0"/>
        <w:jc w:val="left"/>
      </w:pPr>
      <w:r>
        <w:t xml:space="preserve">v rámci této Smlouvy lokalizovat písemně nahlášený problém do 24 hodin v rámci </w:t>
      </w:r>
      <w:proofErr w:type="spellStart"/>
      <w:r>
        <w:t>prac</w:t>
      </w:r>
      <w:proofErr w:type="spellEnd"/>
    </w:p>
    <w:p w:rsidR="000827F4" w:rsidRDefault="00780989">
      <w:pPr>
        <w:pStyle w:val="Zkladntext"/>
        <w:shd w:val="clear" w:color="auto" w:fill="auto"/>
        <w:spacing w:after="0"/>
        <w:jc w:val="left"/>
      </w:pPr>
      <w:r>
        <w:t xml:space="preserve">přijmout, navrhnout a řešit problém ve standardní době 7 pracovních dní, </w:t>
      </w:r>
      <w:proofErr w:type="spellStart"/>
      <w:r>
        <w:t>maximál</w:t>
      </w:r>
      <w:proofErr w:type="spellEnd"/>
    </w:p>
    <w:p w:rsidR="000827F4" w:rsidRDefault="00780989">
      <w:pPr>
        <w:pStyle w:val="Zkladntext"/>
        <w:shd w:val="clear" w:color="auto" w:fill="auto"/>
        <w:spacing w:after="500"/>
        <w:ind w:right="880"/>
      </w:pPr>
      <w:r>
        <w:t xml:space="preserve">kalendářních dní dle oboustranné </w:t>
      </w:r>
      <w:r>
        <w:t>závažnosti problému. Havarijní stavy bude řešit nejpozději do dvou pracovních dnů. Pakliže se bude jednat o zajištění koexistence úpravy se systémem, nebude dodavatel požadovat finanční úhradu.</w:t>
      </w:r>
    </w:p>
    <w:p w:rsidR="000827F4" w:rsidRDefault="00780989">
      <w:pPr>
        <w:pStyle w:val="Heading40"/>
        <w:keepNext/>
        <w:keepLines/>
        <w:shd w:val="clear" w:color="auto" w:fill="auto"/>
        <w:ind w:left="3700"/>
      </w:pPr>
      <w:bookmarkStart w:id="20" w:name="bookmark20"/>
      <w:r>
        <w:t>X. Obecné náležitosti</w:t>
      </w:r>
      <w:bookmarkEnd w:id="20"/>
    </w:p>
    <w:p w:rsidR="000827F4" w:rsidRDefault="00780989">
      <w:pPr>
        <w:pStyle w:val="Zkladntext"/>
        <w:shd w:val="clear" w:color="auto" w:fill="auto"/>
        <w:spacing w:after="0"/>
        <w:ind w:right="880"/>
      </w:pPr>
      <w:r>
        <w:t>Není-li částka za tuto Smlouvu proplacen</w:t>
      </w:r>
      <w:r>
        <w:t>a v termínu, dodavatel si vyhrazuje přizpůsobit své chování a po dobu nezaplacení nemá vůči uživateli žádné povinnosti, aniž by došlo ke krácení či změně cenové relace za tuto Smlouvu.</w:t>
      </w:r>
    </w:p>
    <w:p w:rsidR="000827F4" w:rsidRDefault="00780989">
      <w:pPr>
        <w:pStyle w:val="Zkladntext"/>
        <w:shd w:val="clear" w:color="auto" w:fill="auto"/>
        <w:spacing w:after="260"/>
        <w:ind w:right="880"/>
      </w:pPr>
      <w:r>
        <w:t xml:space="preserve">Uživatel se zavazuje pro podporu systému využívat certifikované </w:t>
      </w:r>
      <w:r>
        <w:t>konzultanty aktuálně evidované dodavatelem. Pokud bude uživatel využívat pro podporu systému aktuálně neautorizované osoby neevidované dodavatelem, neručí dodavatel za stav a případné závady systému a v platnosti zůstávají veškeré smluvní závazky k dodavat</w:t>
      </w:r>
      <w:r>
        <w:t>eli.</w:t>
      </w:r>
    </w:p>
    <w:p w:rsidR="000827F4" w:rsidRDefault="00780989">
      <w:pPr>
        <w:pStyle w:val="Zkladntext"/>
        <w:shd w:val="clear" w:color="auto" w:fill="auto"/>
        <w:spacing w:after="540"/>
        <w:ind w:right="880"/>
      </w:pPr>
      <w:r>
        <w:lastRenderedPageBreak/>
        <w:t>Licence systému je nepřenosná. Pokud by uživatel chtěl následně převést systém na nástupnický subjekt, je toto možno realizovat pouze s předchozím písemným souhlasem dodavatele a za podmínek stanovených dodavatelem.</w:t>
      </w:r>
    </w:p>
    <w:p w:rsidR="000827F4" w:rsidRDefault="00780989">
      <w:pPr>
        <w:pStyle w:val="Zkladntext"/>
        <w:shd w:val="clear" w:color="auto" w:fill="auto"/>
        <w:spacing w:after="260"/>
        <w:ind w:right="880"/>
      </w:pPr>
      <w:r>
        <w:t>Uživatel je povinen užívat instalač</w:t>
      </w:r>
      <w:r>
        <w:t>ní sady poskytnuté autorem či dodavatelem. V opačném případě se ruší stanovené podmínky tou smlouvou v bodě I. Předmět smlouvy.</w:t>
      </w:r>
    </w:p>
    <w:p w:rsidR="000827F4" w:rsidRDefault="00780989">
      <w:pPr>
        <w:pStyle w:val="Zkladntext"/>
        <w:shd w:val="clear" w:color="auto" w:fill="auto"/>
        <w:spacing w:after="260"/>
        <w:ind w:right="880"/>
      </w:pPr>
      <w:r>
        <w:t>Tato Smlouva je uzavřena dle nového občanského zákoníku č. 89/2012 Sb. v platném znění a závazkové vztahy založené touto Smlouvo</w:t>
      </w:r>
      <w:r>
        <w:t>u, které v ní nejsou výslovně upraveny nebo jsou v rozporu s kogentními ustanoveními občanského zákoníku se řídí příslušnými ustanoveními občanského zákoníku, Autorským zákonem a dalšími obecně závaznými právními předpisy.</w:t>
      </w:r>
    </w:p>
    <w:p w:rsidR="000827F4" w:rsidRDefault="00780989">
      <w:pPr>
        <w:pStyle w:val="Zkladntext"/>
        <w:shd w:val="clear" w:color="auto" w:fill="auto"/>
        <w:spacing w:after="260"/>
        <w:jc w:val="left"/>
      </w:pPr>
      <w:r>
        <w:t>Tato smlouva je vypracována ve dv</w:t>
      </w:r>
      <w:r>
        <w:t xml:space="preserve">ou vyhotoveních, každá strana obdrží po jednom </w:t>
      </w:r>
      <w:proofErr w:type="spellStart"/>
      <w:r>
        <w:t>paré</w:t>
      </w:r>
      <w:proofErr w:type="spellEnd"/>
      <w:r>
        <w:t>.</w:t>
      </w:r>
    </w:p>
    <w:p w:rsidR="000827F4" w:rsidRDefault="00780989">
      <w:pPr>
        <w:pStyle w:val="Zkladntext"/>
        <w:shd w:val="clear" w:color="auto" w:fill="auto"/>
        <w:spacing w:after="260"/>
        <w:ind w:right="880"/>
      </w:pPr>
      <w:r>
        <w:t>Osoby podpisující tuto Smlouvu prohlašují, že mají veškerá oprávnění k podpisu smluvních vztahů se třetími osobami za subjekt uživatele a jsou si vědomi následků z toho plynoucích.</w:t>
      </w:r>
    </w:p>
    <w:sectPr w:rsidR="000827F4">
      <w:pgSz w:w="11900" w:h="16840"/>
      <w:pgMar w:top="712" w:right="695" w:bottom="1289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989" w:rsidRDefault="00780989">
      <w:r>
        <w:separator/>
      </w:r>
    </w:p>
  </w:endnote>
  <w:endnote w:type="continuationSeparator" w:id="0">
    <w:p w:rsidR="00780989" w:rsidRDefault="0078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989" w:rsidRDefault="00780989"/>
  </w:footnote>
  <w:footnote w:type="continuationSeparator" w:id="0">
    <w:p w:rsidR="00780989" w:rsidRDefault="007809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129B3"/>
    <w:multiLevelType w:val="multilevel"/>
    <w:tmpl w:val="D1B6B8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564AA"/>
    <w:multiLevelType w:val="multilevel"/>
    <w:tmpl w:val="52D4EBAE"/>
    <w:lvl w:ilvl="0">
      <w:start w:val="2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3A2CE4"/>
    <w:multiLevelType w:val="multilevel"/>
    <w:tmpl w:val="EA4859D2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A78F2"/>
    <w:multiLevelType w:val="multilevel"/>
    <w:tmpl w:val="408EDA4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C929C5"/>
    <w:multiLevelType w:val="multilevel"/>
    <w:tmpl w:val="6B04FA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E61D0"/>
    <w:multiLevelType w:val="multilevel"/>
    <w:tmpl w:val="497C9A5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D92ACF"/>
    <w:multiLevelType w:val="multilevel"/>
    <w:tmpl w:val="29A2BAD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F4"/>
    <w:rsid w:val="000827F4"/>
    <w:rsid w:val="00382DA7"/>
    <w:rsid w:val="00780989"/>
    <w:rsid w:val="00B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5618"/>
  <w15:docId w15:val="{D1952D9C-7049-4B30-A029-35AEC00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5C98C6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64E9D"/>
      <w:sz w:val="54"/>
      <w:szCs w:val="54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">
    <w:name w:val="Heading #4_"/>
    <w:basedOn w:val="Standardnpsmoodstavce"/>
    <w:link w:val="Heading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40"/>
      <w:jc w:val="both"/>
    </w:pPr>
    <w:rPr>
      <w:rFonts w:ascii="Arial Narrow" w:eastAsia="Arial Narrow" w:hAnsi="Arial Narrow" w:cs="Arial Narrow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 Narrow" w:eastAsia="Arial Narrow" w:hAnsi="Arial Narrow" w:cs="Arial Narrow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"/>
      <w:ind w:right="10"/>
      <w:jc w:val="center"/>
    </w:pPr>
    <w:rPr>
      <w:rFonts w:ascii="Arial" w:eastAsia="Arial" w:hAnsi="Arial" w:cs="Arial"/>
      <w:color w:val="5C98C6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06" w:lineRule="auto"/>
      <w:ind w:right="840"/>
      <w:jc w:val="right"/>
      <w:outlineLvl w:val="0"/>
    </w:pPr>
    <w:rPr>
      <w:rFonts w:ascii="Times New Roman" w:eastAsia="Times New Roman" w:hAnsi="Times New Roman" w:cs="Times New Roman"/>
      <w:i/>
      <w:iCs/>
      <w:color w:val="564E9D"/>
      <w:sz w:val="54"/>
      <w:szCs w:val="5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580" w:line="209" w:lineRule="auto"/>
      <w:ind w:left="1730" w:right="50" w:firstLine="1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after="320"/>
      <w:ind w:left="3020"/>
      <w:outlineLvl w:val="3"/>
    </w:pPr>
    <w:rPr>
      <w:rFonts w:ascii="Arial Narrow" w:eastAsia="Arial Narrow" w:hAnsi="Arial Narrow" w:cs="Arial Narrow"/>
      <w:b/>
      <w:bCs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540"/>
      <w:ind w:left="2600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40"/>
      <w:jc w:val="both"/>
    </w:pPr>
    <w:rPr>
      <w:rFonts w:ascii="Arial Narrow" w:eastAsia="Arial Narrow" w:hAnsi="Arial Narrow" w:cs="Arial Narrow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0"/>
      <w:ind w:left="720" w:firstLine="2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ind w:right="580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ind w:left="1360" w:firstLine="20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after="30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2738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2020-10-01T10:19:00Z</dcterms:created>
  <dcterms:modified xsi:type="dcterms:W3CDTF">2020-10-01T10:34:00Z</dcterms:modified>
</cp:coreProperties>
</file>