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88"/>
        <w:gridCol w:w="288"/>
        <w:gridCol w:w="255"/>
        <w:gridCol w:w="255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74"/>
        <w:gridCol w:w="249"/>
        <w:gridCol w:w="24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860"/>
        <w:gridCol w:w="220"/>
        <w:gridCol w:w="220"/>
        <w:gridCol w:w="760"/>
        <w:gridCol w:w="300"/>
        <w:gridCol w:w="1519"/>
        <w:gridCol w:w="680"/>
        <w:gridCol w:w="380"/>
        <w:gridCol w:w="1420"/>
      </w:tblGrid>
      <w:tr w:rsidR="00581C3C" w:rsidRPr="00581C3C" w:rsidTr="00581C3C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7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Be0070082019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7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Stavba: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Radovánek-rekonstrukce Pallova 52/19, Plzeň, HSV - FÁZE1 - VENKOVNÍ ÚPRAVY A SOKL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Pallova 52/19, Plzeň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29. 8. 2019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69977836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3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Středisko volného času </w:t>
            </w:r>
            <w:proofErr w:type="spellStart"/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Radovánek,Pallova</w:t>
            </w:r>
            <w:proofErr w:type="spellEnd"/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52/19,Plz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48331023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Petr Milota, Palackého </w:t>
            </w:r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393 , Blovice</w:t>
            </w:r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336 01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CZ7308272026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13882589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3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L.Beneda</w:t>
            </w:r>
            <w:proofErr w:type="spellEnd"/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Čižická</w:t>
            </w:r>
            <w:proofErr w:type="spell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279, 332 09 Štěnovice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CZ807271008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46799419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3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Martina Havířová, Vranovská 1348, 349 01 Stříbro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0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9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www.cs-urs.cz, sekce Cenové a technické podmínky.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8 696 023,20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8 696 023,20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1 826 164,87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4"/>
                <w:szCs w:val="24"/>
                <w:lang w:eastAsia="cs-CZ"/>
              </w:rPr>
              <w:t>10 522 188,07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81C3C" w:rsidRPr="00581C3C" w:rsidTr="00581C3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81C3C" w:rsidRPr="00581C3C" w:rsidTr="00581C3C">
        <w:trPr>
          <w:trHeight w:val="499"/>
        </w:trPr>
        <w:tc>
          <w:tcPr>
            <w:tcW w:w="804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Be0070082019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739"/>
        </w:trPr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Stavba: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Radovánek-rekonstrukce Pallova 52/19, Plzeň, HSV - FÁZE1 - VENKOVNÍ ÚPRAVY A SOKL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4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  <w:t>Pallova 52/19, Plzeň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29. 8. 2019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559"/>
        </w:trPr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Středisko volného času </w:t>
            </w:r>
            <w:proofErr w:type="spellStart"/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Radovánek,Pallova</w:t>
            </w:r>
            <w:proofErr w:type="spellEnd"/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52/19,Plz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L.Beneda</w:t>
            </w:r>
            <w:proofErr w:type="spellEnd"/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Čižická</w:t>
            </w:r>
            <w:proofErr w:type="spell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279, 332 09 Štěnovice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559"/>
        </w:trPr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Petr Milota, Palackého </w:t>
            </w:r>
            <w:proofErr w:type="gramStart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393 , Blovice</w:t>
            </w:r>
            <w:proofErr w:type="gramEnd"/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 xml:space="preserve"> 336 01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  <w:t>Martina Havířová, Vranovská 1348, 349 01 Stříbro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585"/>
        </w:trPr>
        <w:tc>
          <w:tcPr>
            <w:tcW w:w="1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81C3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88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9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  <w:t>Typ</w:t>
            </w:r>
          </w:p>
        </w:tc>
      </w:tr>
      <w:tr w:rsidR="00581C3C" w:rsidRPr="00581C3C" w:rsidTr="00581C3C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C3C" w:rsidRPr="00581C3C" w:rsidTr="00581C3C">
        <w:trPr>
          <w:trHeight w:val="649"/>
        </w:trPr>
        <w:tc>
          <w:tcPr>
            <w:tcW w:w="2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8 696 023,20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  <w:t>10 522 188,07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81C3C" w:rsidRPr="00581C3C" w:rsidTr="00581C3C">
        <w:trPr>
          <w:trHeight w:val="5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 xml:space="preserve">Zateplení </w:t>
            </w:r>
            <w:proofErr w:type="gramStart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fasády 1.p.</w:t>
            </w:r>
            <w:proofErr w:type="gramEnd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p. + venkovní otvory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4 131 470,41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4 999 079,20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</w:t>
            </w:r>
          </w:p>
        </w:tc>
      </w:tr>
      <w:tr w:rsidR="00581C3C" w:rsidRPr="00581C3C" w:rsidTr="00581C3C">
        <w:trPr>
          <w:trHeight w:val="5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 xml:space="preserve">ŽB opěrná </w:t>
            </w:r>
            <w:proofErr w:type="spellStart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zeď,lávka+ŽB</w:t>
            </w:r>
            <w:proofErr w:type="spellEnd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 xml:space="preserve"> nádrž dešťové </w:t>
            </w:r>
            <w:proofErr w:type="spellStart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vody+ŽB</w:t>
            </w:r>
            <w:proofErr w:type="spellEnd"/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 xml:space="preserve"> předložené schodiště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1 190 155,13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1 440 087,71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</w:t>
            </w:r>
          </w:p>
        </w:tc>
      </w:tr>
      <w:tr w:rsidR="00581C3C" w:rsidRPr="00581C3C" w:rsidTr="00581C3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Zpevněné plochy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1 965 321,17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2 378 038,62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</w:t>
            </w:r>
          </w:p>
        </w:tc>
      </w:tr>
      <w:tr w:rsidR="00581C3C" w:rsidRPr="00581C3C" w:rsidTr="00581C3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Dešťová kanalizace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1 079 517,60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1 306 216,30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</w:t>
            </w:r>
          </w:p>
        </w:tc>
      </w:tr>
      <w:tr w:rsidR="00581C3C" w:rsidRPr="00581C3C" w:rsidTr="00581C3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Ostatní objekty - plyn, voda, kanalizace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60 558,89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73 276,26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STA</w:t>
            </w:r>
          </w:p>
        </w:tc>
      </w:tr>
      <w:tr w:rsidR="00581C3C" w:rsidRPr="00581C3C" w:rsidTr="00581C3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06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</w:p>
        </w:tc>
        <w:tc>
          <w:tcPr>
            <w:tcW w:w="56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color w:val="003366"/>
                <w:lang w:eastAsia="cs-CZ"/>
              </w:rPr>
              <w:t>Vedlejší a ostatní náklady</w:t>
            </w: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269 000,00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right"/>
              <w:rPr>
                <w:rFonts w:ascii="Arial CE" w:eastAsia="Times New Roman" w:hAnsi="Arial CE" w:cs="Arial"/>
                <w:color w:val="003366"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color w:val="003366"/>
                <w:lang w:eastAsia="cs-CZ"/>
              </w:rPr>
              <w:t>325 490,00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581C3C">
              <w:rPr>
                <w:rFonts w:ascii="Arial CE" w:eastAsia="Times New Roman" w:hAnsi="Arial CE" w:cs="Arial"/>
                <w:b/>
                <w:bCs/>
                <w:lang w:eastAsia="cs-CZ"/>
              </w:rPr>
              <w:t>VON</w:t>
            </w:r>
          </w:p>
        </w:tc>
      </w:tr>
      <w:tr w:rsidR="00581C3C" w:rsidRPr="00581C3C" w:rsidTr="00581C3C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C3C" w:rsidRPr="00581C3C" w:rsidRDefault="00581C3C" w:rsidP="0058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07C86" w:rsidRDefault="00607C86"/>
    <w:sectPr w:rsidR="00607C86" w:rsidSect="00581C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3C"/>
    <w:rsid w:val="00581C3C"/>
    <w:rsid w:val="00607C86"/>
    <w:rsid w:val="00A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F9985-EBBA-42F0-B81A-04BF2BAC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1C3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1C3C"/>
    <w:rPr>
      <w:color w:val="800080"/>
      <w:u w:val="single"/>
    </w:rPr>
  </w:style>
  <w:style w:type="paragraph" w:customStyle="1" w:styleId="msonormal0">
    <w:name w:val="msonormal"/>
    <w:basedOn w:val="Normln"/>
    <w:rsid w:val="0058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67">
    <w:name w:val="xl67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69">
    <w:name w:val="xl69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lang w:eastAsia="cs-CZ"/>
    </w:rPr>
  </w:style>
  <w:style w:type="paragraph" w:customStyle="1" w:styleId="xl71">
    <w:name w:val="xl71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72">
    <w:name w:val="xl72"/>
    <w:basedOn w:val="Normln"/>
    <w:rsid w:val="00581C3C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3">
    <w:name w:val="xl73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4">
    <w:name w:val="xl74"/>
    <w:basedOn w:val="Normln"/>
    <w:rsid w:val="00581C3C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75">
    <w:name w:val="xl75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6">
    <w:name w:val="xl76"/>
    <w:basedOn w:val="Normln"/>
    <w:rsid w:val="00581C3C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581C3C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8">
    <w:name w:val="xl78"/>
    <w:basedOn w:val="Normln"/>
    <w:rsid w:val="00581C3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581C3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581C3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81C3C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581C3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581C3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581C3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88">
    <w:name w:val="xl88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89">
    <w:name w:val="xl89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81C3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1">
    <w:name w:val="xl91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3">
    <w:name w:val="xl93"/>
    <w:basedOn w:val="Normln"/>
    <w:rsid w:val="00581C3C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95">
    <w:name w:val="xl95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96">
    <w:name w:val="xl96"/>
    <w:basedOn w:val="Normln"/>
    <w:rsid w:val="00581C3C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97">
    <w:name w:val="xl97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lang w:eastAsia="cs-CZ"/>
    </w:rPr>
  </w:style>
  <w:style w:type="paragraph" w:customStyle="1" w:styleId="xl98">
    <w:name w:val="xl98"/>
    <w:basedOn w:val="Normln"/>
    <w:rsid w:val="00581C3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9">
    <w:name w:val="xl99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0">
    <w:name w:val="xl100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1">
    <w:name w:val="xl101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lang w:eastAsia="cs-CZ"/>
    </w:rPr>
  </w:style>
  <w:style w:type="paragraph" w:customStyle="1" w:styleId="xl102">
    <w:name w:val="xl102"/>
    <w:basedOn w:val="Normln"/>
    <w:rsid w:val="00581C3C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3">
    <w:name w:val="xl103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04">
    <w:name w:val="xl104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105">
    <w:name w:val="xl105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9696"/>
      <w:sz w:val="20"/>
      <w:szCs w:val="20"/>
      <w:lang w:eastAsia="cs-CZ"/>
    </w:rPr>
  </w:style>
  <w:style w:type="paragraph" w:customStyle="1" w:styleId="xl107">
    <w:name w:val="xl107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581C3C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581C3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1">
    <w:name w:val="xl111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12">
    <w:name w:val="xl112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3">
    <w:name w:val="xl113"/>
    <w:basedOn w:val="Normln"/>
    <w:rsid w:val="00581C3C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14">
    <w:name w:val="xl114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5">
    <w:name w:val="xl115"/>
    <w:basedOn w:val="Normln"/>
    <w:rsid w:val="00581C3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6">
    <w:name w:val="xl116"/>
    <w:basedOn w:val="Normln"/>
    <w:rsid w:val="00581C3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7">
    <w:name w:val="xl117"/>
    <w:basedOn w:val="Normln"/>
    <w:rsid w:val="00581C3C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Radovanek</dc:creator>
  <cp:keywords/>
  <dc:description/>
  <cp:lastModifiedBy>Jitka Kuncová</cp:lastModifiedBy>
  <cp:revision>2</cp:revision>
  <dcterms:created xsi:type="dcterms:W3CDTF">2020-10-01T09:50:00Z</dcterms:created>
  <dcterms:modified xsi:type="dcterms:W3CDTF">2020-10-01T09:50:00Z</dcterms:modified>
</cp:coreProperties>
</file>