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C213DD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C213DD">
        <w:t>PRA-VZ-39/2020</w:t>
      </w:r>
      <w:r w:rsidR="00246E43">
        <w:t xml:space="preserve"> ze dne </w:t>
      </w:r>
      <w:r w:rsidR="00C213DD">
        <w:t>7.8.2020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213DD" w:rsidRPr="00C213DD">
        <w:rPr>
          <w:rFonts w:cs="Arial"/>
          <w:szCs w:val="20"/>
        </w:rPr>
        <w:t xml:space="preserve">Ing. </w:t>
      </w:r>
      <w:r w:rsidR="00C213DD">
        <w:t>Vlastimil Přidal</w:t>
      </w:r>
      <w:r w:rsidRPr="00A3020E">
        <w:rPr>
          <w:rFonts w:cs="Arial"/>
          <w:szCs w:val="20"/>
        </w:rPr>
        <w:t xml:space="preserve">, </w:t>
      </w:r>
      <w:r w:rsidR="00C213DD" w:rsidRPr="00C213DD">
        <w:rPr>
          <w:rFonts w:cs="Arial"/>
          <w:szCs w:val="20"/>
        </w:rPr>
        <w:t>ředitel Kontaktního</w:t>
      </w:r>
      <w:r w:rsidR="00C213DD">
        <w:t xml:space="preserve"> pracoviště v Přerově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213DD" w:rsidRPr="00C213DD">
        <w:rPr>
          <w:rFonts w:cs="Arial"/>
          <w:szCs w:val="20"/>
        </w:rPr>
        <w:t>Dobrovského 1278</w:t>
      </w:r>
      <w:r w:rsidR="00C213DD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213DD" w:rsidRPr="00C213DD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213DD" w:rsidRPr="00C213DD">
        <w:rPr>
          <w:rFonts w:cs="Arial"/>
          <w:szCs w:val="20"/>
        </w:rPr>
        <w:t>Žerotínovo nám</w:t>
      </w:r>
      <w:r w:rsidR="00C213DD">
        <w:t>. č.p. 168/21, Přerov I-Město, 750 02 Přerov 2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C213DD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213DD" w:rsidRPr="00C213DD">
        <w:rPr>
          <w:rFonts w:cs="Arial"/>
          <w:szCs w:val="20"/>
        </w:rPr>
        <w:t>Charita Přerov</w:t>
      </w:r>
      <w:r w:rsidR="00C213DD">
        <w:t>,</w:t>
      </w:r>
      <w:r w:rsidR="00C213DD" w:rsidRPr="00C213DD">
        <w:rPr>
          <w:rFonts w:cs="Arial"/>
          <w:vanish/>
          <w:szCs w:val="20"/>
        </w:rPr>
        <w:t>0</w:t>
      </w:r>
    </w:p>
    <w:p w:rsidR="00B72145" w:rsidRPr="00A3020E" w:rsidRDefault="00C213DD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2A3E99">
        <w:rPr>
          <w:rFonts w:cs="Arial"/>
          <w:noProof/>
          <w:szCs w:val="20"/>
        </w:rPr>
        <w:t>xxx</w:t>
      </w:r>
    </w:p>
    <w:p w:rsidR="00B72145" w:rsidRPr="00A3020E" w:rsidRDefault="00C213DD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C213DD">
        <w:rPr>
          <w:rFonts w:cs="Arial"/>
          <w:szCs w:val="20"/>
        </w:rPr>
        <w:t>Šířava č</w:t>
      </w:r>
      <w:r>
        <w:t>.p. 1295/27, Přerov I-Město, 750 02 Přerov 2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213DD" w:rsidRPr="00C213DD">
        <w:rPr>
          <w:rFonts w:cs="Arial"/>
          <w:szCs w:val="20"/>
        </w:rPr>
        <w:t>45180270</w:t>
      </w:r>
    </w:p>
    <w:p w:rsidR="00467F52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C213DD" w:rsidRDefault="00C213DD" w:rsidP="00C213DD">
      <w:pPr>
        <w:pStyle w:val="lnek"/>
      </w:pPr>
      <w:r w:rsidRPr="00A3020E">
        <w:t>Článek I</w:t>
      </w:r>
    </w:p>
    <w:p w:rsidR="00C213DD" w:rsidRPr="00FB780C" w:rsidRDefault="00C213DD" w:rsidP="00C213DD">
      <w:pPr>
        <w:pStyle w:val="lnek"/>
      </w:pPr>
      <w:r>
        <w:t>Účel dodatku</w:t>
      </w:r>
    </w:p>
    <w:p w:rsidR="00C213DD" w:rsidRDefault="00C213DD" w:rsidP="00C213DD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C213DD" w:rsidRPr="0089748F" w:rsidRDefault="00C213DD" w:rsidP="00C213DD">
      <w:pPr>
        <w:keepNext/>
        <w:tabs>
          <w:tab w:val="left" w:pos="2520"/>
        </w:tabs>
        <w:rPr>
          <w:rFonts w:cs="Arial"/>
          <w:szCs w:val="20"/>
        </w:rPr>
      </w:pPr>
    </w:p>
    <w:p w:rsidR="00C213DD" w:rsidRDefault="00C213DD" w:rsidP="00C213DD">
      <w:pPr>
        <w:pStyle w:val="lnek"/>
      </w:pPr>
      <w:r w:rsidRPr="008F1A38">
        <w:t>Článek II</w:t>
      </w:r>
    </w:p>
    <w:p w:rsidR="00C213DD" w:rsidRDefault="00C213DD" w:rsidP="00C213DD">
      <w:pPr>
        <w:pStyle w:val="lnek"/>
      </w:pPr>
      <w:r>
        <w:t>Předmět dodatku</w:t>
      </w:r>
    </w:p>
    <w:p w:rsidR="00C213DD" w:rsidRDefault="00C213DD" w:rsidP="00C213DD">
      <w:r>
        <w:t>Dosavadní text článku II.1 dohody se nahrazuje textem:</w:t>
      </w:r>
    </w:p>
    <w:p w:rsidR="00C213DD" w:rsidRDefault="00C213DD" w:rsidP="00C213DD"/>
    <w:p w:rsidR="00C213DD" w:rsidRDefault="00C213DD" w:rsidP="00C213DD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Úřad práce poskytne zaměstnavateli příspěvek za těchto podmínek:</w:t>
      </w:r>
    </w:p>
    <w:p w:rsidR="00C213DD" w:rsidRDefault="00C213DD" w:rsidP="00C213DD">
      <w:pPr>
        <w:pStyle w:val="Boddohody"/>
        <w:numPr>
          <w:ilvl w:val="0"/>
          <w:numId w:val="21"/>
        </w:numPr>
        <w:tabs>
          <w:tab w:val="left" w:pos="364"/>
        </w:tabs>
      </w:pPr>
      <w:r>
        <w:t xml:space="preserve">Zaměstnavatel vytvoří níže uvedené pracovní příležitosti v rámci veřejně prospěšných prací (dále jen „pracovní místa“) </w:t>
      </w:r>
    </w:p>
    <w:p w:rsidR="00C213DD" w:rsidRDefault="00C213DD" w:rsidP="00C213DD">
      <w:pPr>
        <w:pStyle w:val="Boddohody"/>
        <w:numPr>
          <w:ilvl w:val="1"/>
          <w:numId w:val="21"/>
        </w:numPr>
        <w:tabs>
          <w:tab w:val="left" w:pos="784"/>
        </w:tabs>
      </w:pPr>
      <w:r>
        <w:t>na dobu od 10.8.2020 do </w:t>
      </w:r>
      <w:r>
        <w:rPr>
          <w:noProof/>
        </w:rPr>
        <w:t>31.7.2021</w:t>
      </w:r>
      <w:r>
        <w:t>.</w:t>
      </w:r>
    </w:p>
    <w:p w:rsidR="00C213DD" w:rsidRDefault="00C213DD" w:rsidP="00C213DD">
      <w:pPr>
        <w:pStyle w:val="Daltextbodudohody"/>
      </w:pPr>
    </w:p>
    <w:p w:rsidR="00C213DD" w:rsidRDefault="00C213DD" w:rsidP="00C213DD">
      <w:pPr>
        <w:keepNext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</w:t>
      </w: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C213DD" w:rsidTr="001D631E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13DD" w:rsidRDefault="00C213DD" w:rsidP="001D631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13DD" w:rsidRDefault="00C213DD" w:rsidP="001D631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C213DD" w:rsidRDefault="00C213DD" w:rsidP="001D631E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:rsidR="00C213DD" w:rsidRDefault="00C213DD" w:rsidP="001D631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C213DD" w:rsidTr="001D631E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213DD" w:rsidRDefault="00C213DD" w:rsidP="001D631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9629 Pomocní a nekvalifikovaní pracovníci ve službách jinde neuvedení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</w:tr>
      <w:tr w:rsidR="00C213DD" w:rsidTr="001D631E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13DD" w:rsidRDefault="00C213DD" w:rsidP="001D631E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</w:tr>
    </w:tbl>
    <w:p w:rsidR="00C213DD" w:rsidRDefault="00C213DD" w:rsidP="00C213DD">
      <w:pPr>
        <w:pStyle w:val="lnek"/>
      </w:pPr>
    </w:p>
    <w:p w:rsidR="00C213DD" w:rsidRDefault="00C213DD" w:rsidP="00C213DD">
      <w:pPr>
        <w:jc w:val="left"/>
      </w:pPr>
      <w:r>
        <w:t>Dosavadní text článku Ill.1 dohody se nahrazuje textem:</w:t>
      </w:r>
    </w:p>
    <w:p w:rsidR="00C213DD" w:rsidRDefault="00C213DD" w:rsidP="00C213DD">
      <w:pPr>
        <w:pStyle w:val="lnek"/>
      </w:pPr>
      <w:r>
        <w:t>Článek III</w:t>
      </w:r>
    </w:p>
    <w:p w:rsidR="00C213DD" w:rsidRDefault="00C213DD" w:rsidP="00C213DD">
      <w:pPr>
        <w:pStyle w:val="lnek"/>
      </w:pPr>
      <w:r>
        <w:t>Výše a termín poskytnutí příspěvku</w:t>
      </w:r>
    </w:p>
    <w:p w:rsidR="00C213DD" w:rsidRDefault="00C213DD" w:rsidP="00C213DD">
      <w:pPr>
        <w:pStyle w:val="Boddohody"/>
        <w:numPr>
          <w:ilvl w:val="0"/>
          <w:numId w:val="20"/>
        </w:numPr>
      </w:pPr>
      <w:r>
        <w:t>Úřad práce se zavazuje poskytnout zaměstnavateli příspěvek ve výši</w:t>
      </w:r>
      <w:r>
        <w:rPr>
          <w:b/>
          <w:bCs/>
        </w:rPr>
        <w:t xml:space="preserve"> </w:t>
      </w:r>
      <w: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82,38 % je hrazeno z prostředků ESF a 17,62 % je hrazeno ze státního rozpočtu ČR.</w:t>
      </w:r>
    </w:p>
    <w:p w:rsidR="00C213DD" w:rsidRDefault="00C213DD" w:rsidP="00C213DD">
      <w:pPr>
        <w:rPr>
          <w:rFonts w:cs="Arial"/>
          <w:szCs w:val="20"/>
        </w:rPr>
      </w:pPr>
    </w:p>
    <w:p w:rsidR="00C213DD" w:rsidRDefault="00C213DD" w:rsidP="00C213DD">
      <w:pPr>
        <w:keepNext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tabMístaPříspěvek</w:t>
      </w: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61"/>
        <w:gridCol w:w="1474"/>
        <w:gridCol w:w="242"/>
        <w:gridCol w:w="1475"/>
      </w:tblGrid>
      <w:tr w:rsidR="00C213DD" w:rsidTr="001D631E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13DD" w:rsidRDefault="00C213DD" w:rsidP="001D631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13DD" w:rsidRDefault="00C213DD" w:rsidP="001D631E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13DD" w:rsidRDefault="00C213DD" w:rsidP="001D631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C213DD" w:rsidRDefault="00C213DD" w:rsidP="001D631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13DD" w:rsidRDefault="00C213DD" w:rsidP="001D631E">
            <w:pPr>
              <w:pStyle w:val="NormalBefore1pt"/>
            </w:pPr>
            <w:r>
              <w:t>Max. měsíční výše příspěvku</w:t>
            </w:r>
          </w:p>
          <w:p w:rsidR="00C213DD" w:rsidRDefault="00C213DD" w:rsidP="001D631E">
            <w:pPr>
              <w:pStyle w:val="NormalBefore1pt"/>
            </w:pPr>
            <w:r>
              <w:t>na 1 pracovní místo (Kč)</w:t>
            </w:r>
          </w:p>
        </w:tc>
      </w:tr>
      <w:tr w:rsidR="00C213DD" w:rsidTr="001D631E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213DD" w:rsidRDefault="00C213DD" w:rsidP="001D631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9629 Pomocní a nekvalifikovaní pracovníci ve službách jinde neuvedení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11 250,--</w:t>
            </w:r>
          </w:p>
        </w:tc>
      </w:tr>
      <w:tr w:rsidR="00C213DD" w:rsidTr="001D631E">
        <w:trPr>
          <w:cantSplit/>
          <w:trHeight w:val="70"/>
        </w:trPr>
        <w:tc>
          <w:tcPr>
            <w:tcW w:w="608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213DD" w:rsidRDefault="00C213DD" w:rsidP="001D631E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C213DD" w:rsidRDefault="00C213DD" w:rsidP="001D631E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C213DD" w:rsidRDefault="00C213DD" w:rsidP="00C213DD">
      <w:pPr>
        <w:pStyle w:val="Boddohody"/>
        <w:numPr>
          <w:ilvl w:val="0"/>
          <w:numId w:val="0"/>
        </w:numPr>
        <w:tabs>
          <w:tab w:val="left" w:pos="708"/>
        </w:tabs>
        <w:ind w:left="350"/>
        <w:rPr>
          <w:rStyle w:val="FontStyle21"/>
          <w:szCs w:val="18"/>
        </w:rPr>
      </w:pPr>
      <w:r>
        <w:t>Součet poskytnutých měsíčních příspěvků nepřekročí částku 136 543,-</w:t>
      </w:r>
      <w:r>
        <w:rPr>
          <w:sz w:val="18"/>
          <w:szCs w:val="18"/>
        </w:rPr>
        <w:t xml:space="preserve"> Kč. </w:t>
      </w:r>
    </w:p>
    <w:p w:rsidR="00C213DD" w:rsidRDefault="00C213DD" w:rsidP="00C213D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213DD" w:rsidRDefault="00C213DD" w:rsidP="00C213DD"/>
    <w:p w:rsidR="00C213DD" w:rsidRDefault="00C213DD" w:rsidP="00C213DD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213DD" w:rsidRDefault="00C213DD" w:rsidP="00C213DD"/>
    <w:p w:rsidR="00C213DD" w:rsidRPr="008F4CCC" w:rsidRDefault="00C213DD" w:rsidP="00C213DD"/>
    <w:p w:rsidR="00C213DD" w:rsidRDefault="00C213DD" w:rsidP="00C213DD">
      <w:pPr>
        <w:keepNext/>
        <w:keepLines/>
        <w:tabs>
          <w:tab w:val="left" w:pos="2520"/>
        </w:tabs>
      </w:pPr>
      <w:r w:rsidRPr="008F4CCC">
        <w:t>Dodatek nabývá platnosti dnem jeho podpisu oběma smluvními stranami</w:t>
      </w:r>
      <w:r>
        <w:t xml:space="preserve"> a účinnosti od 1.10.2020.</w:t>
      </w:r>
    </w:p>
    <w:p w:rsidR="00C213DD" w:rsidRDefault="00C213DD" w:rsidP="00C213DD"/>
    <w:p w:rsidR="00C213DD" w:rsidRDefault="00C213DD" w:rsidP="00C213DD">
      <w:pPr>
        <w:pStyle w:val="Boddohody"/>
        <w:numPr>
          <w:ilvl w:val="0"/>
          <w:numId w:val="0"/>
        </w:numPr>
      </w:pPr>
      <w:r>
        <w:t>Dodatek</w:t>
      </w:r>
      <w:r w:rsidRPr="00264657">
        <w:t>, na n</w:t>
      </w:r>
      <w:r>
        <w:t>ějž</w:t>
      </w:r>
      <w:r w:rsidRPr="00264657">
        <w:t xml:space="preserve"> se vztahuje povinnost uveřejnění prostřednictvím Registru smluv, nabývá účinnosti dnem uveřejnění. </w:t>
      </w:r>
      <w:r>
        <w:t>Dodatek, na něj</w:t>
      </w:r>
      <w:r w:rsidRPr="00264657">
        <w:t>ž se nevztahuje povinnost uveřejnění prostřednictvím Registru smluv, nabývá účinnosti dnem jejího podpisu oběma smluvními stranami nebo dnem, který si smluvní strany v dohodě sjednají.</w:t>
      </w:r>
    </w:p>
    <w:p w:rsidR="00C213DD" w:rsidRPr="00810C29" w:rsidRDefault="00C213DD" w:rsidP="00C213DD"/>
    <w:p w:rsidR="00C213DD" w:rsidRPr="008F1A38" w:rsidRDefault="00C213DD" w:rsidP="00C213D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C213DD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Přerově</w:t>
      </w:r>
      <w:r w:rsidR="002F33B3" w:rsidRPr="008F1A38">
        <w:rPr>
          <w:rFonts w:cs="Arial"/>
          <w:szCs w:val="20"/>
        </w:rPr>
        <w:t xml:space="preserve"> dne </w:t>
      </w: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C213DD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2F33B3" w:rsidRPr="008F1A38" w:rsidRDefault="002A3E99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  <w:bookmarkStart w:id="0" w:name="_GoBack"/>
      <w:bookmarkEnd w:id="0"/>
      <w:r w:rsidR="00C213DD">
        <w:tab/>
      </w:r>
      <w:r w:rsidR="00C213DD">
        <w:br/>
        <w:t>ředitel</w:t>
      </w:r>
    </w:p>
    <w:p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2F33B3" w:rsidRDefault="00C213DD" w:rsidP="002F33B3">
      <w:pPr>
        <w:keepNext/>
        <w:keepLines/>
        <w:jc w:val="center"/>
        <w:rPr>
          <w:rFonts w:cs="Arial"/>
          <w:szCs w:val="20"/>
        </w:rPr>
      </w:pPr>
      <w:r w:rsidRPr="00C213DD">
        <w:rPr>
          <w:rFonts w:cs="Arial"/>
          <w:szCs w:val="20"/>
        </w:rPr>
        <w:t xml:space="preserve">Ing. </w:t>
      </w:r>
      <w:r>
        <w:t>Vlastimil Přidal</w:t>
      </w:r>
    </w:p>
    <w:p w:rsidR="005C2C44" w:rsidRDefault="00C213DD" w:rsidP="005C2C44">
      <w:pPr>
        <w:keepNext/>
        <w:keepLines/>
        <w:jc w:val="center"/>
        <w:rPr>
          <w:rFonts w:cs="Arial"/>
          <w:szCs w:val="20"/>
        </w:rPr>
      </w:pPr>
      <w:r w:rsidRPr="00C213DD">
        <w:rPr>
          <w:rFonts w:cs="Arial"/>
          <w:szCs w:val="20"/>
        </w:rPr>
        <w:t>ředitel Kontaktního</w:t>
      </w:r>
      <w:r>
        <w:t xml:space="preserve"> pracoviště v Přerově</w:t>
      </w:r>
    </w:p>
    <w:p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C213D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C213D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C213DD" w:rsidRPr="00C213DD">
        <w:rPr>
          <w:rFonts w:cs="Arial"/>
          <w:szCs w:val="20"/>
        </w:rPr>
        <w:t>Iva Němcová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213DD" w:rsidRPr="00C213DD">
        <w:rPr>
          <w:rFonts w:cs="Arial"/>
          <w:szCs w:val="20"/>
        </w:rPr>
        <w:t>950 155</w:t>
      </w:r>
      <w:r w:rsidR="00C213DD">
        <w:t xml:space="preserve"> 552</w:t>
      </w:r>
    </w:p>
    <w:sectPr w:rsidR="002F33B3" w:rsidSect="00C213DD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A8" w:rsidRDefault="00673EA8">
      <w:r>
        <w:separator/>
      </w:r>
    </w:p>
  </w:endnote>
  <w:endnote w:type="continuationSeparator" w:id="0">
    <w:p w:rsidR="00673EA8" w:rsidRDefault="006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A8" w:rsidRDefault="00673EA8">
      <w:r>
        <w:separator/>
      </w:r>
    </w:p>
  </w:footnote>
  <w:footnote w:type="continuationSeparator" w:id="0">
    <w:p w:rsidR="00673EA8" w:rsidRDefault="0067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D9" w:rsidRDefault="002A3E99" w:rsidP="00FD7529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74" w:rsidRDefault="00343FD2">
    <w:pPr>
      <w:pStyle w:val="Zhlav"/>
    </w:pPr>
    <w:r>
      <w:rPr>
        <w:noProof/>
      </w:rPr>
      <w:object w:dxaOrig="1440" w:dyaOrig="1440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63051783" r:id="rId3"/>
        <o:OLEObject Type="Embed" ProgID="Word.Picture.8" ShapeID="_x0000_s2057" DrawAspect="Content" ObjectID="_1663051784" r:id="rId4"/>
      </w:obje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99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04DF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D631E"/>
    <w:rsid w:val="001E0873"/>
    <w:rsid w:val="001E45E4"/>
    <w:rsid w:val="001E62C8"/>
    <w:rsid w:val="0020384A"/>
    <w:rsid w:val="00213BE9"/>
    <w:rsid w:val="00220EA0"/>
    <w:rsid w:val="00222815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A3E99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13E1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3FD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73EA8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126F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213DD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42816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EC8BF81"/>
  <w15:chartTrackingRefBased/>
  <w15:docId w15:val="{226F3BC0-AAA9-4813-A3F0-8E7CA05D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FontStyle21">
    <w:name w:val="Font Style21"/>
    <w:uiPriority w:val="99"/>
    <w:rsid w:val="00C213DD"/>
    <w:rPr>
      <w:rFonts w:ascii="Arial" w:hAnsi="Arial" w:cs="Arial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.nemcova\Desktop\Charit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Charita</Template>
  <TotalTime>1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Němcová Iva (UPM-PRA)</dc:creator>
  <cp:keywords/>
  <dc:description>Předloha byla vytvořena v informačním systému OKpráce.</dc:description>
  <cp:lastModifiedBy>Němcová Iva (UPM-PRA)</cp:lastModifiedBy>
  <cp:revision>2</cp:revision>
  <cp:lastPrinted>1601-01-01T00:00:00Z</cp:lastPrinted>
  <dcterms:created xsi:type="dcterms:W3CDTF">2020-10-01T08:02:00Z</dcterms:created>
  <dcterms:modified xsi:type="dcterms:W3CDTF">2020-10-01T08:03:00Z</dcterms:modified>
</cp:coreProperties>
</file>