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24AF" w14:textId="18C6AB99" w:rsidR="0017177B" w:rsidRPr="0017177B" w:rsidRDefault="0017177B" w:rsidP="0017177B">
      <w:pPr>
        <w:pStyle w:val="Nadpis2"/>
      </w:pPr>
      <w:r w:rsidRPr="0017177B">
        <w:t>RÁMCOVÁ KUPNÍ SMLOUVA</w:t>
      </w:r>
    </w:p>
    <w:p w14:paraId="56042085" w14:textId="77777777" w:rsidR="0017177B" w:rsidRPr="0017177B" w:rsidRDefault="0017177B" w:rsidP="0017177B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7177B">
        <w:rPr>
          <w:rFonts w:ascii="Arial" w:hAnsi="Arial" w:cs="Arial"/>
          <w:b/>
          <w:sz w:val="32"/>
          <w:szCs w:val="32"/>
        </w:rPr>
        <w:t xml:space="preserve"> </w:t>
      </w:r>
      <w:r w:rsidRPr="0017177B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619E63F5" w14:textId="2CAE8C7C" w:rsidR="006937FF" w:rsidRPr="0017177B" w:rsidRDefault="0017177B" w:rsidP="0017177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17177B">
        <w:rPr>
          <w:rFonts w:ascii="Arial" w:hAnsi="Arial" w:cs="Arial"/>
          <w:b/>
          <w:sz w:val="28"/>
          <w:szCs w:val="28"/>
        </w:rPr>
        <w:t>„dodávka respirátorů typu FFP</w:t>
      </w:r>
      <w:r>
        <w:rPr>
          <w:rFonts w:ascii="Arial" w:hAnsi="Arial" w:cs="Arial"/>
          <w:b/>
          <w:sz w:val="28"/>
          <w:szCs w:val="28"/>
        </w:rPr>
        <w:t xml:space="preserve">3 </w:t>
      </w:r>
      <w:r w:rsidRPr="0017177B">
        <w:rPr>
          <w:rFonts w:ascii="Arial" w:hAnsi="Arial" w:cs="Arial"/>
          <w:b/>
          <w:sz w:val="28"/>
          <w:szCs w:val="28"/>
        </w:rPr>
        <w:t>s výdechovým ventilem“</w:t>
      </w:r>
    </w:p>
    <w:p w14:paraId="6C6FD18B" w14:textId="77777777" w:rsidR="0017177B" w:rsidRDefault="0017177B" w:rsidP="0017177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146DA7D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4DCCA3EB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CC8" w14:textId="77777777" w:rsidR="00C72BBA" w:rsidRPr="00942780" w:rsidRDefault="00C72BBA" w:rsidP="006937FF">
      <w:pPr>
        <w:widowControl w:val="0"/>
        <w:suppressAutoHyphens/>
        <w:rPr>
          <w:rFonts w:ascii="Arial" w:hAnsi="Arial" w:cs="Arial"/>
        </w:rPr>
      </w:pPr>
    </w:p>
    <w:p w14:paraId="175E913C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Název příspěvkové organizace: Zařízení sociální intervence Kladno</w:t>
      </w:r>
    </w:p>
    <w:p w14:paraId="21F655F5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Jana Palacha 1643, Kladno, 272 01 Kladno 1</w:t>
      </w:r>
    </w:p>
    <w:p w14:paraId="024C6376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71234489</w:t>
      </w:r>
    </w:p>
    <w:p w14:paraId="479055F9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nejsme plátci DPH</w:t>
      </w:r>
    </w:p>
    <w:p w14:paraId="073EFC77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zapsaná v obchodním rejstříku </w:t>
      </w:r>
      <w:proofErr w:type="gramStart"/>
      <w:r>
        <w:rPr>
          <w:rFonts w:ascii="Arial" w:hAnsi="Arial" w:cs="Arial"/>
        </w:rPr>
        <w:t>vedeném  Městským</w:t>
      </w:r>
      <w:proofErr w:type="gramEnd"/>
      <w:r>
        <w:rPr>
          <w:rFonts w:ascii="Arial" w:hAnsi="Arial" w:cs="Arial"/>
        </w:rPr>
        <w:t xml:space="preserve"> soudem v Praze,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, vložka 991 </w:t>
      </w:r>
    </w:p>
    <w:p w14:paraId="166824E5" w14:textId="77777777" w:rsidR="00B1218D" w:rsidRDefault="00B1218D" w:rsidP="00B1218D">
      <w:pPr>
        <w:widowControl w:val="0"/>
        <w:suppressAutoHyphens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za níž jedná:</w:t>
      </w:r>
      <w:r>
        <w:rPr>
          <w:rFonts w:ascii="Arial" w:hAnsi="Arial" w:cs="Arial"/>
        </w:rPr>
        <w:tab/>
        <w:t>PhDr. Jana Petráková</w:t>
      </w:r>
    </w:p>
    <w:p w14:paraId="345C197E" w14:textId="34CFA38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</w:p>
    <w:p w14:paraId="4C4AC85F" w14:textId="7D535D1F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/>
    </w:p>
    <w:p w14:paraId="6BF5B6EE" w14:textId="0228572A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77C12C" w14:textId="60A4A51F" w:rsidR="00B1218D" w:rsidRDefault="00B1218D" w:rsidP="00B1218D">
      <w:pPr>
        <w:widowControl w:val="0"/>
        <w:suppressAutoHyphens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293A8070" w14:textId="275F7F51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5E1F28" w14:textId="15A403DF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DE0C88" w14:textId="77777777" w:rsidR="00B1218D" w:rsidRDefault="00B1218D" w:rsidP="00B1218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q72mvn8</w:t>
      </w:r>
    </w:p>
    <w:p w14:paraId="27760FAE" w14:textId="77777777" w:rsidR="00A67102" w:rsidRPr="00942780" w:rsidRDefault="00A67102" w:rsidP="00A67102">
      <w:pPr>
        <w:widowControl w:val="0"/>
        <w:suppressAutoHyphens/>
        <w:rPr>
          <w:rFonts w:ascii="Arial" w:hAnsi="Arial" w:cs="Arial"/>
        </w:rPr>
      </w:pPr>
    </w:p>
    <w:p w14:paraId="2AE37C33" w14:textId="5000AC26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9177EF">
        <w:rPr>
          <w:rFonts w:ascii="Arial" w:hAnsi="Arial" w:cs="Arial"/>
          <w:b/>
        </w:rPr>
        <w:t xml:space="preserve"> – </w:t>
      </w:r>
      <w:r w:rsidR="009177EF">
        <w:rPr>
          <w:rFonts w:ascii="Arial" w:hAnsi="Arial" w:cs="Arial"/>
          <w:bCs/>
        </w:rPr>
        <w:t xml:space="preserve">v přílohách této rámcové smlouvy jako </w:t>
      </w:r>
      <w:r w:rsidR="009177EF" w:rsidRPr="001C24C6">
        <w:rPr>
          <w:rFonts w:ascii="Arial" w:hAnsi="Arial" w:cs="Arial"/>
        </w:rPr>
        <w:t>„</w:t>
      </w:r>
      <w:r w:rsidR="009177EF" w:rsidRPr="001C24C6">
        <w:rPr>
          <w:rStyle w:val="CZZkladntexttunChar"/>
          <w:rFonts w:ascii="Arial" w:hAnsi="Arial" w:cs="Arial"/>
        </w:rPr>
        <w:t>zadavatel</w:t>
      </w:r>
      <w:r w:rsidR="009177EF" w:rsidRPr="001C24C6">
        <w:rPr>
          <w:rFonts w:ascii="Arial" w:hAnsi="Arial" w:cs="Arial"/>
        </w:rPr>
        <w:t>“</w:t>
      </w:r>
      <w:r w:rsidRPr="001C24C6">
        <w:rPr>
          <w:rFonts w:ascii="Arial" w:hAnsi="Arial" w:cs="Arial"/>
        </w:rPr>
        <w:t>)</w:t>
      </w:r>
    </w:p>
    <w:p w14:paraId="742089FD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1F5AAA7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44A854C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9E8AE4A" w14:textId="77777777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1E734C7D" w14:textId="77777777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proofErr w:type="spellStart"/>
      <w:r w:rsidRPr="00042877">
        <w:rPr>
          <w:rFonts w:ascii="Arial" w:eastAsia="Calibri" w:hAnsi="Arial" w:cs="Arial"/>
          <w:b/>
          <w:bCs/>
          <w:color w:val="000000"/>
          <w:sz w:val="23"/>
          <w:szCs w:val="23"/>
        </w:rPr>
        <w:t>Brownie</w:t>
      </w:r>
      <w:proofErr w:type="spellEnd"/>
      <w:r w:rsidRPr="00042877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spol. s r.o. </w:t>
      </w:r>
    </w:p>
    <w:p w14:paraId="484A17B3" w14:textId="080CB45A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se sídlem: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Libušina 101, 779 00 Olomouc </w:t>
      </w:r>
    </w:p>
    <w:p w14:paraId="5D7C0205" w14:textId="6A6F9525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IČO: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42869404 </w:t>
      </w:r>
    </w:p>
    <w:p w14:paraId="79666B68" w14:textId="55B98BF9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DIČ: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CZ42869404 </w:t>
      </w:r>
    </w:p>
    <w:p w14:paraId="69335CB4" w14:textId="77777777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zapsaná v obchodním rejstříku vedeném Krajským soudem v </w:t>
      </w:r>
      <w:proofErr w:type="gramStart"/>
      <w:r w:rsidRPr="00042877">
        <w:rPr>
          <w:rFonts w:ascii="Arial" w:eastAsia="Calibri" w:hAnsi="Arial" w:cs="Arial"/>
          <w:color w:val="000000"/>
          <w:sz w:val="23"/>
          <w:szCs w:val="23"/>
        </w:rPr>
        <w:t>Ostravě ,</w:t>
      </w:r>
      <w:proofErr w:type="gramEnd"/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spisová značka C 1993 </w:t>
      </w:r>
    </w:p>
    <w:p w14:paraId="72786331" w14:textId="42A94EFC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>za n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>íž</w:t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jedná: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Bc. Tomáš Luňák </w:t>
      </w:r>
    </w:p>
    <w:p w14:paraId="0F824E08" w14:textId="5EACF458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bankovní spojení: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</w:t>
      </w:r>
    </w:p>
    <w:p w14:paraId="14F84CDF" w14:textId="2C26CD47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e-mail: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</w:t>
      </w:r>
    </w:p>
    <w:p w14:paraId="14A9B0D3" w14:textId="7BB4EA6A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Kontaktní osoba: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PaedDr. Jaroslav Luňák </w:t>
      </w:r>
    </w:p>
    <w:p w14:paraId="4CF14FC4" w14:textId="679DF98D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>tel: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</w:t>
      </w:r>
    </w:p>
    <w:p w14:paraId="608DE61F" w14:textId="327B917B" w:rsidR="00042877" w:rsidRPr="00042877" w:rsidRDefault="00042877" w:rsidP="0004287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e-mail: 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</w:t>
      </w:r>
    </w:p>
    <w:p w14:paraId="3EC21DE3" w14:textId="2CDCCFA2" w:rsidR="006937FF" w:rsidRPr="00942780" w:rsidRDefault="00042877" w:rsidP="00042877">
      <w:pPr>
        <w:widowControl w:val="0"/>
        <w:suppressAutoHyphens/>
        <w:rPr>
          <w:rFonts w:ascii="Arial" w:hAnsi="Arial" w:cs="Arial"/>
        </w:rPr>
      </w:pPr>
      <w:r w:rsidRPr="00042877">
        <w:rPr>
          <w:rFonts w:ascii="Arial" w:eastAsia="Calibri" w:hAnsi="Arial" w:cs="Arial"/>
          <w:color w:val="000000"/>
          <w:sz w:val="23"/>
          <w:szCs w:val="23"/>
        </w:rPr>
        <w:t>Datová schránka:</w:t>
      </w:r>
      <w:r w:rsidR="00B17DBF">
        <w:rPr>
          <w:rFonts w:ascii="Arial" w:eastAsia="Calibri" w:hAnsi="Arial" w:cs="Arial"/>
          <w:color w:val="000000"/>
          <w:sz w:val="23"/>
          <w:szCs w:val="23"/>
        </w:rPr>
        <w:tab/>
      </w:r>
      <w:r w:rsidRPr="00042877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proofErr w:type="spellStart"/>
      <w:r w:rsidRPr="00042877">
        <w:rPr>
          <w:rFonts w:ascii="Arial" w:eastAsia="Calibri" w:hAnsi="Arial" w:cs="Arial"/>
          <w:color w:val="000000"/>
          <w:sz w:val="23"/>
          <w:szCs w:val="23"/>
        </w:rPr>
        <w:t>jniswpi</w:t>
      </w:r>
      <w:proofErr w:type="spellEnd"/>
    </w:p>
    <w:p w14:paraId="3801532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DFAFC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14:paraId="1167FA88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D02E99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3C7B91E" w14:textId="404FFF31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177EF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</w:t>
      </w:r>
      <w:r w:rsidR="009177EF">
        <w:rPr>
          <w:rFonts w:ascii="Arial" w:hAnsi="Arial" w:cs="Arial"/>
        </w:rPr>
        <w:t>l</w:t>
      </w:r>
      <w:r w:rsidRPr="001C24C6">
        <w:rPr>
          <w:rFonts w:ascii="Arial" w:hAnsi="Arial" w:cs="Arial"/>
        </w:rPr>
        <w:t xml:space="preserve">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0159262" w14:textId="77777777" w:rsidR="006937FF" w:rsidRPr="00942780" w:rsidRDefault="006937FF" w:rsidP="006937FF">
      <w:pPr>
        <w:rPr>
          <w:rFonts w:ascii="Arial" w:hAnsi="Arial" w:cs="Arial"/>
        </w:rPr>
      </w:pPr>
    </w:p>
    <w:p w14:paraId="469D9550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lastRenderedPageBreak/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FFP3 s výdechovým ventilem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2676047E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189714DE" w14:textId="73F454FA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B1218D">
        <w:rPr>
          <w:rFonts w:eastAsia="Calibri"/>
          <w:sz w:val="24"/>
          <w:lang w:eastAsia="en-US"/>
        </w:rPr>
        <w:t>Zařízení sociální intervence Kladno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770839E0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11A12D2E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6F4EF947" w14:textId="4F43FEEB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B1218D">
        <w:rPr>
          <w:rFonts w:eastAsia="Calibri"/>
          <w:sz w:val="24"/>
          <w:lang w:eastAsia="en-US"/>
        </w:rPr>
        <w:t xml:space="preserve">Zařízení sociální intervence Kladno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43BE0224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6B6507E7" w14:textId="106693DE" w:rsidR="006937FF" w:rsidRPr="00BC5BCE" w:rsidRDefault="00C14CEE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B1218D">
        <w:rPr>
          <w:rFonts w:eastAsia="Calibri"/>
          <w:sz w:val="24"/>
          <w:lang w:eastAsia="en-US"/>
        </w:rPr>
        <w:t>Zařízení sociální intervence Kladno</w:t>
      </w:r>
      <w:r w:rsidR="00A67102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06725C" w:rsidRPr="0006725C">
        <w:rPr>
          <w:rFonts w:cs="Arial"/>
          <w:bCs/>
          <w:sz w:val="24"/>
        </w:rPr>
        <w:t>2 346</w:t>
      </w:r>
      <w:r w:rsidR="0006725C">
        <w:rPr>
          <w:rFonts w:cs="Arial"/>
          <w:bCs/>
          <w:sz w:val="24"/>
        </w:rPr>
        <w:t> </w:t>
      </w:r>
      <w:r w:rsidR="0006725C" w:rsidRPr="0006725C">
        <w:rPr>
          <w:rFonts w:cs="Arial"/>
          <w:bCs/>
          <w:sz w:val="24"/>
        </w:rPr>
        <w:t>064</w:t>
      </w:r>
      <w:r w:rsidR="0006725C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 w:rsidR="009177EF">
        <w:rPr>
          <w:rFonts w:eastAsia="Calibri"/>
          <w:snapToGrid w:val="0"/>
          <w:sz w:val="24"/>
        </w:rPr>
        <w:t xml:space="preserve"> souhrnně pro všechny </w:t>
      </w:r>
      <w:proofErr w:type="spellStart"/>
      <w:r w:rsidR="009177EF">
        <w:rPr>
          <w:rFonts w:eastAsia="Calibri"/>
          <w:snapToGrid w:val="0"/>
          <w:sz w:val="24"/>
        </w:rPr>
        <w:t>obednatele</w:t>
      </w:r>
      <w:proofErr w:type="spellEnd"/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1DED072E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293936AB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12F3187D" w14:textId="4A244790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9177EF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12FF2923" w14:textId="77777777" w:rsidR="006937FF" w:rsidRPr="00443F06" w:rsidRDefault="006937FF" w:rsidP="006937FF">
      <w:pPr>
        <w:rPr>
          <w:rFonts w:ascii="Arial" w:hAnsi="Arial" w:cs="Arial"/>
        </w:rPr>
      </w:pPr>
    </w:p>
    <w:p w14:paraId="61D9E041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7E7D14D2" w14:textId="5A87ED04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9177EF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FFP3 s výdechovým ventilem</w:t>
      </w:r>
      <w:r w:rsidR="00C41723">
        <w:rPr>
          <w:sz w:val="24"/>
        </w:rPr>
        <w:t>.</w:t>
      </w:r>
      <w:r w:rsidRPr="007E41B4">
        <w:rPr>
          <w:bCs/>
          <w:sz w:val="24"/>
        </w:rPr>
        <w:t xml:space="preserve"> </w:t>
      </w:r>
    </w:p>
    <w:p w14:paraId="1F94BC1E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2801A03E" w14:textId="6C2DA120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9177EF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616D4017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7409CD4" w14:textId="2B2ADCB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</w:t>
      </w:r>
      <w:r w:rsidR="006937FF" w:rsidRPr="00AC0931">
        <w:rPr>
          <w:rFonts w:cs="Arial"/>
          <w:sz w:val="24"/>
        </w:rPr>
        <w:t>dodavatel</w:t>
      </w:r>
      <w:r w:rsidR="001B0E89"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4CD4F20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13615DDD" w14:textId="0FBB99DD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95A9598" w14:textId="77777777" w:rsidR="006937FF" w:rsidRPr="00443F06" w:rsidRDefault="006937FF" w:rsidP="006937FF">
      <w:pPr>
        <w:rPr>
          <w:rFonts w:ascii="Arial" w:hAnsi="Arial" w:cs="Arial"/>
        </w:rPr>
      </w:pPr>
    </w:p>
    <w:p w14:paraId="4329A56F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2FBC7C86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6D01FB6A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00171071" w14:textId="70BD0751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9177EF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0FDE6724" w14:textId="5AA2F1F9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9177EF">
        <w:rPr>
          <w:rFonts w:eastAsia="Calibri"/>
          <w:sz w:val="24"/>
          <w:lang w:eastAsia="en-US"/>
        </w:rPr>
        <w:t>objedn</w:t>
      </w:r>
      <w:r w:rsidRPr="00D50226">
        <w:rPr>
          <w:rFonts w:eastAsia="Calibri"/>
          <w:sz w:val="24"/>
          <w:lang w:eastAsia="en-US"/>
        </w:rPr>
        <w:t>atelem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9177EF">
        <w:rPr>
          <w:rFonts w:eastAsia="Calibri"/>
          <w:sz w:val="24"/>
          <w:lang w:eastAsia="en-US"/>
        </w:rPr>
        <w:t>.</w:t>
      </w:r>
    </w:p>
    <w:p w14:paraId="62278A5F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21F45226" w14:textId="0B3E6C47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20375A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20375A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20375A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20375A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20375A">
        <w:rPr>
          <w:rFonts w:eastAsia="Calibri"/>
          <w:sz w:val="24"/>
          <w:lang w:eastAsia="en-US"/>
        </w:rPr>
        <w:t>objedn</w:t>
      </w:r>
      <w:r w:rsidRPr="00AE449A">
        <w:rPr>
          <w:rFonts w:eastAsia="Calibri"/>
          <w:sz w:val="24"/>
          <w:lang w:eastAsia="en-US"/>
        </w:rPr>
        <w:t>atelem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20375A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350031D4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63846A6E" w14:textId="1A7A4E16" w:rsidR="006937FF" w:rsidRPr="00AE449A" w:rsidRDefault="0020375A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="006937FF" w:rsidRPr="00AE449A">
        <w:rPr>
          <w:rFonts w:eastAsia="Calibri"/>
          <w:sz w:val="24"/>
          <w:lang w:eastAsia="en-US"/>
        </w:rPr>
        <w:t>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="006937FF"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="006937FF" w:rsidRPr="00AE449A">
        <w:rPr>
          <w:rFonts w:eastAsia="Calibri"/>
          <w:sz w:val="24"/>
          <w:lang w:eastAsia="en-US"/>
        </w:rPr>
        <w:t>ení objednávky potom odešle zpět jím podepsanou o</w:t>
      </w:r>
      <w:r w:rsidR="006937FF">
        <w:rPr>
          <w:rFonts w:eastAsia="Calibri"/>
          <w:sz w:val="24"/>
          <w:lang w:eastAsia="en-US"/>
        </w:rPr>
        <w:t xml:space="preserve">bjednávku k podpisu </w:t>
      </w:r>
      <w:r w:rsidR="00C14CEE">
        <w:rPr>
          <w:rFonts w:eastAsia="Calibri"/>
          <w:sz w:val="24"/>
          <w:lang w:eastAsia="en-US"/>
        </w:rPr>
        <w:t>objednateli</w:t>
      </w:r>
      <w:r w:rsidR="006937FF" w:rsidRPr="00AE449A">
        <w:rPr>
          <w:rFonts w:eastAsia="Calibri"/>
          <w:sz w:val="24"/>
          <w:lang w:eastAsia="en-US"/>
        </w:rPr>
        <w:t>.</w:t>
      </w:r>
    </w:p>
    <w:p w14:paraId="69F3E4A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4C990EE6" w14:textId="16AF8222" w:rsidR="006937FF" w:rsidRPr="00D434F4" w:rsidRDefault="0020375A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26DD7B0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65A03DB2" w14:textId="66200FB7" w:rsidR="006937FF" w:rsidRPr="00E41085" w:rsidRDefault="0020375A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4F6BC5D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749152FE" w14:textId="6DAA4D66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1293A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0629D995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0E8CCD9F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4AB911D8" w14:textId="7A620AD0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rámcovým dodavatel</w:t>
      </w:r>
      <w:r w:rsidR="0020375A">
        <w:rPr>
          <w:rFonts w:cs="Arial"/>
          <w:sz w:val="24"/>
        </w:rPr>
        <w:t>em</w:t>
      </w:r>
      <w:r>
        <w:rPr>
          <w:rFonts w:cs="Arial"/>
          <w:sz w:val="24"/>
        </w:rPr>
        <w:t xml:space="preserve">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EE777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F68FA13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043BBF3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323647F" w14:textId="06BC0425" w:rsidR="006937FF" w:rsidRDefault="0051293A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73841185" w14:textId="77777777" w:rsidR="0020375A" w:rsidRPr="0020375A" w:rsidRDefault="0020375A" w:rsidP="0020375A">
      <w:pPr>
        <w:spacing w:after="240"/>
        <w:jc w:val="both"/>
        <w:rPr>
          <w:rFonts w:cs="Arial"/>
        </w:rPr>
      </w:pPr>
    </w:p>
    <w:p w14:paraId="7FD3027F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0" w:name="_Ref191706177"/>
      <w:r w:rsidRPr="00830C96">
        <w:rPr>
          <w:b/>
          <w:sz w:val="24"/>
        </w:rPr>
        <w:t xml:space="preserve">Místo </w:t>
      </w:r>
      <w:bookmarkEnd w:id="0"/>
      <w:r w:rsidRPr="00830C96">
        <w:rPr>
          <w:b/>
          <w:sz w:val="24"/>
        </w:rPr>
        <w:t>plnění</w:t>
      </w:r>
    </w:p>
    <w:p w14:paraId="5D13C257" w14:textId="5282D388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1293A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1293A">
        <w:rPr>
          <w:sz w:val="24"/>
        </w:rPr>
        <w:t>e</w:t>
      </w:r>
      <w:r>
        <w:rPr>
          <w:sz w:val="24"/>
        </w:rPr>
        <w:t>:</w:t>
      </w:r>
    </w:p>
    <w:p w14:paraId="5A136C47" w14:textId="75016F57" w:rsidR="006937FF" w:rsidRPr="00B1218D" w:rsidRDefault="0051293A" w:rsidP="006937FF">
      <w:pPr>
        <w:pStyle w:val="Odstavecseseznamem"/>
        <w:spacing w:after="240"/>
        <w:ind w:left="426"/>
        <w:jc w:val="both"/>
        <w:rPr>
          <w:sz w:val="24"/>
        </w:rPr>
      </w:pPr>
      <w:r w:rsidRPr="00B1218D">
        <w:rPr>
          <w:sz w:val="24"/>
        </w:rPr>
        <w:t>Nemocnice Středočeského kraje a.s., Zborovská 81/11, 150 00 Praha – Smíchov, tel.: 257 280 166</w:t>
      </w:r>
    </w:p>
    <w:p w14:paraId="1789FBBC" w14:textId="04F6EEE6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1293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238B26FA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2C6309D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6E7CEF0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49EA66F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407CC49B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0D8F54F7" w14:textId="4E273C39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51293A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EBB355C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EFAFC02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7DA2E703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D855BE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023392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253983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6C02EE56" w14:textId="77777777" w:rsidR="00882FFB" w:rsidRPr="00882FFB" w:rsidRDefault="00882FFB" w:rsidP="00882FFB">
      <w:pPr>
        <w:spacing w:after="240"/>
        <w:jc w:val="both"/>
      </w:pPr>
    </w:p>
    <w:p w14:paraId="477E4537" w14:textId="0032673E" w:rsidR="006937FF" w:rsidRPr="00D34A19" w:rsidRDefault="0051293A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2321F14" w14:textId="78122BE5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67DF22C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7645DDF8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71615D57" w14:textId="7365217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6E2785">
        <w:rPr>
          <w:sz w:val="24"/>
        </w:rPr>
        <w:t>zástupcem centrálního</w:t>
      </w:r>
      <w:r>
        <w:rPr>
          <w:sz w:val="24"/>
        </w:rPr>
        <w:t xml:space="preserve"> zadavatele.</w:t>
      </w:r>
    </w:p>
    <w:p w14:paraId="3F46C253" w14:textId="06622C6D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6E2785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1899BD67" w14:textId="4FF8148F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6E2785">
        <w:rPr>
          <w:sz w:val="24"/>
        </w:rPr>
        <w:t xml:space="preserve">Centrální </w:t>
      </w:r>
      <w:proofErr w:type="gramStart"/>
      <w:r w:rsidR="006E2785">
        <w:rPr>
          <w:sz w:val="24"/>
        </w:rPr>
        <w:t xml:space="preserve">zadavatel </w:t>
      </w:r>
      <w:r w:rsidRPr="00DA3224">
        <w:rPr>
          <w:sz w:val="24"/>
        </w:rPr>
        <w:t xml:space="preserve"> je</w:t>
      </w:r>
      <w:proofErr w:type="gramEnd"/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>oprávněn stanovit jiné datum, nebo jinou hodinu uskutečnění dodávky, pokud mu navrhovaný termín nevyhovuje, a dodavatel je tento termín povinen respektovat.</w:t>
      </w:r>
    </w:p>
    <w:p w14:paraId="5D03C453" w14:textId="452D31B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6E2785">
        <w:rPr>
          <w:sz w:val="24"/>
        </w:rPr>
        <w:t xml:space="preserve">prostřednictvím datové schránky centrálního zadavatele: </w:t>
      </w:r>
      <w:proofErr w:type="spellStart"/>
      <w:r w:rsidR="006E2785" w:rsidRPr="006E2785">
        <w:rPr>
          <w:color w:val="00B0F0"/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748F8EEC" w14:textId="0AAFD9B2" w:rsidR="006937FF" w:rsidRDefault="006E2785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426AEDB8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1B2E7A99" w14:textId="5C9E1F13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6E2785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6121EF62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6DE97E75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1A532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297C58F6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26D8DD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5FE82F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69722D2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5C3AA567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50E84CC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7AD5C7B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765B2FAF" w14:textId="713B4E1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EA11F7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234150F9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D6C28BB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" w:name="_Ref191459542"/>
      <w:r w:rsidRPr="00AF10E1">
        <w:rPr>
          <w:b/>
          <w:sz w:val="24"/>
        </w:rPr>
        <w:t>Záruční podmínky a záruční doby</w:t>
      </w:r>
      <w:bookmarkEnd w:id="1"/>
    </w:p>
    <w:p w14:paraId="49637B07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0873A75E" w14:textId="4053CA47" w:rsidR="006937FF" w:rsidRPr="00AF10E1" w:rsidRDefault="00EA11F7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57E8833C" w14:textId="75B3AF93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 xml:space="preserve">Běh záruční doby začíná ode dne převzetí zboží </w:t>
      </w:r>
      <w:r w:rsidR="00EA11F7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EA11F7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0DFF769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1C74E72E" w14:textId="575E8F5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EA11F7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EA11F7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EA11F7">
        <w:rPr>
          <w:sz w:val="24"/>
        </w:rPr>
        <w:t xml:space="preserve">centrálního </w:t>
      </w:r>
      <w:r w:rsidRPr="00AF10E1">
        <w:rPr>
          <w:sz w:val="24"/>
        </w:rPr>
        <w:t>zadavatele na základě podepsaného dodacího listu</w:t>
      </w:r>
      <w:r w:rsidRPr="00D35988">
        <w:rPr>
          <w:sz w:val="24"/>
        </w:rPr>
        <w:t>.</w:t>
      </w:r>
    </w:p>
    <w:p w14:paraId="4BD59A44" w14:textId="67018CD5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EA11F7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EA11F7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C8BF247" w14:textId="31B9DB4B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EA11F7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7FDA63E2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836C9FD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2" w:name="_Ref193791042"/>
      <w:bookmarkStart w:id="3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68EFD689" w14:textId="2CF6E6FF" w:rsidR="006937FF" w:rsidRPr="00D35988" w:rsidRDefault="00EA11F7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540627B3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0B2DE761" w14:textId="5625964F" w:rsidR="006937FF" w:rsidRPr="00A046ED" w:rsidRDefault="00EA11F7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7B12368C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lastRenderedPageBreak/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04C38F8D" w14:textId="3104584A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EA11F7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5D66BCE8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4" w:name="_Toc189304622"/>
      <w:bookmarkStart w:id="5" w:name="_Toc189305397"/>
      <w:bookmarkStart w:id="6" w:name="_Toc189464818"/>
      <w:bookmarkStart w:id="7" w:name="_Toc190702839"/>
      <w:bookmarkStart w:id="8" w:name="_Toc191118419"/>
      <w:bookmarkStart w:id="9" w:name="_Toc189304623"/>
      <w:bookmarkStart w:id="10" w:name="_Toc189305398"/>
      <w:bookmarkStart w:id="11" w:name="_Toc189464819"/>
      <w:bookmarkStart w:id="12" w:name="_Toc190702840"/>
      <w:bookmarkStart w:id="13" w:name="_Toc1911184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942B6">
        <w:rPr>
          <w:rFonts w:cs="Arial"/>
          <w:b/>
          <w:sz w:val="24"/>
        </w:rPr>
        <w:t>Reklamace</w:t>
      </w:r>
    </w:p>
    <w:p w14:paraId="496A0252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02E7EF2A" w14:textId="4124E66B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EA11F7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6CEDCE7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8FD37B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454EBE32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4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4"/>
    </w:p>
    <w:p w14:paraId="78E35AC7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451E839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3EAB4F70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4D1340C5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6A8B18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40AFCB2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3119712" w14:textId="0A235CDB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EA11F7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EA11F7">
        <w:rPr>
          <w:sz w:val="24"/>
        </w:rPr>
        <w:t>objednatel</w:t>
      </w:r>
      <w:r w:rsidRPr="00A14420">
        <w:rPr>
          <w:sz w:val="24"/>
        </w:rPr>
        <w:t>.</w:t>
      </w:r>
    </w:p>
    <w:p w14:paraId="44DD69B3" w14:textId="2B3EB16C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EA11F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7D2CE1E6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3DE327A5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4E74BEC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6FC7D05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5F8FFFE7" w14:textId="243DD333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EA11F7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2593595" w14:textId="0E778E7B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EA11F7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236967DA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1DC1DE0E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317079FB" w14:textId="221A973C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EA11F7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4304632E" w14:textId="37D85935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EA11F7">
        <w:rPr>
          <w:rFonts w:cs="Arial"/>
          <w:sz w:val="24"/>
        </w:rPr>
        <w:t>Objednate</w:t>
      </w:r>
      <w:r w:rsidRPr="00815FCD">
        <w:rPr>
          <w:rFonts w:cs="Arial"/>
          <w:sz w:val="24"/>
        </w:rPr>
        <w:t>l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A5DC31D" w14:textId="1C26BC7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EA11F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1A12FC7D" w14:textId="68057053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EA11F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656D0FCA" w14:textId="1A827191" w:rsidR="006937FF" w:rsidRPr="00AA0709" w:rsidRDefault="00EA11F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2403A40F" w14:textId="78062D90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EA11F7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3AB9879A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7A93E29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16692EFA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5C3BD834" w14:textId="7B07980B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EA11F7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EE2233F" w14:textId="422538F6" w:rsidR="006937FF" w:rsidRDefault="00EA11F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446F185B" w14:textId="5A375C9E" w:rsidR="006937FF" w:rsidRPr="00EE0A0E" w:rsidRDefault="00EA11F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75062742" w14:textId="10B221EF" w:rsidR="006937FF" w:rsidRPr="00EE0A0E" w:rsidRDefault="00EA11F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81D04C4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5C4C9B5C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1F0EF31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1314EB51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49444F7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67268D99" w14:textId="2FC254AA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EA11F7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4D130691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6DEFB64D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203188B5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7564E6A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350AF700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00B2813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B13AFA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D46C55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3F0D1224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737DB4C2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388C73D5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7F4487DE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031D5985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7FFFF30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52ED8CEF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7E449C04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29223493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2047AD44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78CED694" w14:textId="112E792F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EA11F7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320AD38B" w14:textId="424D898F" w:rsidR="006937FF" w:rsidRPr="00EC13B5" w:rsidRDefault="00EA11F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64624500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28FDF21C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313DDF3C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DA9CA14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65BA2D77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326F2405" w14:textId="56E9D715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D43EE5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6CC59BF8" w14:textId="1B3CF19D" w:rsidR="006937FF" w:rsidRPr="00EA11F7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EA11F7">
        <w:rPr>
          <w:rFonts w:cs="Arial"/>
          <w:bCs/>
          <w:sz w:val="24"/>
        </w:rPr>
        <w:t>písemně dodavatele upozornil</w:t>
      </w:r>
      <w:r w:rsidR="00EA11F7">
        <w:rPr>
          <w:rFonts w:cs="Arial"/>
          <w:bCs/>
          <w:sz w:val="24"/>
        </w:rPr>
        <w:t>;</w:t>
      </w:r>
    </w:p>
    <w:p w14:paraId="73FD7639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5DAD4FBB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5CD8AFD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FDED56B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2AE75E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19EE5838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67BB176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0F7D0FE7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BD7C9B7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30623F2F" w14:textId="0C0DCC89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441EAF69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683C37F8" w14:textId="7C6F0E52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EA11F7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93C035A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3E5980DE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0AB19114" w14:textId="67D56D81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EA11F7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9176A3B" w14:textId="3EA1B548" w:rsidR="006937FF" w:rsidRDefault="00364C4A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72533B96" w14:textId="753AF158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364C4A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7E21E7BE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75C466C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13C3AF1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216FE1" w14:textId="7149B90C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ECDF91B" w14:textId="344CF9C5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3EDA7001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5D079F1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08702A0D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44C045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FAA1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3E0DE62" w14:textId="0816D083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364C4A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6EFBAB34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AE7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5A1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6F8A72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3CB39" w14:textId="474BD13A" w:rsidR="006937FF" w:rsidRPr="00443F06" w:rsidRDefault="00D43EE5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821C0" w14:textId="1EABCC0B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Dodavatel:</w:t>
            </w:r>
          </w:p>
          <w:p w14:paraId="323386A3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7DC0E46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C07C877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01A2772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50C167E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6BD1D1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40118B1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C11D0B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281C544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57799D0A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7A442EA3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D5A91D3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6992173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BA4EB6E" w14:textId="46313EA9" w:rsidR="006937FF" w:rsidRPr="00CF76E4" w:rsidRDefault="00D43EE5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937FF">
              <w:rPr>
                <w:rFonts w:ascii="Arial" w:hAnsi="Arial" w:cs="Arial"/>
                <w:b/>
              </w:rPr>
              <w:t xml:space="preserve">Doplní </w:t>
            </w:r>
            <w:r>
              <w:rPr>
                <w:rFonts w:ascii="Arial" w:hAnsi="Arial" w:cs="Arial"/>
                <w:b/>
              </w:rPr>
              <w:t>objednatel)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0E8ACB5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dodavatel)</w:t>
            </w:r>
          </w:p>
          <w:p w14:paraId="39367C1D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</w:tbl>
    <w:p w14:paraId="24BE15B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B538936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7A28C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3EC3A8E5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73332F95" w14:textId="77777777" w:rsidR="00822E7C" w:rsidRPr="00F4522A" w:rsidRDefault="00822E7C" w:rsidP="001B0E89">
      <w:pPr>
        <w:ind w:left="360" w:hanging="360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AC27D42" w14:textId="77777777" w:rsidTr="004A1A95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55188" w14:textId="77777777" w:rsidR="00822E7C" w:rsidRPr="00162097" w:rsidRDefault="00822E7C" w:rsidP="004A1A95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057F30" w14:textId="77777777" w:rsidR="00822E7C" w:rsidRPr="00162097" w:rsidRDefault="00822E7C" w:rsidP="004A1A95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D116D" w14:textId="77777777" w:rsidR="00822E7C" w:rsidRPr="00162097" w:rsidRDefault="00822E7C" w:rsidP="004A1A95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C72BBA" w:rsidRPr="003E0F6A" w14:paraId="4B894744" w14:textId="77777777" w:rsidTr="00D117CC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C1B93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 výdechovým ventilem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CCAC4FF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nevyšší stupeň ochrany dýchacích cest s vysoce účinnou filtrací minimálně 99 % (třída ochrany KN99 nebo N99) 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19F44860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KN99</w:t>
            </w:r>
          </w:p>
        </w:tc>
      </w:tr>
      <w:tr w:rsidR="00C72BBA" w:rsidRPr="003E0F6A" w14:paraId="007A8917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FE4FA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01802C88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chrání proti toxickým látkám, jako jsou viry, spory, bakterie, ale také třeba radioaktivní látky či karcinogeny do 50xNPK/PEL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2D390B7D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2BBA">
              <w:rPr>
                <w:b/>
                <w:bCs/>
                <w:i/>
                <w:iCs/>
                <w:sz w:val="20"/>
                <w:szCs w:val="20"/>
              </w:rPr>
              <w:t>viry,spory</w:t>
            </w:r>
            <w:proofErr w:type="gramEnd"/>
            <w:r w:rsidRPr="00C72BBA">
              <w:rPr>
                <w:b/>
                <w:bCs/>
                <w:i/>
                <w:iCs/>
                <w:sz w:val="20"/>
                <w:szCs w:val="20"/>
              </w:rPr>
              <w:t>,bakterie</w:t>
            </w:r>
            <w:proofErr w:type="spellEnd"/>
          </w:p>
        </w:tc>
      </w:tr>
      <w:tr w:rsidR="00C72BBA" w:rsidRPr="003E0F6A" w14:paraId="5E6DF01C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9EBB1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6403CD90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ergonomický tvar, lehká konstrukce, měkká těsnící linie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00F1FC6F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ANO</w:t>
            </w:r>
          </w:p>
        </w:tc>
      </w:tr>
      <w:tr w:rsidR="00C72BBA" w:rsidRPr="003E0F6A" w14:paraId="20191AD0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14E72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594B3C69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uchycení pomocí jednoho gumového pásku (gumičky) nebo nastavitelných nebo elastických upínacích pásků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36596F8C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b/>
                <w:bCs/>
                <w:i/>
                <w:iCs/>
                <w:sz w:val="20"/>
                <w:szCs w:val="20"/>
              </w:rPr>
              <w:t>Gumového pásku(gumičky)</w:t>
            </w:r>
          </w:p>
        </w:tc>
      </w:tr>
      <w:tr w:rsidR="00C72BBA" w:rsidRPr="003E0F6A" w14:paraId="17A8E93E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665F1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2221BA3A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výdechovým ventilem pro snížení výdechového odporu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02F1F74D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ANO</w:t>
            </w:r>
          </w:p>
        </w:tc>
      </w:tr>
      <w:tr w:rsidR="00C72BBA" w14:paraId="7A039E1C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89FB4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53E3A55D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jednorázové nebo opakované použití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5F4BCCFB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jednorázové</w:t>
            </w:r>
          </w:p>
        </w:tc>
      </w:tr>
      <w:tr w:rsidR="00C72BBA" w14:paraId="52B2F6DC" w14:textId="77777777" w:rsidTr="00D117CC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58BB5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565DA28D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možnost flexibilní korekce v oblasti nosu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6131E88B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ANO</w:t>
            </w:r>
          </w:p>
        </w:tc>
      </w:tr>
      <w:tr w:rsidR="00C72BBA" w:rsidRPr="003E0F6A" w14:paraId="59B1E87E" w14:textId="77777777" w:rsidTr="00D117CC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53202" w14:textId="77777777" w:rsidR="00C72BBA" w:rsidRPr="003E0F6A" w:rsidRDefault="00C72BBA" w:rsidP="00C72B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4C59A1" w14:textId="77777777" w:rsidR="00C72BBA" w:rsidRDefault="00C72BBA" w:rsidP="00C72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splňující certifikát EN 149:2001 + A1: 2009 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6C176CB2" w14:textId="77777777" w:rsidR="00C72BBA" w:rsidRPr="00C72BBA" w:rsidRDefault="00C72BBA" w:rsidP="00C72BBA">
            <w:pPr>
              <w:pStyle w:val="Default"/>
              <w:jc w:val="center"/>
              <w:rPr>
                <w:sz w:val="20"/>
                <w:szCs w:val="20"/>
              </w:rPr>
            </w:pPr>
            <w:r w:rsidRPr="00C72BBA">
              <w:rPr>
                <w:sz w:val="20"/>
                <w:szCs w:val="20"/>
              </w:rPr>
              <w:t>ANO</w:t>
            </w:r>
          </w:p>
        </w:tc>
      </w:tr>
    </w:tbl>
    <w:p w14:paraId="1930FF1F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07B7F778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379D7AB4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2F792980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5639F2B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0821EAF8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83FE950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66E664E6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2FB9A64B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002D63D1" w14:textId="77777777" w:rsidR="00C64401" w:rsidRDefault="00C64401" w:rsidP="00822E7C">
      <w:pPr>
        <w:jc w:val="both"/>
        <w:rPr>
          <w:rFonts w:ascii="Arial" w:hAnsi="Arial" w:cs="Arial"/>
          <w:b/>
        </w:rPr>
      </w:pPr>
    </w:p>
    <w:p w14:paraId="685AF0DC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03D72103" w14:textId="77777777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6F1A1FF7" w14:textId="77777777" w:rsidR="00C72BBA" w:rsidRDefault="00C72BBA" w:rsidP="00822E7C">
      <w:pPr>
        <w:rPr>
          <w:rFonts w:ascii="Arial" w:hAnsi="Arial" w:cs="Arial"/>
          <w:b/>
        </w:rPr>
      </w:pPr>
    </w:p>
    <w:p w14:paraId="5849498E" w14:textId="77777777" w:rsidR="00C72BBA" w:rsidRPr="000121D6" w:rsidRDefault="00C72BBA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75B15AB1" w14:textId="77777777" w:rsidTr="004A1A95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7AC1F" w14:textId="77777777" w:rsidR="00822E7C" w:rsidRPr="00E82698" w:rsidRDefault="00822E7C" w:rsidP="004A1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2EB70" w14:textId="77777777" w:rsidR="00822E7C" w:rsidRPr="00E82698" w:rsidRDefault="00822E7C" w:rsidP="004A1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FF2125" w14:textId="77777777" w:rsidR="00822E7C" w:rsidRPr="00E82698" w:rsidRDefault="00822E7C" w:rsidP="004A1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77336" w14:textId="77777777" w:rsidR="00822E7C" w:rsidRPr="00E82698" w:rsidRDefault="00822E7C" w:rsidP="004A1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BD89A" w14:textId="77777777" w:rsidR="00822E7C" w:rsidRPr="00E82698" w:rsidRDefault="00822E7C" w:rsidP="004A1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3F88E0C1" w14:textId="77777777" w:rsidTr="004A1A95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F134D5" w14:textId="77777777" w:rsidR="00822E7C" w:rsidRPr="003A1FF7" w:rsidRDefault="00822E7C" w:rsidP="004A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s výdechovým ventilem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84A505" w14:textId="77777777" w:rsidR="00822E7C" w:rsidRPr="002658CF" w:rsidRDefault="00822E7C" w:rsidP="004A1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20 947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BA243" w14:textId="77777777" w:rsidR="00822E7C" w:rsidRPr="002658CF" w:rsidRDefault="00C72BBA" w:rsidP="004A1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C97F8" w14:textId="77777777" w:rsidR="00822E7C" w:rsidRPr="002658CF" w:rsidRDefault="00C72BBA" w:rsidP="004A1A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6EBE56" w14:textId="77777777" w:rsidR="00822E7C" w:rsidRPr="002658CF" w:rsidRDefault="00C72BBA" w:rsidP="004A1A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119,19</w:t>
            </w:r>
          </w:p>
        </w:tc>
      </w:tr>
    </w:tbl>
    <w:p w14:paraId="01231B2B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3AD5E5F0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AE2ED33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2EB287A2" w14:textId="77777777" w:rsidR="00822E7C" w:rsidRDefault="00822E7C" w:rsidP="00822E7C">
      <w:pPr>
        <w:rPr>
          <w:rFonts w:ascii="Arial" w:hAnsi="Arial" w:cs="Arial"/>
          <w:b/>
        </w:rPr>
      </w:pPr>
    </w:p>
    <w:p w14:paraId="120A1DFB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147E454D" w14:textId="77777777" w:rsidR="00D8154D" w:rsidRDefault="00D8154D" w:rsidP="00203A6F">
      <w:pPr>
        <w:ind w:left="360" w:hanging="360"/>
        <w:jc w:val="both"/>
        <w:rPr>
          <w:rFonts w:ascii="Arial" w:hAnsi="Arial" w:cs="Arial"/>
          <w:b/>
        </w:rPr>
      </w:pPr>
    </w:p>
    <w:sectPr w:rsidR="00D8154D" w:rsidSect="000121D6">
      <w:headerReference w:type="first" r:id="rId11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CB0E" w14:textId="77777777" w:rsidR="00F64B64" w:rsidRDefault="00F64B64" w:rsidP="00E02BCE">
      <w:r>
        <w:separator/>
      </w:r>
    </w:p>
  </w:endnote>
  <w:endnote w:type="continuationSeparator" w:id="0">
    <w:p w14:paraId="64EABFE0" w14:textId="77777777" w:rsidR="00F64B64" w:rsidRDefault="00F64B64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926B" w14:textId="77777777" w:rsidR="00F64B64" w:rsidRDefault="00F64B64" w:rsidP="00E02BCE">
      <w:r>
        <w:separator/>
      </w:r>
    </w:p>
  </w:footnote>
  <w:footnote w:type="continuationSeparator" w:id="0">
    <w:p w14:paraId="048BC89A" w14:textId="77777777" w:rsidR="00F64B64" w:rsidRDefault="00F64B64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CE72" w14:textId="77777777" w:rsidR="00E748D3" w:rsidRDefault="00E748D3">
    <w:pPr>
      <w:pStyle w:val="Zhlav"/>
    </w:pPr>
  </w:p>
  <w:p w14:paraId="7A1EBD62" w14:textId="77777777" w:rsidR="00E748D3" w:rsidRDefault="00E748D3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0DB70C6C" wp14:editId="426449A6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 xml:space="preserve">Příloha č. </w:t>
    </w:r>
    <w:r w:rsidR="00AE499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ZD </w:t>
    </w:r>
    <w:r w:rsidR="005B07F0">
      <w:rPr>
        <w:rFonts w:ascii="Arial" w:hAnsi="Arial" w:cs="Arial"/>
        <w:sz w:val="20"/>
        <w:szCs w:val="20"/>
      </w:rPr>
      <w:t>část 1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FB77" w14:textId="77777777" w:rsidR="00822E7C" w:rsidRDefault="00822E7C">
    <w:pPr>
      <w:pStyle w:val="Zhlav"/>
    </w:pPr>
  </w:p>
  <w:p w14:paraId="092AD874" w14:textId="77777777" w:rsidR="00822E7C" w:rsidRDefault="00822E7C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2D34" w14:textId="77777777" w:rsidR="00E748D3" w:rsidRDefault="00E748D3">
    <w:pPr>
      <w:pStyle w:val="Zhlav"/>
    </w:pPr>
  </w:p>
  <w:p w14:paraId="6AFC22BE" w14:textId="77777777" w:rsidR="00E748D3" w:rsidRDefault="00E748D3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2877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6725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701E0"/>
    <w:rsid w:val="001714DC"/>
    <w:rsid w:val="0017177B"/>
    <w:rsid w:val="00172686"/>
    <w:rsid w:val="00180CAD"/>
    <w:rsid w:val="0018213F"/>
    <w:rsid w:val="0019066E"/>
    <w:rsid w:val="00193F6D"/>
    <w:rsid w:val="001A12FF"/>
    <w:rsid w:val="001A1D86"/>
    <w:rsid w:val="001A2848"/>
    <w:rsid w:val="001A3BA9"/>
    <w:rsid w:val="001A6A93"/>
    <w:rsid w:val="001B0512"/>
    <w:rsid w:val="001B0A8A"/>
    <w:rsid w:val="001B0E89"/>
    <w:rsid w:val="001B3656"/>
    <w:rsid w:val="001B54F3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75A"/>
    <w:rsid w:val="00203A6F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4D7D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6B26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C4A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293A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36EB2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2785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28C8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7EF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67102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18D"/>
    <w:rsid w:val="00B125C1"/>
    <w:rsid w:val="00B139FE"/>
    <w:rsid w:val="00B17491"/>
    <w:rsid w:val="00B17DBF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B521D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4CEE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4401"/>
    <w:rsid w:val="00C65053"/>
    <w:rsid w:val="00C67832"/>
    <w:rsid w:val="00C67D2C"/>
    <w:rsid w:val="00C71F05"/>
    <w:rsid w:val="00C72BBA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37BB0"/>
    <w:rsid w:val="00D404F6"/>
    <w:rsid w:val="00D40C7D"/>
    <w:rsid w:val="00D4117D"/>
    <w:rsid w:val="00D434F4"/>
    <w:rsid w:val="00D43EE5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8154D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11F7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47C6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4B64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88BCF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17177B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  <w:sz w:val="32"/>
      <w:szCs w:val="32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17177B"/>
    <w:rPr>
      <w:rFonts w:eastAsia="ヒラギノ角ゴ Pro W3"/>
      <w:b/>
      <w:sz w:val="32"/>
      <w:szCs w:val="32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i-klad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22F3F-8647-4B21-8E69-057EF16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4356</Words>
  <Characters>25702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polib si</cp:lastModifiedBy>
  <cp:revision>2</cp:revision>
  <cp:lastPrinted>2020-04-03T07:54:00Z</cp:lastPrinted>
  <dcterms:created xsi:type="dcterms:W3CDTF">2020-10-01T07:06:00Z</dcterms:created>
  <dcterms:modified xsi:type="dcterms:W3CDTF">2020-10-01T07:06:00Z</dcterms:modified>
</cp:coreProperties>
</file>