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2" w:left="0" w:right="0" w:bottom="43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202" style="position:absolute;margin-left:3.1pt;margin-top:0.1pt;width:232.8pt;height:182.4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none" w:pos="11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136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 xml:space="preserve">Inkasní data: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Komerční banka Třinec č. ú. 29034-781/0100 DIČ:</w:t>
                    <w:tab/>
                    <w:t>CZ00534242</w:t>
                  </w:r>
                </w:p>
                <w:p>
                  <w:pPr>
                    <w:pStyle w:val="Style6"/>
                    <w:tabs>
                      <w:tab w:leader="none" w:pos="11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</w:t>
                    <w:tab/>
                    <w:t>00534242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52"/>
                    <w:ind w:left="0" w:right="0" w:firstLine="0"/>
                  </w:pPr>
                  <w:r>
                    <w:rPr>
                      <w:rStyle w:val="CharStyle10"/>
                    </w:rPr>
                    <w:t>Organizace je zapsána v obchodním rejstříku vedeném u Krajského soudu v Ostravě v oddílu PR, vložce číslo 908</w:t>
                  </w:r>
                </w:p>
                <w:p>
                  <w:pPr>
                    <w:pStyle w:val="Style9"/>
                    <w:tabs>
                      <w:tab w:leader="none" w:pos="26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99" w:line="190" w:lineRule="exact"/>
                    <w:ind w:left="0" w:right="0" w:firstLine="0"/>
                  </w:pPr>
                  <w:r>
                    <w:rPr>
                      <w:rStyle w:val="CharStyle1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79" w:line="19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Dopravní dispozice: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08" w:line="19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Dodací lhůta: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color w:val="000000"/>
                      <w:position w:val="0"/>
                    </w:rPr>
                    <w:t>Specifikace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4.9pt;margin-top:0.1pt;width:204.7pt;height:15.6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tabs>
                      <w:tab w:leader="none" w:pos="2448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6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15"/>
                      <w:b/>
                      <w:bCs/>
                    </w:rPr>
                    <w:t xml:space="preserve">Objednávka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číslo:</w:t>
                    <w:tab/>
                    <w:t>TNv00009/2020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6.25pt;margin-top:49.75pt;width:82.3pt;height:78.9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17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CROSS Zlín, a.s. Hasičská 397 763 02 Zlín</w:t>
                  </w:r>
                  <w:bookmarkEnd w:id="2"/>
                </w:p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60715286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46.15pt;margin-top:167.5pt;width:87.1pt;height:11.3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0"/>
                    </w:rPr>
                    <w:t>Ze dne: 30.09.2020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00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32" w:left="641" w:right="594" w:bottom="43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363" w:left="0" w:right="0" w:bottom="447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5152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dodání a instalaci 1 ks automatické pokladny pro rozšíření parkovacího systému na horním parkovišti v rozsahu dle cenové nabídky číslo: NAB-2020-101-000380 ze dne 26. 5. 2020, cena 227 065,20 Kč vč. DPH.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24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splnění povinnosti zákona č. 340/2015 Sb. prosíme podepište akceptaci této objednávky a zašlete neprodleně zpět na e-mail vyhotovitele.</w:t>
      </w:r>
    </w:p>
    <w:p>
      <w:pPr>
        <w:pStyle w:val="Style9"/>
        <w:tabs>
          <w:tab w:leader="none" w:pos="2443" w:val="left"/>
          <w:tab w:leader="dot" w:pos="6741" w:val="left"/>
        </w:tabs>
        <w:widowControl w:val="0"/>
        <w:keepNext w:val="0"/>
        <w:keepLines w:val="0"/>
        <w:shd w:val="clear" w:color="auto" w:fill="auto"/>
        <w:bidi w:val="0"/>
        <w:spacing w:before="0" w:after="172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Objednávku akceptujeme: .</w:t>
        <w:tab/>
        <w:tab/>
        <w:t>(datum a podpis dodavatele)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Faktury zasílejte na adresu sídla naší organizace, nebo elektronicky na e-mail: </w:t>
      </w:r>
      <w:r>
        <w:fldChar w:fldCharType="begin"/>
      </w:r>
      <w:r>
        <w:rPr>
          <w:color w:val="000000"/>
        </w:rPr>
        <w:instrText> HYPERLINK "mailto:faktury@nemtr.cz"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faktury@nemtr.cz</w:t>
      </w:r>
      <w:r>
        <w:fldChar w:fldCharType="end"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1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083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závazkový právní vztah se řídí platným občanským zákoníkem a předpisy souvisejícími.</w:t>
      </w:r>
    </w:p>
    <w:p>
      <w:pPr>
        <w:pStyle w:val="Style9"/>
        <w:tabs>
          <w:tab w:leader="none" w:pos="6741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Vyhotovil: Galijaševičová Aurelie</w:t>
        <w:tab/>
      </w:r>
      <w:r>
        <w:rPr>
          <w:rStyle w:val="CharStyle19"/>
        </w:rPr>
        <w:t>Bc. Jaroslav Brzyszkowski</w:t>
      </w:r>
    </w:p>
    <w:p>
      <w:pPr>
        <w:pStyle w:val="Style9"/>
        <w:tabs>
          <w:tab w:leader="none" w:pos="6741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>
          <w:color w:val="000000"/>
        </w:rPr>
        <w:instrText> HYPERLINK "mailto:aurelie.galijasevicova@nemtr.cz"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aurelie.galijasevicova@nemtr.cz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ab/>
      </w:r>
      <w:r>
        <w:rPr>
          <w:rStyle w:val="CharStyle19"/>
        </w:rPr>
        <w:t>provozně-technický náměstek</w:t>
      </w:r>
    </w:p>
    <w:sectPr>
      <w:type w:val="continuous"/>
      <w:pgSz w:w="11900" w:h="16840"/>
      <w:pgMar w:top="5363" w:left="641" w:right="877" w:bottom="44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8pt;margin-top:39.9pt;width:527.3pt;height:12.9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054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er or footer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Header or footer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Body text (3) Exact"/>
    <w:basedOn w:val="DefaultParagraphFont"/>
    <w:link w:val="Style6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8">
    <w:name w:val="Body text (3) + Not Bold Exact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0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2">
    <w:name w:val="Heading #2 (2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50"/>
    </w:rPr>
  </w:style>
  <w:style w:type="character" w:customStyle="1" w:styleId="CharStyle14">
    <w:name w:val="Heading #1 Exact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Heading #1 + 13 pt Exact"/>
    <w:basedOn w:val="CharStyle14"/>
    <w:rPr>
      <w:lang w:val="cs-CZ" w:eastAsia="cs-CZ" w:bidi="cs-CZ"/>
      <w:sz w:val="26"/>
      <w:szCs w:val="26"/>
      <w:w w:val="100"/>
      <w:spacing w:val="0"/>
      <w:color w:val="000000"/>
      <w:position w:val="0"/>
    </w:rPr>
  </w:style>
  <w:style w:type="character" w:customStyle="1" w:styleId="CharStyle17">
    <w:name w:val="Heading #2 Exact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Body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9">
    <w:name w:val="Body text (2) + Bold"/>
    <w:basedOn w:val="CharStyle18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3">
    <w:name w:val="Header or footer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FFFFFF"/>
      <w:spacing w:line="3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9">
    <w:name w:val="Body text (2)"/>
    <w:basedOn w:val="Normal"/>
    <w:link w:val="CharStyle18"/>
    <w:pPr>
      <w:widowControl w:val="0"/>
      <w:shd w:val="clear" w:color="auto" w:fill="FFFFFF"/>
      <w:jc w:val="both"/>
      <w:spacing w:after="120" w:line="2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1">
    <w:name w:val="Heading #2 (2)"/>
    <w:basedOn w:val="Normal"/>
    <w:link w:val="CharStyle12"/>
    <w:pPr>
      <w:widowControl w:val="0"/>
      <w:shd w:val="clear" w:color="auto" w:fill="FFFFFF"/>
      <w:jc w:val="both"/>
      <w:outlineLvl w:val="1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50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FFFFFF"/>
      <w:outlineLvl w:val="1"/>
      <w:spacing w:after="120" w:line="34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