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1ED" w:rsidRPr="004A6423" w:rsidRDefault="00B851ED" w:rsidP="00B851ED">
      <w:pPr>
        <w:pStyle w:val="Nzev"/>
        <w:rPr>
          <w:rFonts w:ascii="Calibri" w:hAnsi="Calibri"/>
          <w:sz w:val="28"/>
          <w:u w:val="single"/>
        </w:rPr>
      </w:pPr>
    </w:p>
    <w:p w:rsidR="00B851ED" w:rsidRDefault="00B851ED" w:rsidP="00B851ED">
      <w:pPr>
        <w:pStyle w:val="Nzev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DODATEK Č. </w:t>
      </w:r>
      <w:r w:rsidR="00465590">
        <w:rPr>
          <w:rFonts w:ascii="Calibri" w:hAnsi="Calibri"/>
          <w:szCs w:val="24"/>
        </w:rPr>
        <w:t>4</w:t>
      </w:r>
      <w:r>
        <w:rPr>
          <w:rFonts w:ascii="Calibri" w:hAnsi="Calibri"/>
          <w:szCs w:val="24"/>
        </w:rPr>
        <w:t xml:space="preserve"> K PŘÍKAZNÍ SMLOUVĚ</w:t>
      </w:r>
    </w:p>
    <w:p w:rsidR="00B851ED" w:rsidRPr="004A6423" w:rsidRDefault="00B851ED" w:rsidP="00B851ED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</w:t>
      </w:r>
      <w:r w:rsidR="00474700" w:rsidRPr="00474700">
        <w:rPr>
          <w:rFonts w:ascii="Calibri" w:hAnsi="Calibri"/>
          <w:szCs w:val="24"/>
        </w:rPr>
        <w:t xml:space="preserve">OBSTARÁVÁNÍ DODÁVEK A SLUŽEB PŘI SPRÁVĚ </w:t>
      </w:r>
      <w:r w:rsidRPr="004A6423">
        <w:rPr>
          <w:rFonts w:ascii="Calibri" w:hAnsi="Calibri"/>
          <w:szCs w:val="24"/>
        </w:rPr>
        <w:t>NEMOVITOSTÍ</w:t>
      </w:r>
      <w:r w:rsidR="00D73A7A">
        <w:rPr>
          <w:rFonts w:ascii="Calibri" w:hAnsi="Calibri"/>
          <w:szCs w:val="24"/>
        </w:rPr>
        <w:t xml:space="preserve"> </w:t>
      </w:r>
      <w:r w:rsidR="00D73A7A" w:rsidRPr="00D73A7A">
        <w:rPr>
          <w:rFonts w:ascii="Calibri" w:hAnsi="Calibri"/>
          <w:szCs w:val="24"/>
        </w:rPr>
        <w:t>(2016/01122/OKÚ - OS)</w:t>
      </w:r>
    </w:p>
    <w:p w:rsidR="00B851ED" w:rsidRPr="004A6423" w:rsidRDefault="00B851ED" w:rsidP="00B851ED">
      <w:pPr>
        <w:jc w:val="both"/>
        <w:rPr>
          <w:rFonts w:ascii="Calibri" w:hAnsi="Calibri"/>
          <w:b/>
          <w:sz w:val="24"/>
        </w:rPr>
      </w:pPr>
    </w:p>
    <w:p w:rsidR="00B851ED" w:rsidRPr="004A6423" w:rsidRDefault="00B851ED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</w:t>
      </w:r>
      <w:r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podle § 1746 odst. 1, § 2430 a násl. zákona č. 89/2012 Sb., občanský zákoník</w:t>
      </w:r>
    </w:p>
    <w:p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:rsidR="00B851ED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mezi těmito smluvními stranami: </w:t>
      </w:r>
    </w:p>
    <w:p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Městská část Praha 3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B851ED">
        <w:rPr>
          <w:rFonts w:ascii="Calibri" w:eastAsia="Arial Unicode MS" w:hAnsi="Calibri"/>
          <w:bCs/>
          <w:sz w:val="22"/>
          <w:szCs w:val="22"/>
        </w:rPr>
        <w:t>000 63 517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B851ED" w:rsidRPr="004A6423" w:rsidRDefault="00B851ED" w:rsidP="00B851ED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bookmarkStart w:id="0" w:name="_Hlk26182758"/>
      <w:r w:rsidRPr="004A6423">
        <w:rPr>
          <w:rFonts w:ascii="Calibri" w:hAnsi="Calibri"/>
          <w:sz w:val="22"/>
          <w:szCs w:val="22"/>
        </w:rPr>
        <w:t xml:space="preserve">za níž jedná </w:t>
      </w:r>
      <w:r w:rsidR="00D65FD9">
        <w:rPr>
          <w:rFonts w:ascii="Calibri" w:eastAsia="Arial Unicode MS" w:hAnsi="Calibri"/>
          <w:bCs/>
          <w:sz w:val="22"/>
          <w:szCs w:val="22"/>
        </w:rPr>
        <w:t>Jiří Ptáček</w:t>
      </w:r>
      <w:r w:rsidRPr="004A6423">
        <w:rPr>
          <w:rFonts w:ascii="Calibri" w:eastAsia="Arial Unicode MS" w:hAnsi="Calibri"/>
          <w:bCs/>
          <w:sz w:val="22"/>
          <w:szCs w:val="22"/>
        </w:rPr>
        <w:t>, starost</w:t>
      </w:r>
      <w:r w:rsidR="00D65FD9">
        <w:rPr>
          <w:rFonts w:ascii="Calibri" w:eastAsia="Arial Unicode MS" w:hAnsi="Calibri"/>
          <w:bCs/>
          <w:sz w:val="22"/>
          <w:szCs w:val="22"/>
        </w:rPr>
        <w:t>a</w:t>
      </w:r>
      <w:r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bookmarkEnd w:id="0"/>
    <w:p w:rsidR="00B851ED" w:rsidRPr="004A6423" w:rsidRDefault="00B851ED" w:rsidP="00B851ED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:rsidR="00B851ED" w:rsidRPr="004A6423" w:rsidRDefault="00B851ED" w:rsidP="00B851ED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:rsidR="00B851ED" w:rsidRPr="004A6423" w:rsidRDefault="00B851ED" w:rsidP="00B851ED">
      <w:pPr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</w:p>
    <w:p w:rsidR="00B851ED" w:rsidRPr="004A6423" w:rsidRDefault="00B851ED" w:rsidP="00B851E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IČ: 285 33 062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se sídlem Praha 3, Žižkov, Olšanská 2666/7, PSČ 13000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proofErr w:type="spellStart"/>
      <w:r w:rsidRPr="004A6423">
        <w:rPr>
          <w:rFonts w:ascii="Calibri" w:hAnsi="Calibri"/>
          <w:sz w:val="22"/>
          <w:szCs w:val="22"/>
          <w:shd w:val="clear" w:color="auto" w:fill="FFFFFF"/>
        </w:rPr>
        <w:t>sp</w:t>
      </w:r>
      <w:proofErr w:type="spellEnd"/>
      <w:r w:rsidRPr="004A6423">
        <w:rPr>
          <w:rFonts w:ascii="Calibri" w:hAnsi="Calibri"/>
          <w:sz w:val="22"/>
          <w:szCs w:val="22"/>
          <w:shd w:val="clear" w:color="auto" w:fill="FFFFFF"/>
        </w:rPr>
        <w:t>.</w:t>
      </w:r>
      <w:r w:rsidR="00D65FD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>zn. B 15071 vedená u Městského soudu v Praze</w:t>
      </w:r>
    </w:p>
    <w:p w:rsidR="00B851ED" w:rsidRPr="00D65FD9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bookmarkStart w:id="1" w:name="_Hlk26182771"/>
      <w:r w:rsidRPr="004A6423">
        <w:rPr>
          <w:rFonts w:ascii="Calibri" w:hAnsi="Calibri"/>
          <w:sz w:val="22"/>
          <w:szCs w:val="22"/>
          <w:shd w:val="clear" w:color="auto" w:fill="FFFFFF"/>
        </w:rPr>
        <w:t>za níž jedná</w:t>
      </w:r>
      <w:r w:rsidR="00053EC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D65FD9"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 w:rsidR="00053EC9">
        <w:rPr>
          <w:rFonts w:ascii="Calibri" w:hAnsi="Calibri"/>
          <w:sz w:val="22"/>
          <w:szCs w:val="22"/>
          <w:shd w:val="clear" w:color="auto" w:fill="FFFFFF"/>
        </w:rPr>
        <w:t>, předseda představenstva</w:t>
      </w:r>
      <w:r w:rsidR="00973801">
        <w:rPr>
          <w:rFonts w:ascii="Calibri" w:hAnsi="Calibri"/>
          <w:sz w:val="22"/>
          <w:szCs w:val="22"/>
          <w:shd w:val="clear" w:color="auto" w:fill="FFFFFF"/>
        </w:rPr>
        <w:t xml:space="preserve"> a </w:t>
      </w:r>
      <w:r w:rsidR="00502EED">
        <w:rPr>
          <w:rFonts w:ascii="Calibri" w:hAnsi="Calibri"/>
          <w:sz w:val="22"/>
          <w:szCs w:val="22"/>
          <w:shd w:val="clear" w:color="auto" w:fill="FFFFFF"/>
        </w:rPr>
        <w:t>Ing. Robert Kufa</w:t>
      </w:r>
      <w:r w:rsidR="00053EC9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502EED">
        <w:rPr>
          <w:rFonts w:ascii="Calibri" w:hAnsi="Calibri"/>
          <w:sz w:val="22"/>
          <w:szCs w:val="22"/>
          <w:shd w:val="clear" w:color="auto" w:fill="FFFFFF"/>
        </w:rPr>
        <w:t xml:space="preserve">Ph.D., </w:t>
      </w:r>
      <w:r w:rsidR="00D65FD9">
        <w:rPr>
          <w:rFonts w:ascii="Calibri" w:hAnsi="Calibri"/>
          <w:sz w:val="22"/>
          <w:szCs w:val="22"/>
          <w:shd w:val="clear" w:color="auto" w:fill="FFFFFF"/>
        </w:rPr>
        <w:t xml:space="preserve">místopředseda </w:t>
      </w:r>
      <w:r w:rsidR="00053EC9">
        <w:rPr>
          <w:rFonts w:ascii="Calibri" w:hAnsi="Calibri"/>
          <w:sz w:val="22"/>
          <w:szCs w:val="22"/>
          <w:shd w:val="clear" w:color="auto" w:fill="FFFFFF"/>
        </w:rPr>
        <w:t>představenstva.</w:t>
      </w:r>
      <w:r w:rsidR="00053EC9"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bookmarkEnd w:id="1"/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ind w:left="1429"/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:rsidR="00B851ED" w:rsidRPr="004A6423" w:rsidRDefault="00B851ED" w:rsidP="00B851ED">
      <w:pPr>
        <w:ind w:left="1080"/>
        <w:rPr>
          <w:rFonts w:ascii="Calibri" w:hAnsi="Calibri"/>
          <w:b/>
          <w:sz w:val="22"/>
          <w:szCs w:val="22"/>
        </w:rPr>
      </w:pPr>
    </w:p>
    <w:p w:rsidR="00B851ED" w:rsidRDefault="0028719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Správce poskytuje služby v</w:t>
      </w:r>
      <w:r w:rsidR="00715E4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oblasti</w:t>
      </w:r>
      <w:r w:rsidR="00715E4A">
        <w:rPr>
          <w:rFonts w:ascii="Calibri" w:hAnsi="Calibri"/>
          <w:sz w:val="22"/>
          <w:szCs w:val="22"/>
        </w:rPr>
        <w:t xml:space="preserve"> obstarávání dodávek a služeb při </w:t>
      </w:r>
      <w:r>
        <w:rPr>
          <w:rFonts w:ascii="Calibri" w:hAnsi="Calibri"/>
          <w:sz w:val="22"/>
          <w:szCs w:val="22"/>
        </w:rPr>
        <w:t>správ</w:t>
      </w:r>
      <w:r w:rsidR="00715E4A">
        <w:rPr>
          <w:rFonts w:ascii="Calibri" w:hAnsi="Calibri"/>
          <w:sz w:val="22"/>
          <w:szCs w:val="22"/>
        </w:rPr>
        <w:t>ě</w:t>
      </w:r>
      <w:r>
        <w:rPr>
          <w:rFonts w:ascii="Calibri" w:hAnsi="Calibri"/>
          <w:sz w:val="22"/>
          <w:szCs w:val="22"/>
        </w:rPr>
        <w:t xml:space="preserve"> Nemovitostí pro Městskou část na základě </w:t>
      </w:r>
      <w:r w:rsidR="00053EC9">
        <w:rPr>
          <w:rFonts w:ascii="Calibri" w:hAnsi="Calibri"/>
          <w:sz w:val="22"/>
          <w:szCs w:val="22"/>
        </w:rPr>
        <w:t xml:space="preserve">příkazní </w:t>
      </w:r>
      <w:r>
        <w:rPr>
          <w:rFonts w:ascii="Calibri" w:hAnsi="Calibri"/>
          <w:sz w:val="22"/>
          <w:szCs w:val="22"/>
        </w:rPr>
        <w:t>smlouvy</w:t>
      </w:r>
      <w:r w:rsidR="00053EC9">
        <w:rPr>
          <w:rFonts w:ascii="Calibri" w:hAnsi="Calibri"/>
          <w:sz w:val="22"/>
          <w:szCs w:val="22"/>
        </w:rPr>
        <w:t xml:space="preserve"> o obstarávání dodávek a služeb při správě nemovitostí</w:t>
      </w:r>
      <w:r>
        <w:rPr>
          <w:rFonts w:ascii="Calibri" w:hAnsi="Calibri"/>
          <w:sz w:val="22"/>
          <w:szCs w:val="22"/>
        </w:rPr>
        <w:t xml:space="preserve"> </w:t>
      </w:r>
      <w:r w:rsidR="00053EC9">
        <w:rPr>
          <w:rFonts w:ascii="Calibri" w:hAnsi="Calibri"/>
          <w:sz w:val="22"/>
          <w:szCs w:val="22"/>
        </w:rPr>
        <w:t xml:space="preserve">ze dne </w:t>
      </w:r>
      <w:r w:rsidR="00894AA7">
        <w:rPr>
          <w:rFonts w:ascii="Calibri" w:hAnsi="Calibri"/>
          <w:sz w:val="22"/>
          <w:szCs w:val="22"/>
        </w:rPr>
        <w:t>21. 11. 2016</w:t>
      </w:r>
      <w:r w:rsidR="008330BE">
        <w:rPr>
          <w:rFonts w:ascii="Calibri" w:hAnsi="Calibri"/>
          <w:sz w:val="22"/>
          <w:szCs w:val="22"/>
        </w:rPr>
        <w:t>,</w:t>
      </w:r>
      <w:r w:rsidR="001A21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znění dodatk</w:t>
      </w:r>
      <w:r w:rsidR="00B629D5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č.</w:t>
      </w:r>
      <w:r w:rsidR="00894AA7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 xml:space="preserve"> ze dne</w:t>
      </w:r>
      <w:r w:rsidR="00894AA7">
        <w:rPr>
          <w:rFonts w:ascii="Calibri" w:hAnsi="Calibri"/>
          <w:sz w:val="22"/>
          <w:szCs w:val="22"/>
        </w:rPr>
        <w:t xml:space="preserve"> 2. 2. 2017</w:t>
      </w:r>
      <w:r w:rsidR="0002122F">
        <w:rPr>
          <w:rFonts w:ascii="Calibri" w:hAnsi="Calibri"/>
          <w:sz w:val="22"/>
          <w:szCs w:val="22"/>
        </w:rPr>
        <w:t>,</w:t>
      </w:r>
      <w:r w:rsidR="00D73A7A">
        <w:rPr>
          <w:rFonts w:ascii="Calibri" w:hAnsi="Calibri"/>
          <w:sz w:val="22"/>
          <w:szCs w:val="22"/>
        </w:rPr>
        <w:t xml:space="preserve"> dodatku č. 2 ze dne </w:t>
      </w:r>
      <w:r w:rsidR="00E0361A">
        <w:rPr>
          <w:rFonts w:ascii="Calibri" w:hAnsi="Calibri"/>
          <w:sz w:val="22"/>
          <w:szCs w:val="22"/>
        </w:rPr>
        <w:t>8. 6.</w:t>
      </w:r>
      <w:r w:rsidR="00D73A7A">
        <w:rPr>
          <w:rFonts w:ascii="Calibri" w:hAnsi="Calibri"/>
          <w:sz w:val="22"/>
          <w:szCs w:val="22"/>
        </w:rPr>
        <w:t xml:space="preserve"> 2018 </w:t>
      </w:r>
      <w:r w:rsidR="0002122F">
        <w:rPr>
          <w:rFonts w:ascii="Calibri" w:hAnsi="Calibri"/>
          <w:sz w:val="22"/>
          <w:szCs w:val="22"/>
        </w:rPr>
        <w:t xml:space="preserve">a dodatku č. 3 ze dne </w:t>
      </w:r>
      <w:r w:rsidR="00050368" w:rsidRPr="00050368">
        <w:rPr>
          <w:rFonts w:ascii="Calibri" w:hAnsi="Calibri"/>
          <w:sz w:val="22"/>
          <w:szCs w:val="22"/>
        </w:rPr>
        <w:t>17.</w:t>
      </w:r>
      <w:r w:rsidR="00050368">
        <w:rPr>
          <w:rFonts w:ascii="Calibri" w:hAnsi="Calibri"/>
          <w:sz w:val="22"/>
          <w:szCs w:val="22"/>
        </w:rPr>
        <w:t> </w:t>
      </w:r>
      <w:r w:rsidR="00050368" w:rsidRPr="00050368">
        <w:rPr>
          <w:rFonts w:ascii="Calibri" w:hAnsi="Calibri"/>
          <w:sz w:val="22"/>
          <w:szCs w:val="22"/>
        </w:rPr>
        <w:t>2. 2020</w:t>
      </w:r>
      <w:r w:rsidR="0002122F">
        <w:rPr>
          <w:rFonts w:ascii="Calibri" w:hAnsi="Calibri"/>
          <w:sz w:val="22"/>
          <w:szCs w:val="22"/>
        </w:rPr>
        <w:t xml:space="preserve"> </w:t>
      </w:r>
      <w:r w:rsidR="001A21F7">
        <w:rPr>
          <w:rFonts w:ascii="Calibri" w:hAnsi="Calibri"/>
          <w:sz w:val="22"/>
          <w:szCs w:val="22"/>
        </w:rPr>
        <w:t>(dále jen „smlouva o obstarávání“)</w:t>
      </w:r>
      <w:r w:rsidR="00894AA7">
        <w:rPr>
          <w:rFonts w:ascii="Calibri" w:hAnsi="Calibri"/>
          <w:sz w:val="22"/>
          <w:szCs w:val="22"/>
        </w:rPr>
        <w:t>.</w:t>
      </w:r>
    </w:p>
    <w:p w:rsidR="00AD6775" w:rsidRDefault="00AD6775" w:rsidP="00AD6775">
      <w:pPr>
        <w:ind w:left="709"/>
        <w:jc w:val="both"/>
        <w:rPr>
          <w:rFonts w:ascii="Calibri" w:hAnsi="Calibri"/>
          <w:sz w:val="22"/>
          <w:szCs w:val="22"/>
        </w:rPr>
      </w:pPr>
    </w:p>
    <w:p w:rsidR="00B851ED" w:rsidRDefault="00465590" w:rsidP="00465590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Dodatkem č. </w:t>
      </w:r>
      <w:r w:rsidR="0002122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ke smlouvě o obstarávání, schváleným usnesením Rady Městské části Praha 3 č. 890 ze dne 18.12.2019 se Příkazník a Příkazce dohodli na tom, že nejpozději do 31. března 2020 pro rok 2020 a v následujících letech vždy do 31. prosince předchozího kalendářního roku pro následující rok, ve kterém bude Správce Městské části poskytovat své služby, sjednají formou dodatku k této smlouvě (resp. oboustranným schválením nového Ceníku služeb) novou výši odměny, zohledňující reálnou výši vynakládaných nákladů v souvislosti s plněním smlouvy ze strany Správce a obvyklou (tržní) cenu služeb poskytovaných Správcem. Nová výše odměny platí od měsíce následujícího po účinnosti dohody o nové výši odměny. </w:t>
      </w:r>
    </w:p>
    <w:p w:rsidR="00F27F09" w:rsidRDefault="00F27F09" w:rsidP="00B851ED">
      <w:pPr>
        <w:pStyle w:val="Odstavecseseznamem"/>
        <w:rPr>
          <w:rFonts w:ascii="Calibri" w:hAnsi="Calibri"/>
          <w:sz w:val="22"/>
          <w:szCs w:val="22"/>
        </w:rPr>
      </w:pPr>
    </w:p>
    <w:p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smlouvy</w:t>
      </w:r>
    </w:p>
    <w:p w:rsidR="00B851ED" w:rsidRPr="004A6423" w:rsidRDefault="00B851ED" w:rsidP="00B851ED">
      <w:pPr>
        <w:ind w:left="360"/>
        <w:rPr>
          <w:rFonts w:ascii="Calibri" w:hAnsi="Calibri"/>
          <w:b/>
          <w:sz w:val="22"/>
          <w:szCs w:val="22"/>
        </w:rPr>
      </w:pPr>
    </w:p>
    <w:p w:rsidR="00571424" w:rsidRPr="00571424" w:rsidRDefault="00571424" w:rsidP="00571424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 na tom, že </w:t>
      </w:r>
      <w:r w:rsidRPr="00571424">
        <w:rPr>
          <w:rFonts w:ascii="Calibri" w:hAnsi="Calibri"/>
          <w:sz w:val="22"/>
        </w:rPr>
        <w:t>Příloha č. 2 smlouvy o obstarávání (Kvalitativní požadavky na smluvně zajišťované dodávky</w:t>
      </w:r>
      <w:r>
        <w:rPr>
          <w:rFonts w:ascii="Calibri" w:hAnsi="Calibri"/>
          <w:sz w:val="22"/>
        </w:rPr>
        <w:t xml:space="preserve"> a ceník služeb</w:t>
      </w:r>
      <w:r w:rsidRPr="00571424">
        <w:rPr>
          <w:rFonts w:ascii="Calibri" w:hAnsi="Calibri"/>
          <w:sz w:val="22"/>
        </w:rPr>
        <w:t xml:space="preserve">) se nahrazuje novou </w:t>
      </w:r>
      <w:r w:rsidRPr="00571424">
        <w:rPr>
          <w:rFonts w:ascii="Calibri" w:hAnsi="Calibri"/>
          <w:i/>
          <w:sz w:val="22"/>
        </w:rPr>
        <w:t>Přílohou č. 2 - Kvalitativní požadavky na smluvně zajišťované dodávky a ceník služeb</w:t>
      </w:r>
      <w:r w:rsidRPr="00571424">
        <w:rPr>
          <w:rFonts w:ascii="Calibri" w:hAnsi="Calibri"/>
          <w:sz w:val="22"/>
        </w:rPr>
        <w:t>, kter</w:t>
      </w:r>
      <w:r>
        <w:rPr>
          <w:rFonts w:ascii="Calibri" w:hAnsi="Calibri"/>
          <w:sz w:val="22"/>
        </w:rPr>
        <w:t>á</w:t>
      </w:r>
      <w:r w:rsidRPr="00571424">
        <w:rPr>
          <w:rFonts w:ascii="Calibri" w:hAnsi="Calibri"/>
          <w:sz w:val="22"/>
        </w:rPr>
        <w:t xml:space="preserve"> je </w:t>
      </w:r>
      <w:r>
        <w:rPr>
          <w:rFonts w:ascii="Calibri" w:hAnsi="Calibri"/>
          <w:sz w:val="22"/>
        </w:rPr>
        <w:t xml:space="preserve">uvedena </w:t>
      </w:r>
      <w:r w:rsidRPr="00571424">
        <w:rPr>
          <w:rFonts w:ascii="Calibri" w:hAnsi="Calibri"/>
          <w:sz w:val="22"/>
        </w:rPr>
        <w:t>v příloze tohoto dodatku.</w:t>
      </w:r>
    </w:p>
    <w:p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:rsidR="00571424" w:rsidRDefault="00571424" w:rsidP="00287190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ostatním zůstává smlouva o obstarávání beze změn.</w:t>
      </w:r>
    </w:p>
    <w:p w:rsidR="00571424" w:rsidRDefault="00571424" w:rsidP="00571424">
      <w:pPr>
        <w:pStyle w:val="Odstavecseseznamem"/>
        <w:rPr>
          <w:rFonts w:ascii="Calibri" w:hAnsi="Calibri"/>
          <w:sz w:val="22"/>
          <w:szCs w:val="22"/>
        </w:rPr>
      </w:pPr>
    </w:p>
    <w:p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:rsidR="00F27F09" w:rsidRPr="00B851ED" w:rsidRDefault="00F27F09" w:rsidP="003B607D">
      <w:pPr>
        <w:jc w:val="both"/>
        <w:rPr>
          <w:rFonts w:ascii="Calibri" w:hAnsi="Calibri"/>
          <w:b/>
          <w:sz w:val="22"/>
          <w:szCs w:val="22"/>
        </w:rPr>
      </w:pPr>
    </w:p>
    <w:p w:rsidR="00B851ED" w:rsidRPr="004A6423" w:rsidRDefault="00B851ED" w:rsidP="00B851ED">
      <w:pPr>
        <w:numPr>
          <w:ilvl w:val="0"/>
          <w:numId w:val="4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502EED" w:rsidRDefault="00502E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Smluvní strany se dohodly na tom, že ceny uvedené v Příloze č. 2 této smlouvy jsou závazné mezi smluvními stranami pro veškerá plnění poskytnutá ze strany Příkazníka </w:t>
      </w:r>
      <w:r w:rsidR="00097007">
        <w:rPr>
          <w:rFonts w:ascii="Calibri" w:hAnsi="Calibri"/>
          <w:sz w:val="22"/>
          <w:szCs w:val="22"/>
          <w:lang w:eastAsia="en-US"/>
        </w:rPr>
        <w:t xml:space="preserve">a odměnu za ně </w:t>
      </w:r>
      <w:r>
        <w:rPr>
          <w:rFonts w:ascii="Calibri" w:hAnsi="Calibri"/>
          <w:sz w:val="22"/>
          <w:szCs w:val="22"/>
          <w:lang w:eastAsia="en-US"/>
        </w:rPr>
        <w:t xml:space="preserve">ode dne 1. 4. 2020. Vypořádání fakturace cen vyúčtovaných před datem uzavření tohoto dodatku </w:t>
      </w:r>
      <w:r w:rsidR="00097007">
        <w:rPr>
          <w:rFonts w:ascii="Calibri" w:hAnsi="Calibri"/>
          <w:sz w:val="22"/>
          <w:szCs w:val="22"/>
          <w:lang w:eastAsia="en-US"/>
        </w:rPr>
        <w:t xml:space="preserve">za období od 1. 4. 2020 je </w:t>
      </w:r>
      <w:r>
        <w:rPr>
          <w:rFonts w:ascii="Calibri" w:hAnsi="Calibri"/>
          <w:sz w:val="22"/>
          <w:szCs w:val="22"/>
          <w:lang w:eastAsia="en-US"/>
        </w:rPr>
        <w:t xml:space="preserve">Příkazník </w:t>
      </w:r>
      <w:r w:rsidR="00097007">
        <w:rPr>
          <w:rFonts w:ascii="Calibri" w:hAnsi="Calibri"/>
          <w:sz w:val="22"/>
          <w:szCs w:val="22"/>
          <w:lang w:eastAsia="en-US"/>
        </w:rPr>
        <w:t xml:space="preserve">povinen provést </w:t>
      </w:r>
      <w:r>
        <w:rPr>
          <w:rFonts w:ascii="Calibri" w:hAnsi="Calibri"/>
          <w:sz w:val="22"/>
          <w:szCs w:val="22"/>
          <w:lang w:eastAsia="en-US"/>
        </w:rPr>
        <w:t>nejpozději do jednoho měsíce od nabytí účinnosti tohoto dodatku.</w:t>
      </w:r>
    </w:p>
    <w:p w:rsidR="00502EED" w:rsidRDefault="00502EED" w:rsidP="00502E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894AA7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894AA7">
        <w:rPr>
          <w:rFonts w:ascii="Calibri" w:hAnsi="Calibri"/>
          <w:sz w:val="22"/>
          <w:szCs w:val="22"/>
          <w:lang w:eastAsia="en-US"/>
        </w:rPr>
        <w:t>Tento dodatek nabývá platnosti dnem jeho podpisu oběma smluvními stranami</w:t>
      </w:r>
      <w:r w:rsidR="00A8151F" w:rsidRPr="00894AA7">
        <w:rPr>
          <w:rFonts w:ascii="Calibri" w:hAnsi="Calibri"/>
          <w:sz w:val="22"/>
          <w:szCs w:val="22"/>
          <w:lang w:eastAsia="en-US"/>
        </w:rPr>
        <w:t>. Ú</w:t>
      </w:r>
      <w:r w:rsidR="00AD6775" w:rsidRPr="00894AA7">
        <w:rPr>
          <w:rFonts w:ascii="Calibri" w:hAnsi="Calibri"/>
          <w:sz w:val="22"/>
          <w:szCs w:val="22"/>
          <w:lang w:eastAsia="en-US"/>
        </w:rPr>
        <w:t xml:space="preserve">činnosti </w:t>
      </w:r>
      <w:r w:rsidR="00A8151F" w:rsidRPr="00894AA7">
        <w:rPr>
          <w:rFonts w:ascii="Calibri" w:hAnsi="Calibri"/>
          <w:sz w:val="22"/>
          <w:szCs w:val="22"/>
          <w:lang w:eastAsia="en-US"/>
        </w:rPr>
        <w:t xml:space="preserve">tento dodatek </w:t>
      </w:r>
      <w:r w:rsidR="00AD6775" w:rsidRPr="00894AA7">
        <w:rPr>
          <w:rFonts w:ascii="Calibri" w:hAnsi="Calibri"/>
          <w:sz w:val="22"/>
          <w:szCs w:val="22"/>
          <w:lang w:eastAsia="en-US"/>
        </w:rPr>
        <w:t>nab</w:t>
      </w:r>
      <w:r w:rsidR="00FC2CA1">
        <w:rPr>
          <w:rFonts w:ascii="Calibri" w:hAnsi="Calibri"/>
          <w:sz w:val="22"/>
          <w:szCs w:val="22"/>
          <w:lang w:eastAsia="en-US"/>
        </w:rPr>
        <w:t>u</w:t>
      </w:r>
      <w:r w:rsidR="00AD6775" w:rsidRPr="00894AA7">
        <w:rPr>
          <w:rFonts w:ascii="Calibri" w:hAnsi="Calibri"/>
          <w:sz w:val="22"/>
          <w:szCs w:val="22"/>
          <w:lang w:eastAsia="en-US"/>
        </w:rPr>
        <w:t xml:space="preserve">de </w:t>
      </w:r>
      <w:r w:rsidR="00465590">
        <w:rPr>
          <w:rFonts w:ascii="Calibri" w:hAnsi="Calibri"/>
          <w:sz w:val="22"/>
          <w:szCs w:val="22"/>
          <w:lang w:eastAsia="en-US"/>
        </w:rPr>
        <w:t xml:space="preserve">prvním dnem měsíce následujícího od </w:t>
      </w:r>
      <w:r w:rsidRPr="00894AA7">
        <w:rPr>
          <w:rFonts w:ascii="Calibri" w:hAnsi="Calibri"/>
          <w:sz w:val="22"/>
          <w:szCs w:val="22"/>
          <w:lang w:eastAsia="en-US"/>
        </w:rPr>
        <w:t>zveřejněn</w:t>
      </w:r>
      <w:r w:rsidR="00465590">
        <w:rPr>
          <w:rFonts w:ascii="Calibri" w:hAnsi="Calibri"/>
          <w:sz w:val="22"/>
          <w:szCs w:val="22"/>
          <w:lang w:eastAsia="en-US"/>
        </w:rPr>
        <w:t>í tohoto dodatku.</w:t>
      </w:r>
      <w:r w:rsidR="00A8151F" w:rsidRPr="00894AA7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Smluvní strany vysloveně souhlasí s tím, aby </w:t>
      </w: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byl veden v Centrální evidenci smluv (CES) vedené </w:t>
      </w:r>
      <w:r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přístupná, a která obsahuje údaje o smluvních stranách, předmětu smlouvy, číselné označení této smlouvy, datum jejího podpisu a text této smlouvy.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</w:t>
      </w:r>
      <w:r>
        <w:rPr>
          <w:rFonts w:ascii="Calibri" w:hAnsi="Calibri"/>
          <w:sz w:val="22"/>
          <w:szCs w:val="22"/>
          <w:lang w:eastAsia="en-US"/>
        </w:rPr>
        <w:t> tomto dodatku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nepovažují za obchodní tajemství ve smyslu § 504 občanského zákoníku a udělují svolení k jejich užití a zveřejnění bez stanovení jakýchkoli dalších podmínek.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je vyhotoven ve třech stejnopisech, z nichž Správce obdrží jedno vyhotovení a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dvě vyhotovení.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E0361A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V souladu s § 43 odst. 1 zákona č. 131/2000 Sb., o hlavním městě Praze, ve znění pozdějších předpisů, tímto </w:t>
      </w:r>
      <w:r w:rsidRPr="00E0361A">
        <w:rPr>
          <w:rFonts w:ascii="Calibri" w:hAnsi="Calibri"/>
          <w:sz w:val="22"/>
          <w:szCs w:val="22"/>
        </w:rPr>
        <w:t>Městská část</w:t>
      </w:r>
      <w:r w:rsidRPr="00E0361A">
        <w:rPr>
          <w:rFonts w:ascii="Calibri" w:hAnsi="Calibri"/>
          <w:sz w:val="22"/>
          <w:szCs w:val="22"/>
          <w:lang w:eastAsia="en-US"/>
        </w:rPr>
        <w:t xml:space="preserve"> potvrzuje, že uzavření tohoto dodatku schválila Rada městské části Praha 3 usnesením č. …… ze dne ………….</w:t>
      </w:r>
    </w:p>
    <w:p w:rsidR="00B851ED" w:rsidRPr="00E0361A" w:rsidRDefault="00B851ED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F27F09" w:rsidRPr="00E0361A" w:rsidRDefault="00F27F09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B851E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>Přílohy tohoto dodatku:</w:t>
      </w:r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 xml:space="preserve">Příloha č. </w:t>
      </w:r>
      <w:r w:rsidR="004C7485" w:rsidRPr="00E0361A">
        <w:rPr>
          <w:rFonts w:ascii="Calibri" w:hAnsi="Calibri"/>
          <w:sz w:val="22"/>
          <w:szCs w:val="22"/>
        </w:rPr>
        <w:t>2</w:t>
      </w:r>
      <w:r w:rsidRPr="00E0361A">
        <w:rPr>
          <w:rFonts w:ascii="Calibri" w:hAnsi="Calibri"/>
          <w:sz w:val="22"/>
          <w:szCs w:val="22"/>
        </w:rPr>
        <w:t xml:space="preserve"> – </w:t>
      </w:r>
      <w:bookmarkStart w:id="2" w:name="_Hlk513015973"/>
      <w:r w:rsidR="004C7485" w:rsidRPr="00E0361A">
        <w:rPr>
          <w:rFonts w:ascii="Calibri" w:hAnsi="Calibri"/>
          <w:sz w:val="22"/>
          <w:szCs w:val="22"/>
        </w:rPr>
        <w:t>K</w:t>
      </w:r>
      <w:r w:rsidRPr="00E0361A">
        <w:rPr>
          <w:rFonts w:ascii="Calibri" w:hAnsi="Calibri"/>
          <w:sz w:val="22"/>
          <w:szCs w:val="22"/>
        </w:rPr>
        <w:t xml:space="preserve">valitativní </w:t>
      </w:r>
      <w:r w:rsidR="004C7485" w:rsidRPr="00E0361A">
        <w:rPr>
          <w:rFonts w:ascii="Calibri" w:hAnsi="Calibri"/>
          <w:sz w:val="22"/>
          <w:szCs w:val="22"/>
        </w:rPr>
        <w:t>požadavky na smluvně zajišťované dodávky</w:t>
      </w:r>
      <w:r w:rsidRPr="00E0361A">
        <w:rPr>
          <w:rFonts w:ascii="Calibri" w:hAnsi="Calibri"/>
          <w:sz w:val="22"/>
          <w:szCs w:val="22"/>
        </w:rPr>
        <w:t xml:space="preserve"> a ceník služeb</w:t>
      </w:r>
      <w:bookmarkEnd w:id="2"/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outlineLvl w:val="0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>V Praze, dne …………</w:t>
      </w:r>
      <w:proofErr w:type="gramStart"/>
      <w:r w:rsidRPr="00E0361A">
        <w:rPr>
          <w:rFonts w:ascii="Calibri" w:hAnsi="Calibri"/>
          <w:sz w:val="22"/>
          <w:szCs w:val="22"/>
        </w:rPr>
        <w:t>…….</w:t>
      </w:r>
      <w:proofErr w:type="gramEnd"/>
      <w:r w:rsidRPr="00E0361A">
        <w:rPr>
          <w:rFonts w:ascii="Calibri" w:hAnsi="Calibri"/>
          <w:sz w:val="22"/>
          <w:szCs w:val="22"/>
        </w:rPr>
        <w:t>. 20</w:t>
      </w:r>
      <w:r w:rsidR="00812D3C">
        <w:rPr>
          <w:rFonts w:ascii="Calibri" w:hAnsi="Calibri"/>
          <w:sz w:val="22"/>
          <w:szCs w:val="22"/>
        </w:rPr>
        <w:t>20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bookmarkStart w:id="3" w:name="_Hlk26182825"/>
      <w:r w:rsidRPr="00D80925">
        <w:rPr>
          <w:rFonts w:ascii="Calibri" w:hAnsi="Calibri"/>
          <w:sz w:val="22"/>
          <w:szCs w:val="22"/>
        </w:rPr>
        <w:t>……………………………...............................……………</w:t>
      </w: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městskou část Praha 3</w:t>
      </w: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:rsidR="00B851ED" w:rsidRPr="00D80925" w:rsidRDefault="00D65FD9" w:rsidP="00B851ED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65FD9">
        <w:rPr>
          <w:rFonts w:ascii="Calibri" w:hAnsi="Calibri"/>
          <w:sz w:val="22"/>
          <w:szCs w:val="22"/>
        </w:rPr>
        <w:t>Jiří Ptáček, starosta</w:t>
      </w:r>
      <w:r w:rsidR="00B851ED" w:rsidRPr="00D80925">
        <w:rPr>
          <w:rFonts w:ascii="Calibri" w:hAnsi="Calibri"/>
          <w:sz w:val="22"/>
          <w:szCs w:val="22"/>
        </w:rPr>
        <w:tab/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 w:rsidR="00894AA7">
        <w:rPr>
          <w:rFonts w:ascii="Calibri" w:hAnsi="Calibri"/>
          <w:sz w:val="22"/>
          <w:szCs w:val="22"/>
        </w:rPr>
        <w:t>, předseda představenstva</w:t>
      </w:r>
      <w:r w:rsidR="00894AA7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:rsidR="00B851ED" w:rsidRPr="00D80925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D80925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:rsidR="00B851ED" w:rsidRPr="00D80925" w:rsidRDefault="00B851ED" w:rsidP="00B851ED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</w:r>
      <w:r w:rsidR="00EA4149">
        <w:rPr>
          <w:rFonts w:ascii="Calibri" w:hAnsi="Calibri"/>
          <w:sz w:val="22"/>
          <w:szCs w:val="22"/>
          <w:shd w:val="clear" w:color="auto" w:fill="FFFFFF"/>
        </w:rPr>
        <w:t xml:space="preserve">Ing. Robert Kufa, </w:t>
      </w:r>
      <w:r w:rsidR="00D65FD9">
        <w:rPr>
          <w:rFonts w:ascii="Calibri" w:hAnsi="Calibri"/>
          <w:sz w:val="22"/>
          <w:szCs w:val="22"/>
        </w:rPr>
        <w:t>místopředseda</w:t>
      </w:r>
      <w:r w:rsidR="00894AA7">
        <w:rPr>
          <w:rFonts w:ascii="Calibri" w:hAnsi="Calibri"/>
          <w:sz w:val="22"/>
          <w:szCs w:val="22"/>
        </w:rPr>
        <w:t xml:space="preserve"> představenstva</w:t>
      </w:r>
      <w:r w:rsidR="00894AA7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bookmarkEnd w:id="3"/>
    <w:p w:rsidR="00197F94" w:rsidRPr="0023146E" w:rsidRDefault="00EC26EA" w:rsidP="00197F94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br w:type="page"/>
      </w:r>
      <w:r w:rsidR="00197F94" w:rsidRPr="0023146E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Příloha č. </w:t>
      </w:r>
      <w:r w:rsidR="00197F94">
        <w:rPr>
          <w:rFonts w:asciiTheme="minorHAnsi" w:hAnsiTheme="minorHAnsi"/>
          <w:b/>
          <w:sz w:val="22"/>
          <w:szCs w:val="22"/>
          <w:u w:val="single"/>
        </w:rPr>
        <w:t>2</w:t>
      </w:r>
      <w:r w:rsidR="00197F94" w:rsidRPr="0023146E">
        <w:rPr>
          <w:rFonts w:asciiTheme="minorHAnsi" w:hAnsiTheme="minorHAnsi"/>
          <w:b/>
          <w:sz w:val="22"/>
          <w:szCs w:val="22"/>
          <w:u w:val="single"/>
        </w:rPr>
        <w:t xml:space="preserve"> – </w:t>
      </w:r>
      <w:r w:rsidR="00197F94">
        <w:rPr>
          <w:rFonts w:asciiTheme="minorHAnsi" w:hAnsiTheme="minorHAnsi"/>
          <w:b/>
          <w:sz w:val="22"/>
          <w:szCs w:val="22"/>
          <w:u w:val="single"/>
        </w:rPr>
        <w:t xml:space="preserve">Kvalitativní </w:t>
      </w:r>
      <w:r w:rsidR="00197F94" w:rsidRPr="00580E27">
        <w:rPr>
          <w:rFonts w:asciiTheme="minorHAnsi" w:hAnsiTheme="minorHAnsi"/>
          <w:b/>
          <w:sz w:val="22"/>
          <w:szCs w:val="22"/>
          <w:u w:val="single"/>
        </w:rPr>
        <w:t>požadavky na smluvně zajišťované dodávky a ceník služeb</w:t>
      </w:r>
    </w:p>
    <w:p w:rsidR="00197F94" w:rsidRDefault="00197F94" w:rsidP="00197F94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97F94" w:rsidRPr="001356DA" w:rsidRDefault="00197F94" w:rsidP="00197F94">
      <w:pPr>
        <w:jc w:val="both"/>
        <w:rPr>
          <w:rFonts w:asciiTheme="minorHAnsi" w:hAnsiTheme="minorHAnsi"/>
          <w:sz w:val="22"/>
          <w:szCs w:val="22"/>
        </w:rPr>
      </w:pPr>
      <w:bookmarkStart w:id="4" w:name="_Hlk512454605"/>
      <w:r w:rsidRPr="001356DA">
        <w:rPr>
          <w:rFonts w:asciiTheme="minorHAnsi" w:hAnsiTheme="minorHAnsi"/>
          <w:sz w:val="22"/>
          <w:szCs w:val="22"/>
        </w:rPr>
        <w:t xml:space="preserve">V této příloze se stanoví okruhy požadavků </w:t>
      </w:r>
      <w:r>
        <w:rPr>
          <w:rFonts w:asciiTheme="minorHAnsi" w:hAnsiTheme="minorHAnsi"/>
          <w:sz w:val="22"/>
          <w:szCs w:val="22"/>
        </w:rPr>
        <w:t>Městské části</w:t>
      </w:r>
      <w:r w:rsidRPr="001356DA">
        <w:rPr>
          <w:rFonts w:asciiTheme="minorHAnsi" w:hAnsiTheme="minorHAnsi"/>
          <w:sz w:val="22"/>
          <w:szCs w:val="22"/>
        </w:rPr>
        <w:t xml:space="preserve"> na zajišťovaná plnění, přičemž konkrétní požadavky na dodávky stanoví pokynem </w:t>
      </w:r>
      <w:r>
        <w:rPr>
          <w:rFonts w:asciiTheme="minorHAnsi" w:hAnsiTheme="minorHAnsi"/>
          <w:sz w:val="22"/>
          <w:szCs w:val="22"/>
        </w:rPr>
        <w:t>Městská část</w:t>
      </w:r>
      <w:r w:rsidRPr="001356D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56DA">
        <w:rPr>
          <w:rFonts w:asciiTheme="minorHAnsi" w:hAnsiTheme="minorHAnsi"/>
          <w:sz w:val="22"/>
          <w:szCs w:val="22"/>
        </w:rPr>
        <w:t xml:space="preserve">  </w:t>
      </w:r>
    </w:p>
    <w:p w:rsidR="00197F94" w:rsidRPr="001356DA" w:rsidRDefault="00197F94" w:rsidP="00197F94">
      <w:pPr>
        <w:jc w:val="both"/>
        <w:rPr>
          <w:rFonts w:asciiTheme="minorHAnsi" w:hAnsiTheme="minorHAnsi"/>
          <w:sz w:val="22"/>
          <w:szCs w:val="22"/>
        </w:rPr>
      </w:pPr>
    </w:p>
    <w:p w:rsidR="00197F94" w:rsidRPr="00533D81" w:rsidRDefault="00197F94" w:rsidP="00197F94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33D81">
        <w:rPr>
          <w:rFonts w:asciiTheme="minorHAnsi" w:hAnsiTheme="minorHAnsi"/>
          <w:b/>
          <w:sz w:val="22"/>
          <w:szCs w:val="22"/>
          <w:u w:val="single"/>
        </w:rPr>
        <w:t>Okruhy požadavků:</w:t>
      </w:r>
    </w:p>
    <w:p w:rsidR="00197F94" w:rsidRPr="001356DA" w:rsidRDefault="00197F94" w:rsidP="00197F94">
      <w:pPr>
        <w:jc w:val="both"/>
        <w:rPr>
          <w:rFonts w:asciiTheme="minorHAnsi" w:hAnsiTheme="minorHAnsi"/>
          <w:sz w:val="22"/>
          <w:szCs w:val="22"/>
        </w:rPr>
      </w:pPr>
    </w:p>
    <w:p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délka splatnosti dodavatelských faktur</w:t>
      </w:r>
    </w:p>
    <w:p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záruční doby</w:t>
      </w:r>
    </w:p>
    <w:p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odpovědnost za vady</w:t>
      </w:r>
    </w:p>
    <w:p w:rsidR="00197F94" w:rsidRPr="001356DA" w:rsidRDefault="00197F94" w:rsidP="00197F94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 xml:space="preserve">sankční ustanovení (otázka smluvních pokut a náhrady škody) </w:t>
      </w:r>
    </w:p>
    <w:bookmarkEnd w:id="4"/>
    <w:p w:rsidR="00197F94" w:rsidRDefault="00197F94" w:rsidP="00197F94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97F94" w:rsidRDefault="00197F94" w:rsidP="00197F9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návaznosti na kvalitativní požadavky pak t</w:t>
      </w:r>
      <w:r w:rsidRPr="009C27F5">
        <w:rPr>
          <w:rFonts w:asciiTheme="minorHAnsi" w:hAnsiTheme="minorHAnsi"/>
          <w:sz w:val="22"/>
          <w:szCs w:val="22"/>
        </w:rPr>
        <w:t>ato příloha</w:t>
      </w:r>
      <w:r>
        <w:rPr>
          <w:rFonts w:asciiTheme="minorHAnsi" w:hAnsiTheme="minorHAnsi"/>
          <w:sz w:val="22"/>
          <w:szCs w:val="22"/>
        </w:rPr>
        <w:t xml:space="preserve"> stanovuje ceník služeb poskytovaných Správcem dle smlouvy o obstarávání.</w:t>
      </w:r>
    </w:p>
    <w:p w:rsidR="005E55C2" w:rsidRDefault="005E55C2" w:rsidP="00197F9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E55C2" w:rsidRPr="009C27F5" w:rsidRDefault="005E55C2" w:rsidP="005E55C2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C27F5">
        <w:rPr>
          <w:rFonts w:asciiTheme="minorHAnsi" w:hAnsiTheme="minorHAnsi"/>
          <w:b/>
          <w:sz w:val="22"/>
          <w:szCs w:val="22"/>
          <w:u w:val="single"/>
        </w:rPr>
        <w:t xml:space="preserve">Ceník služeb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poskytovaných Správcem </w:t>
      </w:r>
    </w:p>
    <w:p w:rsidR="005E55C2" w:rsidRDefault="005E55C2" w:rsidP="005E55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4464"/>
        <w:gridCol w:w="70"/>
        <w:gridCol w:w="931"/>
        <w:gridCol w:w="57"/>
        <w:gridCol w:w="1408"/>
        <w:gridCol w:w="67"/>
        <w:gridCol w:w="1372"/>
        <w:gridCol w:w="233"/>
        <w:gridCol w:w="1002"/>
      </w:tblGrid>
      <w:tr w:rsidR="00973801" w:rsidRPr="00973801" w:rsidTr="005F67D7">
        <w:trPr>
          <w:trHeight w:val="600"/>
        </w:trPr>
        <w:tc>
          <w:tcPr>
            <w:tcW w:w="23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služba</w:t>
            </w:r>
          </w:p>
        </w:tc>
        <w:tc>
          <w:tcPr>
            <w:tcW w:w="5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jednotková cena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86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počet měrných jednotek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měsíční odměna</w:t>
            </w:r>
          </w:p>
        </w:tc>
      </w:tr>
      <w:tr w:rsidR="00973801" w:rsidRPr="00973801" w:rsidTr="005F67D7">
        <w:trPr>
          <w:trHeight w:val="201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</w:tr>
      <w:tr w:rsidR="00973801" w:rsidRPr="00973801" w:rsidTr="00973801">
        <w:trPr>
          <w:trHeight w:val="2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OBSTARÁVÁNÍ VELKÝCH OPRAV A ÚDRŽBY MAJETKU MĚSTSKÉ ČÁSTI PRAHA 3</w:t>
            </w:r>
          </w:p>
        </w:tc>
      </w:tr>
      <w:tr w:rsidR="00973801" w:rsidRPr="00973801" w:rsidTr="005F67D7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5F67D7" w:rsidP="009738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dozor nad realizací stavebních prací, kontrola dokončeného</w:t>
            </w:r>
          </w:p>
        </w:tc>
        <w:tc>
          <w:tcPr>
            <w:tcW w:w="5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5F67D7" w:rsidP="00973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973801" w:rsidRPr="00973801">
              <w:rPr>
                <w:sz w:val="18"/>
                <w:szCs w:val="18"/>
              </w:rPr>
              <w:t xml:space="preserve"> 000 Kč</w:t>
            </w:r>
          </w:p>
        </w:tc>
        <w:tc>
          <w:tcPr>
            <w:tcW w:w="7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paušální cena</w:t>
            </w:r>
          </w:p>
        </w:tc>
        <w:tc>
          <w:tcPr>
            <w:tcW w:w="86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5F67D7" w:rsidP="0097380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973801" w:rsidRPr="00973801">
              <w:rPr>
                <w:color w:val="000000"/>
                <w:sz w:val="18"/>
                <w:szCs w:val="18"/>
              </w:rPr>
              <w:t xml:space="preserve"> 000 Kč</w:t>
            </w:r>
          </w:p>
        </w:tc>
      </w:tr>
      <w:tr w:rsidR="00973801" w:rsidRPr="00973801" w:rsidTr="005F67D7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5F67D7" w:rsidP="009738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díla, přebírání a dokumentace hotových prací a </w:t>
            </w:r>
          </w:p>
        </w:tc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5F67D7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5F67D7" w:rsidP="005F67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řešení reklamací, to vše ve vztahu k zakázkám zařazeným </w:t>
            </w:r>
          </w:p>
        </w:tc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5F67D7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5F67D7" w:rsidP="009738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 plánu velkých oprav, které nebyly převedeny na OTSMI</w:t>
            </w:r>
          </w:p>
        </w:tc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5F67D7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801" w:rsidRPr="00973801" w:rsidRDefault="005F2223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973801" w:rsidRPr="00973801">
              <w:rPr>
                <w:b/>
                <w:bCs/>
                <w:color w:val="000000"/>
                <w:sz w:val="18"/>
                <w:szCs w:val="18"/>
              </w:rPr>
              <w:t>elkem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5F67D7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973801"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000 Kč</w:t>
            </w:r>
          </w:p>
        </w:tc>
      </w:tr>
      <w:tr w:rsidR="00973801" w:rsidRPr="00973801" w:rsidTr="005F67D7">
        <w:trPr>
          <w:trHeight w:val="300"/>
        </w:trPr>
        <w:tc>
          <w:tcPr>
            <w:tcW w:w="4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973801" w:rsidRPr="00973801" w:rsidRDefault="005F67D7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VELKÉ </w:t>
            </w:r>
            <w:r w:rsidR="00973801" w:rsidRPr="00973801">
              <w:rPr>
                <w:b/>
                <w:bCs/>
                <w:color w:val="000000"/>
                <w:sz w:val="18"/>
                <w:szCs w:val="18"/>
              </w:rPr>
              <w:t>OPRAVY A ÚDRŽBA CELKEM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73801" w:rsidRPr="00973801" w:rsidRDefault="005F67D7" w:rsidP="005F67D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973801"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973801"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 Kč</w:t>
            </w:r>
          </w:p>
        </w:tc>
      </w:tr>
      <w:tr w:rsidR="00973801" w:rsidRPr="00973801" w:rsidTr="005F67D7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</w:tr>
      <w:tr w:rsidR="005F67D7" w:rsidRPr="00973801" w:rsidTr="00FF27C9">
        <w:trPr>
          <w:trHeight w:val="2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5F67D7" w:rsidRPr="00973801" w:rsidRDefault="005F67D7" w:rsidP="00FF27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OBSTARÁVÁNÍ MALÝCH OPRAV A ÚDRŽBY MAJETKU MĚSTSKÉ ČÁSTI PRAHA 3</w:t>
            </w:r>
          </w:p>
        </w:tc>
      </w:tr>
      <w:tr w:rsidR="005F67D7" w:rsidRPr="00973801" w:rsidTr="00502EED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 xml:space="preserve">věcné plánování malých oprav a údržby </w:t>
            </w:r>
          </w:p>
        </w:tc>
        <w:tc>
          <w:tcPr>
            <w:tcW w:w="5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7" w:rsidRPr="00973801" w:rsidRDefault="00502EED" w:rsidP="00FF2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F67D7" w:rsidRPr="00973801">
              <w:rPr>
                <w:sz w:val="18"/>
                <w:szCs w:val="18"/>
              </w:rPr>
              <w:t>1 000 Kč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paušální cena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D7" w:rsidRPr="00973801" w:rsidRDefault="005F67D7" w:rsidP="00FF27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D7" w:rsidRPr="00973801" w:rsidRDefault="00502EED" w:rsidP="00FF27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5F67D7" w:rsidRPr="00973801">
              <w:rPr>
                <w:color w:val="000000"/>
                <w:sz w:val="18"/>
                <w:szCs w:val="18"/>
              </w:rPr>
              <w:t>1 000 Kč</w:t>
            </w:r>
          </w:p>
        </w:tc>
      </w:tr>
      <w:tr w:rsidR="005F67D7" w:rsidRPr="00973801" w:rsidTr="00502EED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evidence stavu jednotek městské části Praha 3</w:t>
            </w:r>
          </w:p>
        </w:tc>
        <w:tc>
          <w:tcPr>
            <w:tcW w:w="5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D7" w:rsidRPr="00973801" w:rsidRDefault="005F67D7" w:rsidP="00FF27C9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D7" w:rsidRPr="00973801" w:rsidRDefault="005F67D7" w:rsidP="00FF27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</w:p>
        </w:tc>
      </w:tr>
      <w:tr w:rsidR="005F67D7" w:rsidRPr="00973801" w:rsidTr="00502EED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F67D7" w:rsidRPr="00973801" w:rsidRDefault="005F2223" w:rsidP="00FF27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5F67D7" w:rsidRPr="00973801">
              <w:rPr>
                <w:b/>
                <w:bCs/>
                <w:color w:val="000000"/>
                <w:sz w:val="18"/>
                <w:szCs w:val="18"/>
              </w:rPr>
              <w:t>elkem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F67D7" w:rsidRPr="00973801" w:rsidRDefault="00502EED" w:rsidP="00FF27C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5F67D7"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1 000 Kč</w:t>
            </w:r>
          </w:p>
        </w:tc>
      </w:tr>
      <w:tr w:rsidR="005F67D7" w:rsidRPr="00973801" w:rsidTr="00502EED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502EED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 xml:space="preserve">dozor nad realizací prací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02EED" w:rsidP="00FF2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F67D7" w:rsidRPr="00973801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02EED" w:rsidP="00FF27C9">
            <w:pPr>
              <w:jc w:val="right"/>
              <w:rPr>
                <w:color w:val="000000"/>
                <w:sz w:val="18"/>
                <w:szCs w:val="18"/>
              </w:rPr>
            </w:pPr>
            <w:r w:rsidRPr="00502EED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02EED">
              <w:rPr>
                <w:color w:val="000000"/>
                <w:sz w:val="18"/>
                <w:szCs w:val="18"/>
              </w:rPr>
              <w:t>500</w:t>
            </w:r>
            <w:r w:rsidR="005F67D7" w:rsidRPr="00973801">
              <w:rPr>
                <w:color w:val="000000"/>
                <w:sz w:val="18"/>
                <w:szCs w:val="18"/>
              </w:rPr>
              <w:t xml:space="preserve"> Kč</w:t>
            </w:r>
          </w:p>
        </w:tc>
      </w:tr>
      <w:tr w:rsidR="00502EED" w:rsidRPr="00973801" w:rsidTr="00502EED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ED" w:rsidRPr="00973801" w:rsidRDefault="00502EED" w:rsidP="00FF27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ED" w:rsidRPr="00973801" w:rsidRDefault="00502EED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komunikace s nájemci a dodavateli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ED" w:rsidRPr="00973801" w:rsidRDefault="00502EED" w:rsidP="000D5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973801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ED" w:rsidRPr="00973801" w:rsidRDefault="00502EED" w:rsidP="000D5944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ED" w:rsidRPr="00973801" w:rsidRDefault="00502EED" w:rsidP="000D5944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EED" w:rsidRPr="00973801" w:rsidRDefault="00502EED" w:rsidP="000D5944">
            <w:pPr>
              <w:jc w:val="right"/>
              <w:rPr>
                <w:color w:val="000000"/>
                <w:sz w:val="18"/>
                <w:szCs w:val="18"/>
              </w:rPr>
            </w:pPr>
            <w:r w:rsidRPr="00502EED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02EED">
              <w:rPr>
                <w:color w:val="000000"/>
                <w:sz w:val="18"/>
                <w:szCs w:val="18"/>
              </w:rPr>
              <w:t>500</w:t>
            </w:r>
            <w:r w:rsidRPr="00973801">
              <w:rPr>
                <w:color w:val="000000"/>
                <w:sz w:val="18"/>
                <w:szCs w:val="18"/>
              </w:rPr>
              <w:t xml:space="preserve"> Kč</w:t>
            </w:r>
          </w:p>
        </w:tc>
      </w:tr>
      <w:tr w:rsidR="005F67D7" w:rsidRPr="00973801" w:rsidTr="00502EED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kontrola provedených prací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502EED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1</w:t>
            </w:r>
            <w:r w:rsidR="00502EED">
              <w:rPr>
                <w:sz w:val="18"/>
                <w:szCs w:val="18"/>
              </w:rPr>
              <w:t>5</w:t>
            </w:r>
            <w:r w:rsidRPr="00973801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02EED" w:rsidP="00FF27C9">
            <w:pPr>
              <w:jc w:val="right"/>
              <w:rPr>
                <w:color w:val="000000"/>
                <w:sz w:val="18"/>
                <w:szCs w:val="18"/>
              </w:rPr>
            </w:pPr>
            <w:r w:rsidRPr="00502EED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02EED">
              <w:rPr>
                <w:color w:val="000000"/>
                <w:sz w:val="18"/>
                <w:szCs w:val="18"/>
              </w:rPr>
              <w:t>250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F67D7" w:rsidRPr="00973801">
              <w:rPr>
                <w:color w:val="000000"/>
                <w:sz w:val="18"/>
                <w:szCs w:val="18"/>
              </w:rPr>
              <w:t>Kč</w:t>
            </w:r>
          </w:p>
        </w:tc>
      </w:tr>
      <w:tr w:rsidR="005F67D7" w:rsidRPr="00973801" w:rsidTr="00502EED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řešení reklamací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10 Kč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D7" w:rsidRPr="00973801" w:rsidRDefault="005F67D7" w:rsidP="00FF27C9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35 500 Kč</w:t>
            </w:r>
          </w:p>
        </w:tc>
      </w:tr>
      <w:tr w:rsidR="005F67D7" w:rsidRPr="00973801" w:rsidTr="005F67D7">
        <w:trPr>
          <w:trHeight w:val="300"/>
        </w:trPr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5F67D7" w:rsidRPr="00973801" w:rsidRDefault="005F67D7" w:rsidP="00FF27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MALÉ OPRAVY A ÚDRŽBA CELKEM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F67D7" w:rsidRPr="00973801" w:rsidRDefault="00502EED" w:rsidP="00FF27C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332</w:t>
            </w:r>
            <w:r w:rsidR="005F67D7"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5F67D7">
              <w:rPr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5F67D7"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 Kč</w:t>
            </w:r>
          </w:p>
        </w:tc>
      </w:tr>
    </w:tbl>
    <w:p w:rsidR="005E55C2" w:rsidRPr="000C101F" w:rsidRDefault="005E55C2" w:rsidP="005E55C2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3146E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</w:t>
      </w:r>
      <w:r>
        <w:rPr>
          <w:rFonts w:asciiTheme="minorHAnsi" w:hAnsiTheme="minorHAnsi"/>
          <w:i/>
          <w:sz w:val="22"/>
          <w:szCs w:val="22"/>
        </w:rPr>
        <w:t>2</w:t>
      </w:r>
      <w:r w:rsidRPr="0023146E">
        <w:rPr>
          <w:rFonts w:asciiTheme="minorHAnsi" w:hAnsiTheme="minorHAnsi"/>
          <w:i/>
          <w:sz w:val="22"/>
          <w:szCs w:val="22"/>
        </w:rPr>
        <w:t xml:space="preserve"> dle metodických pokynů, kvalitativních požadavků a v termínech stanovených ze strany Městské části.  </w:t>
      </w:r>
    </w:p>
    <w:p w:rsidR="005E55C2" w:rsidRPr="0023146E" w:rsidRDefault="005E55C2" w:rsidP="005E55C2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</w:t>
      </w:r>
      <w:r>
        <w:rPr>
          <w:rFonts w:asciiTheme="minorHAnsi" w:hAnsiTheme="minorHAnsi" w:cs="Arial"/>
          <w:i/>
          <w:sz w:val="22"/>
          <w:szCs w:val="22"/>
        </w:rPr>
        <w:t>2</w:t>
      </w:r>
      <w:r w:rsidRPr="0023146E">
        <w:rPr>
          <w:rFonts w:asciiTheme="minorHAnsi" w:hAnsiTheme="minorHAnsi" w:cs="Arial"/>
          <w:i/>
          <w:sz w:val="22"/>
          <w:szCs w:val="22"/>
        </w:rPr>
        <w:t xml:space="preserve">, a které budou souviset se správou nemovitostí dle příkazní smlouvy.  </w:t>
      </w: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C26EA" w:rsidRDefault="00EC26EA">
      <w:pPr>
        <w:spacing w:after="160" w:line="259" w:lineRule="auto"/>
      </w:pPr>
    </w:p>
    <w:sectPr w:rsidR="00EC26EA" w:rsidSect="002A5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0231" w:rsidRDefault="006E0231">
      <w:r>
        <w:separator/>
      </w:r>
    </w:p>
  </w:endnote>
  <w:endnote w:type="continuationSeparator" w:id="0">
    <w:p w:rsidR="006E0231" w:rsidRDefault="006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9BF" w:rsidRDefault="00BE5A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59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59BF" w:rsidRDefault="002A59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9BF" w:rsidRPr="004A6423" w:rsidRDefault="002A59BF" w:rsidP="002A59BF">
    <w:pPr>
      <w:pStyle w:val="Zpat"/>
      <w:jc w:val="center"/>
      <w:rPr>
        <w:rFonts w:ascii="Calibri" w:hAnsi="Calibri"/>
      </w:rPr>
    </w:pPr>
    <w:r w:rsidRPr="004A6423">
      <w:rPr>
        <w:rFonts w:ascii="Calibri" w:hAnsi="Calibri"/>
      </w:rPr>
      <w:t xml:space="preserve">Stránka </w:t>
    </w:r>
    <w:r w:rsidR="00BE5A04"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="00BE5A04" w:rsidRPr="004A6423">
      <w:rPr>
        <w:rFonts w:ascii="Calibri" w:hAnsi="Calibri"/>
        <w:b/>
        <w:bCs/>
      </w:rPr>
      <w:fldChar w:fldCharType="separate"/>
    </w:r>
    <w:r w:rsidR="00097007">
      <w:rPr>
        <w:rFonts w:ascii="Calibri" w:hAnsi="Calibri"/>
        <w:b/>
        <w:bCs/>
        <w:noProof/>
      </w:rPr>
      <w:t>2</w:t>
    </w:r>
    <w:r w:rsidR="00BE5A04" w:rsidRPr="004A6423">
      <w:rPr>
        <w:rFonts w:ascii="Calibri" w:hAnsi="Calibri"/>
        <w:b/>
        <w:bCs/>
      </w:rPr>
      <w:fldChar w:fldCharType="end"/>
    </w:r>
    <w:r w:rsidRPr="004A6423">
      <w:rPr>
        <w:rFonts w:ascii="Calibri" w:hAnsi="Calibri"/>
      </w:rPr>
      <w:t xml:space="preserve"> z </w:t>
    </w:r>
    <w:r w:rsidR="00BE5A04"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="00BE5A04" w:rsidRPr="004A6423">
      <w:rPr>
        <w:rFonts w:ascii="Calibri" w:hAnsi="Calibri"/>
        <w:b/>
        <w:bCs/>
      </w:rPr>
      <w:fldChar w:fldCharType="separate"/>
    </w:r>
    <w:r w:rsidR="00097007">
      <w:rPr>
        <w:rFonts w:ascii="Calibri" w:hAnsi="Calibri"/>
        <w:b/>
        <w:bCs/>
        <w:noProof/>
      </w:rPr>
      <w:t>3</w:t>
    </w:r>
    <w:r w:rsidR="00BE5A04" w:rsidRPr="004A6423">
      <w:rPr>
        <w:rFonts w:ascii="Calibri" w:hAnsi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3A93" w:rsidRDefault="00003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0231" w:rsidRDefault="006E0231">
      <w:r>
        <w:separator/>
      </w:r>
    </w:p>
  </w:footnote>
  <w:footnote w:type="continuationSeparator" w:id="0">
    <w:p w:rsidR="006E0231" w:rsidRDefault="006E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3A93" w:rsidRDefault="00003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9BF" w:rsidRDefault="002A59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3A93" w:rsidRDefault="00003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8B7"/>
    <w:multiLevelType w:val="multilevel"/>
    <w:tmpl w:val="F22E4E54"/>
    <w:numStyleLink w:val="Mali-zvorky"/>
  </w:abstractNum>
  <w:abstractNum w:abstractNumId="2" w15:restartNumberingAfterBreak="0">
    <w:nsid w:val="109C5836"/>
    <w:multiLevelType w:val="multilevel"/>
    <w:tmpl w:val="F22E4E54"/>
    <w:numStyleLink w:val="Mali-zvorky"/>
  </w:abstractNum>
  <w:abstractNum w:abstractNumId="3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6C5006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D15B2"/>
    <w:multiLevelType w:val="multilevel"/>
    <w:tmpl w:val="2A020D9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46326E7"/>
    <w:multiLevelType w:val="hybridMultilevel"/>
    <w:tmpl w:val="3EBE8BDA"/>
    <w:lvl w:ilvl="0" w:tplc="040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250C6EBF"/>
    <w:multiLevelType w:val="hybridMultilevel"/>
    <w:tmpl w:val="0C4C283C"/>
    <w:lvl w:ilvl="0" w:tplc="0405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1" w15:restartNumberingAfterBreak="0">
    <w:nsid w:val="281204FC"/>
    <w:multiLevelType w:val="multilevel"/>
    <w:tmpl w:val="F22E4E54"/>
    <w:numStyleLink w:val="Mali-zvorky"/>
  </w:abstractNum>
  <w:abstractNum w:abstractNumId="12" w15:restartNumberingAfterBreak="0">
    <w:nsid w:val="289B7BA4"/>
    <w:multiLevelType w:val="hybridMultilevel"/>
    <w:tmpl w:val="6C0A1FCE"/>
    <w:lvl w:ilvl="0" w:tplc="E58CDCF6">
      <w:start w:val="1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2F323E85"/>
    <w:multiLevelType w:val="hybridMultilevel"/>
    <w:tmpl w:val="4BDA7370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11750"/>
    <w:multiLevelType w:val="hybridMultilevel"/>
    <w:tmpl w:val="F63CF288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39B80BF8"/>
    <w:multiLevelType w:val="multilevel"/>
    <w:tmpl w:val="F22E4E54"/>
    <w:numStyleLink w:val="Mali-zvorky"/>
  </w:abstractNum>
  <w:abstractNum w:abstractNumId="17" w15:restartNumberingAfterBreak="0">
    <w:nsid w:val="3A86548A"/>
    <w:multiLevelType w:val="multilevel"/>
    <w:tmpl w:val="F22E4E54"/>
    <w:numStyleLink w:val="Mali-zvorky"/>
  </w:abstractNum>
  <w:abstractNum w:abstractNumId="18" w15:restartNumberingAfterBreak="0">
    <w:nsid w:val="3BA55ECF"/>
    <w:multiLevelType w:val="multilevel"/>
    <w:tmpl w:val="F22E4E54"/>
    <w:numStyleLink w:val="Mali-zvorky"/>
  </w:abstractNum>
  <w:abstractNum w:abstractNumId="19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3EFF7BB5"/>
    <w:multiLevelType w:val="multilevel"/>
    <w:tmpl w:val="F22E4E54"/>
    <w:numStyleLink w:val="Mali-zvorky"/>
  </w:abstractNum>
  <w:abstractNum w:abstractNumId="21" w15:restartNumberingAfterBreak="0">
    <w:nsid w:val="4A590754"/>
    <w:multiLevelType w:val="hybridMultilevel"/>
    <w:tmpl w:val="80D01D74"/>
    <w:lvl w:ilvl="0" w:tplc="F3CA2DE2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9833B0"/>
    <w:multiLevelType w:val="multilevel"/>
    <w:tmpl w:val="F22E4E54"/>
    <w:numStyleLink w:val="Mali-zvorky"/>
  </w:abstractNum>
  <w:abstractNum w:abstractNumId="23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096E10"/>
    <w:multiLevelType w:val="hybridMultilevel"/>
    <w:tmpl w:val="B3A8CB9A"/>
    <w:lvl w:ilvl="0" w:tplc="F3CA2DE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0D5150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C03DAC"/>
    <w:multiLevelType w:val="multilevel"/>
    <w:tmpl w:val="F22E4E54"/>
    <w:numStyleLink w:val="Mali-zvorky"/>
  </w:abstractNum>
  <w:num w:numId="1">
    <w:abstractNumId w:val="0"/>
  </w:num>
  <w:num w:numId="2">
    <w:abstractNumId w:val="28"/>
  </w:num>
  <w:num w:numId="3">
    <w:abstractNumId w:val="25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33"/>
  </w:num>
  <w:num w:numId="14">
    <w:abstractNumId w:val="2"/>
  </w:num>
  <w:num w:numId="15">
    <w:abstractNumId w:val="22"/>
  </w:num>
  <w:num w:numId="16">
    <w:abstractNumId w:val="30"/>
  </w:num>
  <w:num w:numId="17">
    <w:abstractNumId w:val="6"/>
  </w:num>
  <w:num w:numId="18">
    <w:abstractNumId w:val="4"/>
  </w:num>
  <w:num w:numId="19">
    <w:abstractNumId w:val="29"/>
  </w:num>
  <w:num w:numId="20">
    <w:abstractNumId w:val="3"/>
  </w:num>
  <w:num w:numId="21">
    <w:abstractNumId w:val="27"/>
  </w:num>
  <w:num w:numId="22">
    <w:abstractNumId w:val="21"/>
  </w:num>
  <w:num w:numId="23">
    <w:abstractNumId w:val="19"/>
  </w:num>
  <w:num w:numId="24">
    <w:abstractNumId w:val="32"/>
  </w:num>
  <w:num w:numId="25">
    <w:abstractNumId w:val="24"/>
  </w:num>
  <w:num w:numId="26">
    <w:abstractNumId w:val="14"/>
  </w:num>
  <w:num w:numId="27">
    <w:abstractNumId w:val="13"/>
  </w:num>
  <w:num w:numId="28">
    <w:abstractNumId w:val="9"/>
  </w:num>
  <w:num w:numId="29">
    <w:abstractNumId w:val="23"/>
  </w:num>
  <w:num w:numId="30">
    <w:abstractNumId w:val="31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ED"/>
    <w:rsid w:val="00003A93"/>
    <w:rsid w:val="0002090D"/>
    <w:rsid w:val="0002122F"/>
    <w:rsid w:val="00023655"/>
    <w:rsid w:val="00050368"/>
    <w:rsid w:val="00053EC9"/>
    <w:rsid w:val="00097007"/>
    <w:rsid w:val="00110994"/>
    <w:rsid w:val="00121590"/>
    <w:rsid w:val="001643EA"/>
    <w:rsid w:val="00197F94"/>
    <w:rsid w:val="001A21F7"/>
    <w:rsid w:val="001E7E0D"/>
    <w:rsid w:val="001F525D"/>
    <w:rsid w:val="00287190"/>
    <w:rsid w:val="002A59BF"/>
    <w:rsid w:val="00373BC2"/>
    <w:rsid w:val="003813FB"/>
    <w:rsid w:val="003B607D"/>
    <w:rsid w:val="003D5A3A"/>
    <w:rsid w:val="00404928"/>
    <w:rsid w:val="00405135"/>
    <w:rsid w:val="00412A3C"/>
    <w:rsid w:val="004144DF"/>
    <w:rsid w:val="004158CD"/>
    <w:rsid w:val="00445795"/>
    <w:rsid w:val="0045373B"/>
    <w:rsid w:val="00465590"/>
    <w:rsid w:val="00474700"/>
    <w:rsid w:val="004B03C1"/>
    <w:rsid w:val="004C54E5"/>
    <w:rsid w:val="004C7485"/>
    <w:rsid w:val="00502EED"/>
    <w:rsid w:val="00526090"/>
    <w:rsid w:val="00571424"/>
    <w:rsid w:val="00573B08"/>
    <w:rsid w:val="005B7266"/>
    <w:rsid w:val="005E1D9E"/>
    <w:rsid w:val="005E55C2"/>
    <w:rsid w:val="005F2223"/>
    <w:rsid w:val="005F67D7"/>
    <w:rsid w:val="006220F5"/>
    <w:rsid w:val="00646DE2"/>
    <w:rsid w:val="006700B7"/>
    <w:rsid w:val="006A0A2B"/>
    <w:rsid w:val="006E0231"/>
    <w:rsid w:val="00715E4A"/>
    <w:rsid w:val="007323D5"/>
    <w:rsid w:val="00750F0F"/>
    <w:rsid w:val="007C0594"/>
    <w:rsid w:val="00810756"/>
    <w:rsid w:val="00812D3C"/>
    <w:rsid w:val="008330BE"/>
    <w:rsid w:val="008403E9"/>
    <w:rsid w:val="00894AA7"/>
    <w:rsid w:val="00894C93"/>
    <w:rsid w:val="008B4475"/>
    <w:rsid w:val="008C2654"/>
    <w:rsid w:val="00964862"/>
    <w:rsid w:val="00973801"/>
    <w:rsid w:val="00974190"/>
    <w:rsid w:val="00975639"/>
    <w:rsid w:val="0098168C"/>
    <w:rsid w:val="009E0AA7"/>
    <w:rsid w:val="00A52E83"/>
    <w:rsid w:val="00A567BF"/>
    <w:rsid w:val="00A60575"/>
    <w:rsid w:val="00A8151F"/>
    <w:rsid w:val="00AD6775"/>
    <w:rsid w:val="00AE67BA"/>
    <w:rsid w:val="00B05331"/>
    <w:rsid w:val="00B578F2"/>
    <w:rsid w:val="00B629D5"/>
    <w:rsid w:val="00B851ED"/>
    <w:rsid w:val="00BA5B72"/>
    <w:rsid w:val="00BD05D0"/>
    <w:rsid w:val="00BE5A04"/>
    <w:rsid w:val="00C15326"/>
    <w:rsid w:val="00C66817"/>
    <w:rsid w:val="00CA2C83"/>
    <w:rsid w:val="00CA3716"/>
    <w:rsid w:val="00D06485"/>
    <w:rsid w:val="00D35E15"/>
    <w:rsid w:val="00D65FD9"/>
    <w:rsid w:val="00D73A7A"/>
    <w:rsid w:val="00D75815"/>
    <w:rsid w:val="00DA4700"/>
    <w:rsid w:val="00DB680F"/>
    <w:rsid w:val="00E0361A"/>
    <w:rsid w:val="00E0642E"/>
    <w:rsid w:val="00E40F74"/>
    <w:rsid w:val="00EA1DFF"/>
    <w:rsid w:val="00EA4149"/>
    <w:rsid w:val="00EC26EA"/>
    <w:rsid w:val="00ED6E32"/>
    <w:rsid w:val="00F27F09"/>
    <w:rsid w:val="00F32CDC"/>
    <w:rsid w:val="00F711FD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579C5-19C3-498C-A0AD-8EA75AFF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1ED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851E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1E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1E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51E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51ED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851E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851E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851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851ED"/>
  </w:style>
  <w:style w:type="paragraph" w:styleId="Zkladntextodsazen">
    <w:name w:val="Body Text Indent"/>
    <w:basedOn w:val="Normln"/>
    <w:link w:val="ZkladntextodsazenChar"/>
    <w:rsid w:val="00B851ED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851ED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851ED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85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851ED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8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51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1">
    <w:name w:val="Rozvržení dokumentu1"/>
    <w:basedOn w:val="Normln"/>
    <w:semiHidden/>
    <w:rsid w:val="00B851ED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B851ED"/>
    <w:pPr>
      <w:ind w:left="708"/>
    </w:pPr>
  </w:style>
  <w:style w:type="table" w:styleId="Mkatabulky">
    <w:name w:val="Table Grid"/>
    <w:basedOn w:val="Normlntabulka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851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1ED"/>
  </w:style>
  <w:style w:type="character" w:customStyle="1" w:styleId="TextkomenteChar">
    <w:name w:val="Text komentáře Char"/>
    <w:basedOn w:val="Standardnpsmoodstavce"/>
    <w:link w:val="Textkomente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8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851ED"/>
  </w:style>
  <w:style w:type="character" w:customStyle="1" w:styleId="CharChar">
    <w:name w:val="Char Char"/>
    <w:rsid w:val="00B851ED"/>
    <w:rPr>
      <w:b/>
      <w:bCs/>
    </w:rPr>
  </w:style>
  <w:style w:type="numbering" w:customStyle="1" w:styleId="Mali-zvorky">
    <w:name w:val="Malá i - závorky"/>
    <w:rsid w:val="00B851ED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B851ED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851ED"/>
    <w:rPr>
      <w:color w:val="0000FF"/>
      <w:u w:val="single"/>
    </w:rPr>
  </w:style>
  <w:style w:type="paragraph" w:styleId="Revize">
    <w:name w:val="Revision"/>
    <w:hidden/>
    <w:uiPriority w:val="99"/>
    <w:semiHidden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Katzer</dc:creator>
  <cp:lastModifiedBy>Musil Pavel JUDr. (ÚMČ Praha3)</cp:lastModifiedBy>
  <cp:revision>3</cp:revision>
  <cp:lastPrinted>2018-05-04T08:02:00Z</cp:lastPrinted>
  <dcterms:created xsi:type="dcterms:W3CDTF">2020-07-12T07:29:00Z</dcterms:created>
  <dcterms:modified xsi:type="dcterms:W3CDTF">2020-07-12T07:42:00Z</dcterms:modified>
</cp:coreProperties>
</file>