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B2F7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 RS – Technická specifikace předmětu plnění</w:t>
      </w:r>
    </w:p>
    <w:p w14:paraId="0E8C6B06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3BF28EFC" w14:textId="77777777" w:rsidR="008079D8" w:rsidRDefault="008079D8" w:rsidP="008079D8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1:</w:t>
      </w:r>
    </w:p>
    <w:tbl>
      <w:tblPr>
        <w:tblW w:w="13467" w:type="dxa"/>
        <w:tblInd w:w="109" w:type="dxa"/>
        <w:tblLook w:val="04A0" w:firstRow="1" w:lastRow="0" w:firstColumn="1" w:lastColumn="0" w:noHBand="0" w:noVBand="1"/>
      </w:tblPr>
      <w:tblGrid>
        <w:gridCol w:w="3399"/>
        <w:gridCol w:w="5953"/>
        <w:gridCol w:w="4115"/>
      </w:tblGrid>
      <w:tr w:rsidR="008079D8" w14:paraId="000F1BD2" w14:textId="77777777" w:rsidTr="008079D8">
        <w:tc>
          <w:tcPr>
            <w:tcW w:w="3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364302A" w14:textId="77777777" w:rsidR="008079D8" w:rsidRDefault="008079D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15989433" w14:textId="77777777" w:rsidR="008079D8" w:rsidRDefault="008079D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Technický popis zboží</w:t>
            </w:r>
          </w:p>
        </w:tc>
        <w:tc>
          <w:tcPr>
            <w:tcW w:w="41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97A334F" w14:textId="77777777" w:rsidR="008079D8" w:rsidRDefault="008079D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Technické parametry nabízené dodavatelem</w:t>
            </w:r>
          </w:p>
        </w:tc>
      </w:tr>
      <w:tr w:rsidR="008079D8" w14:paraId="5FED0E4B" w14:textId="77777777" w:rsidTr="008079D8">
        <w:trPr>
          <w:trHeight w:val="378"/>
        </w:trPr>
        <w:tc>
          <w:tcPr>
            <w:tcW w:w="339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EAAEAA7" w14:textId="77777777" w:rsidR="008079D8" w:rsidRDefault="008079D8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Ochranný obličejový štít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8FEAE" w14:textId="77777777" w:rsidR="008079D8" w:rsidRDefault="008079D8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s čirým zorníkem</w:t>
            </w:r>
          </w:p>
        </w:tc>
        <w:tc>
          <w:tcPr>
            <w:tcW w:w="41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44F43E9" w14:textId="77777777" w:rsidR="008079D8" w:rsidRDefault="008079D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8079D8" w14:paraId="15E291FE" w14:textId="77777777" w:rsidTr="008079D8">
        <w:trPr>
          <w:trHeight w:val="37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44A4C7B" w14:textId="77777777" w:rsidR="008079D8" w:rsidRDefault="008079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E07A" w14:textId="77777777" w:rsidR="008079D8" w:rsidRDefault="008079D8">
            <w:pPr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ošetření proti zamlžení po obou stranách štítu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6048156" w14:textId="77777777" w:rsidR="008079D8" w:rsidRDefault="008079D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Konstrukce štítů zajišťuje odstup mezi hledím a tváří potřebný pro zamezení zamlžování. Chemická vrstva není na polykarbonátové hledí nanesena z důvodu její nízké životnosti při sterilizaci parou.</w:t>
            </w:r>
          </w:p>
        </w:tc>
      </w:tr>
      <w:tr w:rsidR="008079D8" w14:paraId="2397B0FE" w14:textId="77777777" w:rsidTr="008079D8">
        <w:trPr>
          <w:trHeight w:val="37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0077745" w14:textId="77777777" w:rsidR="008079D8" w:rsidRDefault="008079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75C2C" w14:textId="77777777" w:rsidR="008079D8" w:rsidRDefault="008079D8">
            <w:pPr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nastavitelný pásek po obvodu hlavy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317D01C" w14:textId="77777777" w:rsidR="008079D8" w:rsidRDefault="008079D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8079D8" w14:paraId="38AB7177" w14:textId="77777777" w:rsidTr="008079D8">
        <w:trPr>
          <w:trHeight w:val="5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D6DCC8E" w14:textId="77777777" w:rsidR="008079D8" w:rsidRDefault="008079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D139D" w14:textId="77777777" w:rsidR="008079D8" w:rsidRDefault="008079D8">
            <w:pPr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velikost: výška cca 25 cm, šířka cca 35 cm, lehká konstrukce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FF6586F" w14:textId="77777777" w:rsidR="008079D8" w:rsidRDefault="008079D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8079D8" w14:paraId="7BACC1B3" w14:textId="77777777" w:rsidTr="008079D8">
        <w:trPr>
          <w:trHeight w:val="37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42CC596" w14:textId="77777777" w:rsidR="008079D8" w:rsidRDefault="008079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4DFC9" w14:textId="77777777" w:rsidR="008079D8" w:rsidRDefault="008079D8">
            <w:pPr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použití s jednorázovým respirátorem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42A091F" w14:textId="77777777" w:rsidR="008079D8" w:rsidRDefault="008079D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8079D8" w14:paraId="23F8C5E6" w14:textId="77777777" w:rsidTr="008079D8">
        <w:trPr>
          <w:trHeight w:val="37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D8FEF42" w14:textId="77777777" w:rsidR="008079D8" w:rsidRDefault="008079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05DA7AF1" w14:textId="77777777" w:rsidR="008079D8" w:rsidRDefault="008079D8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výrobek musí odpovídat normě EN 166:21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AB195D" w14:textId="77777777" w:rsidR="008079D8" w:rsidRDefault="008079D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</w:tbl>
    <w:p w14:paraId="19CCDC7A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6332F894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připouští u požadovaného druhu materiálu i materiál vyšších uživatelských vlastností za podmínky, že zajistí minimálně stejnou ochranu jako druh požadovaného materiálu. V takovém případě uvede dodavatel konkrétní údaj namísto údaje ANO/NE. </w:t>
      </w:r>
    </w:p>
    <w:p w14:paraId="357731D0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38BECF8E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Ochranný obličejový štít musí být hygienicky nezávadný a v případě, že to není doloženo v přiložených certifikátech, v produktovém listu nebo technickém popisu, zadavatel požaduje </w:t>
      </w:r>
      <w:r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B2D5002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646312E6" w14:textId="77777777" w:rsidR="008079D8" w:rsidRDefault="008079D8" w:rsidP="008079D8">
      <w:pPr>
        <w:spacing w:after="240"/>
        <w:ind w:left="-142" w:right="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Dodavatel, který uvede ve výše uvedené tabulce odpověď „NE“, může být ze zadávacího řízení vyloučen pro nesplnění zadávacích podmínek.</w:t>
      </w:r>
    </w:p>
    <w:p w14:paraId="47D8E7E8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dále připouští, že technické normy ČSN EN a ČSN EN ISO, mohou být u zboží nahrazeny ekvivalenty EN a EN ISO nebo jiným rovnocenným řešením.</w:t>
      </w:r>
    </w:p>
    <w:p w14:paraId="67458DC4" w14:textId="77777777" w:rsidR="008079D8" w:rsidRDefault="008079D8" w:rsidP="008079D8">
      <w:pPr>
        <w:rPr>
          <w:rFonts w:ascii="Arial" w:hAnsi="Arial" w:cs="Arial"/>
        </w:rPr>
        <w:sectPr w:rsidR="008079D8">
          <w:pgSz w:w="16838" w:h="11906" w:orient="landscape"/>
          <w:pgMar w:top="1418" w:right="1134" w:bottom="1418" w:left="1701" w:header="709" w:footer="0" w:gutter="0"/>
          <w:cols w:space="708"/>
          <w:formProt w:val="0"/>
        </w:sectPr>
      </w:pPr>
    </w:p>
    <w:p w14:paraId="725C73EA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5FD7BE6F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72B18DD9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209BC2C2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128B48F2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047A35CC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5F6E8A54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2EBDB3B3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3EA3A52E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2704B6AC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7AE0999B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1571C732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48F3949E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439947DE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6A66DAA6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06DF0BB1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35D042AB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119A6AE6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6C03A5AF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62F82A40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6579C6DE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0BCF28E4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25605812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7C1F6894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5BFBDEE3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68A2A4AC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42943E24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4C20B4E2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1DC818B9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206923C9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7C8EA0CB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06BB9698" w14:textId="77777777" w:rsidR="008079D8" w:rsidRDefault="008079D8" w:rsidP="008079D8">
      <w:pPr>
        <w:ind w:left="-142" w:right="536"/>
        <w:jc w:val="both"/>
        <w:rPr>
          <w:rFonts w:ascii="Arial" w:hAnsi="Arial" w:cs="Arial"/>
        </w:rPr>
      </w:pPr>
    </w:p>
    <w:p w14:paraId="658CE8A8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text" w:horzAnchor="margin" w:tblpY="1392"/>
        <w:tblW w:w="13149" w:type="dxa"/>
        <w:tblInd w:w="0" w:type="dxa"/>
        <w:tblLook w:val="04A0" w:firstRow="1" w:lastRow="0" w:firstColumn="1" w:lastColumn="0" w:noHBand="0" w:noVBand="1"/>
      </w:tblPr>
      <w:tblGrid>
        <w:gridCol w:w="2234"/>
        <w:gridCol w:w="2973"/>
        <w:gridCol w:w="2976"/>
        <w:gridCol w:w="2413"/>
        <w:gridCol w:w="2553"/>
      </w:tblGrid>
      <w:tr w:rsidR="008079D8" w14:paraId="2656245C" w14:textId="77777777" w:rsidTr="008079D8">
        <w:tc>
          <w:tcPr>
            <w:tcW w:w="2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9C67202" w14:textId="77777777" w:rsidR="008079D8" w:rsidRDefault="008079D8">
            <w:pPr>
              <w:jc w:val="center"/>
              <w:rPr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9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D10B607" w14:textId="77777777" w:rsidR="008079D8" w:rsidRDefault="00807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5241BB0" w14:textId="77777777" w:rsidR="008079D8" w:rsidRDefault="00807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546ED34" w14:textId="77777777" w:rsidR="008079D8" w:rsidRDefault="00807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D06BB8F" w14:textId="77777777" w:rsidR="008079D8" w:rsidRDefault="00807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8079D8" w14:paraId="7C50AFE7" w14:textId="77777777" w:rsidTr="008079D8">
        <w:trPr>
          <w:trHeight w:val="944"/>
        </w:trPr>
        <w:tc>
          <w:tcPr>
            <w:tcW w:w="2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1BD94DE" w14:textId="77777777" w:rsidR="008079D8" w:rsidRDefault="00807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Ochranný obličejový štít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7104F25F" w14:textId="77777777" w:rsidR="008079D8" w:rsidRDefault="008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11 087 ks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5D30BAA" w14:textId="77777777" w:rsidR="008079D8" w:rsidRDefault="008079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55,-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C735AFD" w14:textId="77777777" w:rsidR="008079D8" w:rsidRDefault="008079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11,55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  <w:hideMark/>
          </w:tcPr>
          <w:p w14:paraId="20767AC6" w14:textId="77777777" w:rsidR="008079D8" w:rsidRDefault="008079D8">
            <w:pPr>
              <w:jc w:val="center"/>
              <w:rPr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66,55</w:t>
            </w:r>
          </w:p>
        </w:tc>
      </w:tr>
    </w:tbl>
    <w:p w14:paraId="3E79370A" w14:textId="77777777" w:rsidR="008079D8" w:rsidRDefault="008079D8" w:rsidP="008079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2 - Nabídková cena a množství OOP </w:t>
      </w:r>
    </w:p>
    <w:p w14:paraId="4B4159DE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25216E52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0E91FD02" w14:textId="77777777" w:rsidR="008079D8" w:rsidRDefault="008079D8" w:rsidP="008079D8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1:</w:t>
      </w:r>
    </w:p>
    <w:p w14:paraId="11A3F891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5A83870D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02E0D64B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0689A330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694614CC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4098B4F6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3D630A46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1B8DEF28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2F1C8F33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75AE5DCF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p w14:paraId="3D51B693" w14:textId="77777777" w:rsidR="008079D8" w:rsidRDefault="008079D8" w:rsidP="008079D8">
      <w:pPr>
        <w:rPr>
          <w:rFonts w:ascii="Arial" w:hAnsi="Arial" w:cs="Arial"/>
        </w:rPr>
      </w:pPr>
      <w:r>
        <w:rPr>
          <w:rFonts w:ascii="Arial" w:hAnsi="Arial" w:cs="Arial"/>
        </w:rPr>
        <w:t>Uvedené ceny jsou včetně veškerých nákladů dodavatele s doručením do místa plnění (doprava, balné, clo apod).</w:t>
      </w:r>
    </w:p>
    <w:p w14:paraId="02D6004B" w14:textId="77777777" w:rsidR="008079D8" w:rsidRDefault="008079D8" w:rsidP="008079D8">
      <w:pPr>
        <w:rPr>
          <w:rFonts w:ascii="Arial" w:hAnsi="Arial" w:cs="Arial"/>
        </w:rPr>
      </w:pPr>
    </w:p>
    <w:p w14:paraId="66D5FD62" w14:textId="77777777" w:rsidR="008079D8" w:rsidRDefault="008079D8" w:rsidP="008079D8">
      <w:pPr>
        <w:rPr>
          <w:rFonts w:ascii="Arial" w:hAnsi="Arial" w:cs="Arial"/>
        </w:rPr>
      </w:pPr>
    </w:p>
    <w:p w14:paraId="3A668507" w14:textId="77777777" w:rsidR="008079D8" w:rsidRDefault="008079D8" w:rsidP="008079D8">
      <w:pPr>
        <w:rPr>
          <w:rFonts w:ascii="Arial" w:hAnsi="Arial" w:cs="Arial"/>
        </w:rPr>
        <w:sectPr w:rsidR="008079D8">
          <w:pgSz w:w="16838" w:h="11906" w:orient="landscape"/>
          <w:pgMar w:top="1418" w:right="1134" w:bottom="1418" w:left="1701" w:header="709" w:footer="0" w:gutter="0"/>
          <w:cols w:space="708"/>
          <w:formProt w:val="0"/>
        </w:sectPr>
      </w:pPr>
    </w:p>
    <w:p w14:paraId="0A0A21A8" w14:textId="77777777" w:rsidR="008079D8" w:rsidRDefault="008079D8" w:rsidP="008079D8">
      <w:pPr>
        <w:rPr>
          <w:rFonts w:ascii="Arial" w:hAnsi="Arial" w:cs="Arial"/>
          <w:b/>
        </w:rPr>
        <w:sectPr w:rsidR="008079D8">
          <w:pgSz w:w="16838" w:h="11906" w:orient="landscape"/>
          <w:pgMar w:top="1418" w:right="1134" w:bottom="1418" w:left="1701" w:header="709" w:footer="0" w:gutter="0"/>
          <w:cols w:space="708"/>
          <w:formProt w:val="0"/>
        </w:sectPr>
      </w:pPr>
    </w:p>
    <w:p w14:paraId="41B9E1C7" w14:textId="77777777" w:rsidR="008079D8" w:rsidRDefault="008079D8" w:rsidP="008079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1</w:t>
      </w:r>
    </w:p>
    <w:p w14:paraId="13176E88" w14:textId="77777777" w:rsidR="008079D8" w:rsidRDefault="008079D8" w:rsidP="008079D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2479"/>
        <w:gridCol w:w="1333"/>
        <w:gridCol w:w="3062"/>
        <w:gridCol w:w="146"/>
      </w:tblGrid>
      <w:tr w:rsidR="008079D8" w14:paraId="39FFFAB3" w14:textId="77777777" w:rsidTr="008079D8">
        <w:trPr>
          <w:gridAfter w:val="1"/>
          <w:trHeight w:val="541"/>
        </w:trPr>
        <w:tc>
          <w:tcPr>
            <w:tcW w:w="9050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04F805B7" w14:textId="77777777" w:rsidR="008079D8" w:rsidRDefault="008079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jednací RS:</w:t>
            </w:r>
          </w:p>
        </w:tc>
      </w:tr>
      <w:tr w:rsidR="008079D8" w14:paraId="643A6405" w14:textId="77777777" w:rsidTr="008079D8">
        <w:trPr>
          <w:gridAfter w:val="1"/>
          <w:trHeight w:val="652"/>
        </w:trPr>
        <w:tc>
          <w:tcPr>
            <w:tcW w:w="905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2C4167DD" w14:textId="5C0C973F" w:rsidR="008079D8" w:rsidRDefault="008079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OBJEDNÁVKA č. j.:</w:t>
            </w:r>
            <w:r w:rsidR="003060E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1/2020</w:t>
            </w:r>
          </w:p>
        </w:tc>
      </w:tr>
      <w:tr w:rsidR="008079D8" w14:paraId="6CC05C81" w14:textId="77777777" w:rsidTr="008079D8">
        <w:trPr>
          <w:gridAfter w:val="1"/>
          <w:trHeight w:val="390"/>
        </w:trPr>
        <w:tc>
          <w:tcPr>
            <w:tcW w:w="206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C12BF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07F7AF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vAlign w:val="center"/>
            <w:hideMark/>
          </w:tcPr>
          <w:p w14:paraId="43B5EDA9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3128" w:type="dxa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bottom"/>
            <w:hideMark/>
          </w:tcPr>
          <w:p w14:paraId="356B3440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079D8" w14:paraId="7961CF3C" w14:textId="77777777" w:rsidTr="008079D8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B83A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C0D4A2F" w14:textId="77777777" w:rsidR="008079D8" w:rsidRDefault="008079D8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Faktum Design s.r.o.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E3C0FF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206FBAE6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Domov Domino, poskytovatel sociálních služeb</w:t>
            </w:r>
          </w:p>
        </w:tc>
      </w:tr>
      <w:tr w:rsidR="008079D8" w14:paraId="60703AED" w14:textId="77777777" w:rsidTr="008079D8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2E27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9EF63AA" w14:textId="77777777" w:rsidR="008079D8" w:rsidRDefault="008079D8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Karásek 2245/1f, </w:t>
            </w:r>
          </w:p>
          <w:p w14:paraId="5FCF2DE6" w14:textId="77777777" w:rsidR="008079D8" w:rsidRDefault="008079D8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 00 Brno</w:t>
            </w:r>
          </w:p>
        </w:tc>
        <w:tc>
          <w:tcPr>
            <w:tcW w:w="1333" w:type="dxa"/>
            <w:vAlign w:val="center"/>
            <w:hideMark/>
          </w:tcPr>
          <w:p w14:paraId="2A20B2CA" w14:textId="77777777" w:rsidR="008079D8" w:rsidRDefault="008079D8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4377A7E1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Zavidov 117, 270 35 Petrovice</w:t>
            </w:r>
          </w:p>
        </w:tc>
      </w:tr>
      <w:tr w:rsidR="008079D8" w14:paraId="198EFA28" w14:textId="77777777" w:rsidTr="008079D8">
        <w:trPr>
          <w:gridAfter w:val="1"/>
          <w:trHeight w:val="690"/>
        </w:trPr>
        <w:tc>
          <w:tcPr>
            <w:tcW w:w="206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8E48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Jednající:</w:t>
            </w:r>
          </w:p>
        </w:tc>
        <w:tc>
          <w:tcPr>
            <w:tcW w:w="2521" w:type="dxa"/>
            <w:shd w:val="clear" w:color="auto" w:fill="FFFF00"/>
            <w:vAlign w:val="center"/>
            <w:hideMark/>
          </w:tcPr>
          <w:p w14:paraId="070C477C" w14:textId="77777777" w:rsidR="008079D8" w:rsidRDefault="008079D8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David John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F2607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Zastoupené: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EEEEEE"/>
            <w:vAlign w:val="bottom"/>
            <w:hideMark/>
          </w:tcPr>
          <w:p w14:paraId="2F02CD69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Hana Rusňáková, ředitelka</w:t>
            </w:r>
          </w:p>
        </w:tc>
      </w:tr>
      <w:tr w:rsidR="008079D8" w14:paraId="22093C50" w14:textId="77777777" w:rsidTr="008079D8">
        <w:trPr>
          <w:gridAfter w:val="1"/>
          <w:trHeight w:val="420"/>
        </w:trPr>
        <w:tc>
          <w:tcPr>
            <w:tcW w:w="206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8F2C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14:paraId="5EC45F21" w14:textId="77777777" w:rsidR="008079D8" w:rsidRDefault="008079D8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27705021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4E28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57FD0DDA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71209859</w:t>
            </w:r>
          </w:p>
        </w:tc>
      </w:tr>
      <w:tr w:rsidR="008079D8" w14:paraId="1B69DC70" w14:textId="77777777" w:rsidTr="008079D8">
        <w:trPr>
          <w:gridAfter w:val="1"/>
          <w:trHeight w:val="600"/>
        </w:trPr>
        <w:tc>
          <w:tcPr>
            <w:tcW w:w="206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93EA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14:paraId="6F466374" w14:textId="77777777" w:rsidR="008079D8" w:rsidRDefault="008079D8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CZ27705021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2451C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270239A3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079D8" w14:paraId="1A864B73" w14:textId="77777777" w:rsidTr="008079D8">
        <w:trPr>
          <w:gridAfter w:val="1"/>
          <w:trHeight w:val="615"/>
        </w:trPr>
        <w:tc>
          <w:tcPr>
            <w:tcW w:w="206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A6D55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14:paraId="27813C02" w14:textId="77777777" w:rsidR="008079D8" w:rsidRDefault="008079D8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ČSOB, a.s.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7E24F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11E1B26A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Komerční banka, a.s.</w:t>
            </w:r>
          </w:p>
        </w:tc>
      </w:tr>
      <w:tr w:rsidR="008079D8" w14:paraId="41083DFD" w14:textId="77777777" w:rsidTr="008079D8">
        <w:trPr>
          <w:gridAfter w:val="1"/>
          <w:trHeight w:val="585"/>
        </w:trPr>
        <w:tc>
          <w:tcPr>
            <w:tcW w:w="206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9446F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7931F01" w14:textId="77777777" w:rsidR="008079D8" w:rsidRDefault="008079D8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210602990/0300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94A8C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5F4DA6E3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51-5421110227/0100</w:t>
            </w:r>
          </w:p>
        </w:tc>
      </w:tr>
      <w:tr w:rsidR="008079D8" w14:paraId="2A065907" w14:textId="77777777" w:rsidTr="008079D8">
        <w:trPr>
          <w:gridAfter w:val="1"/>
          <w:trHeight w:val="480"/>
        </w:trPr>
        <w:tc>
          <w:tcPr>
            <w:tcW w:w="2068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743EDF7C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Předmět objednávky:</w:t>
            </w:r>
          </w:p>
        </w:tc>
        <w:tc>
          <w:tcPr>
            <w:tcW w:w="2521" w:type="dxa"/>
            <w:vAlign w:val="bottom"/>
            <w:hideMark/>
          </w:tcPr>
          <w:p w14:paraId="2B108A50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496F90D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nil"/>
              <w:right w:val="double" w:sz="6" w:space="0" w:color="000000"/>
            </w:tcBorders>
            <w:vAlign w:val="bottom"/>
            <w:hideMark/>
          </w:tcPr>
          <w:p w14:paraId="1EDD4755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079D8" w14:paraId="135C2307" w14:textId="77777777" w:rsidTr="008079D8">
        <w:trPr>
          <w:gridAfter w:val="1"/>
          <w:trHeight w:val="690"/>
        </w:trPr>
        <w:tc>
          <w:tcPr>
            <w:tcW w:w="905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50923084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Objednávka 10 kusů ochranných obličejových štítů (dále jen "zboží)</w:t>
            </w:r>
          </w:p>
        </w:tc>
      </w:tr>
      <w:tr w:rsidR="008079D8" w14:paraId="52F9871D" w14:textId="77777777" w:rsidTr="008079D8">
        <w:trPr>
          <w:gridAfter w:val="1"/>
          <w:trHeight w:val="585"/>
        </w:trPr>
        <w:tc>
          <w:tcPr>
            <w:tcW w:w="905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50B88CAC" w14:textId="6DEE7CA0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Celková cena zboží je stanovena na</w:t>
            </w:r>
            <w:r w:rsidR="003060E1">
              <w:rPr>
                <w:rFonts w:ascii="Arial" w:hAnsi="Arial" w:cs="Arial"/>
                <w:color w:val="000000"/>
                <w:sz w:val="20"/>
                <w:szCs w:val="20"/>
              </w:rPr>
              <w:t xml:space="preserve"> 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 bez DPH, což čin</w:t>
            </w:r>
            <w:r w:rsidR="003060E1">
              <w:rPr>
                <w:rFonts w:ascii="Arial" w:hAnsi="Arial" w:cs="Arial"/>
                <w:color w:val="000000"/>
                <w:sz w:val="20"/>
                <w:szCs w:val="20"/>
              </w:rPr>
              <w:t xml:space="preserve">í 665,50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Kč včetně DPH a hodnota DPH v Kč činí</w:t>
            </w:r>
            <w:r w:rsidR="003060E1">
              <w:rPr>
                <w:rFonts w:ascii="Arial" w:hAnsi="Arial" w:cs="Arial"/>
                <w:color w:val="000000"/>
                <w:sz w:val="20"/>
                <w:szCs w:val="20"/>
              </w:rPr>
              <w:t xml:space="preserve"> 115,50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Kč. </w:t>
            </w:r>
          </w:p>
        </w:tc>
      </w:tr>
      <w:tr w:rsidR="008079D8" w14:paraId="1509014D" w14:textId="77777777" w:rsidTr="008079D8">
        <w:trPr>
          <w:gridAfter w:val="1"/>
          <w:trHeight w:val="585"/>
        </w:trPr>
        <w:tc>
          <w:tcPr>
            <w:tcW w:w="905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49C13B33" w14:textId="712FFEAF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Jednotková cena za 1 ks je stanovena na 55 Kč bez DPH, což činí 66,55 Kč včetně DPH a hodnota DPH je 11,55 Kč. </w:t>
            </w:r>
          </w:p>
        </w:tc>
      </w:tr>
      <w:tr w:rsidR="008079D8" w14:paraId="75615898" w14:textId="77777777" w:rsidTr="008079D8">
        <w:trPr>
          <w:gridAfter w:val="1"/>
          <w:trHeight w:val="570"/>
        </w:trPr>
        <w:tc>
          <w:tcPr>
            <w:tcW w:w="905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15839E6C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Místem dodání zboží bude Nemocnice Středočeského kraje a.s., Zborovská 81/11, 150 00 Praha-Smíchov.</w:t>
            </w:r>
          </w:p>
        </w:tc>
      </w:tr>
      <w:tr w:rsidR="008079D8" w14:paraId="531C01E2" w14:textId="77777777" w:rsidTr="008079D8">
        <w:trPr>
          <w:gridAfter w:val="1"/>
          <w:trHeight w:val="458"/>
        </w:trPr>
        <w:tc>
          <w:tcPr>
            <w:tcW w:w="2068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0A460" w14:textId="77777777" w:rsidR="008079D8" w:rsidRDefault="00807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dodání:</w:t>
            </w:r>
          </w:p>
        </w:tc>
        <w:tc>
          <w:tcPr>
            <w:tcW w:w="6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vAlign w:val="center"/>
            <w:hideMark/>
          </w:tcPr>
          <w:p w14:paraId="71FEB2BD" w14:textId="77777777" w:rsidR="008079D8" w:rsidRDefault="00807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30.9.2020</w:t>
            </w:r>
          </w:p>
        </w:tc>
      </w:tr>
      <w:tr w:rsidR="008079D8" w14:paraId="41C167FE" w14:textId="77777777" w:rsidTr="008079D8">
        <w:trPr>
          <w:trHeight w:val="27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11370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3B5D0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2A56F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79D8" w14:paraId="03104788" w14:textId="77777777" w:rsidTr="008079D8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F5EDB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FA6BA65" w14:textId="4F610666" w:rsidR="008079D8" w:rsidRDefault="003060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665,50 Kč</w:t>
            </w:r>
          </w:p>
        </w:tc>
        <w:tc>
          <w:tcPr>
            <w:tcW w:w="0" w:type="auto"/>
            <w:vAlign w:val="center"/>
            <w:hideMark/>
          </w:tcPr>
          <w:p w14:paraId="4A498F6E" w14:textId="77777777" w:rsidR="008079D8" w:rsidRDefault="008079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79D8" w14:paraId="78CE6415" w14:textId="77777777" w:rsidTr="008079D8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D458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Splatnost faktury je do:</w:t>
            </w:r>
          </w:p>
        </w:tc>
        <w:tc>
          <w:tcPr>
            <w:tcW w:w="6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42A306B1" w14:textId="77777777" w:rsidR="008079D8" w:rsidRDefault="00807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dnů od doručení faktury objednateli</w:t>
            </w:r>
          </w:p>
        </w:tc>
        <w:tc>
          <w:tcPr>
            <w:tcW w:w="0" w:type="auto"/>
            <w:vAlign w:val="center"/>
            <w:hideMark/>
          </w:tcPr>
          <w:p w14:paraId="0344932A" w14:textId="77777777" w:rsidR="008079D8" w:rsidRDefault="008079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79D8" w14:paraId="3B0A51DC" w14:textId="77777777" w:rsidTr="008079D8">
        <w:trPr>
          <w:trHeight w:val="255"/>
        </w:trPr>
        <w:tc>
          <w:tcPr>
            <w:tcW w:w="4590" w:type="dxa"/>
            <w:gridSpan w:val="2"/>
            <w:vMerge w:val="restart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F85A077" w14:textId="77777777" w:rsidR="003060E1" w:rsidRDefault="00807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60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Ing. David John</w:t>
            </w:r>
          </w:p>
          <w:p w14:paraId="20E271D2" w14:textId="529093DE" w:rsidR="008079D8" w:rsidRDefault="00807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3060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Brně, 9.9.2020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A3536F8" w14:textId="77777777" w:rsidR="008079D8" w:rsidRDefault="00807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14:paraId="568A8BFA" w14:textId="77777777" w:rsidR="008079D8" w:rsidRDefault="00807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Vystavil(a): </w:t>
            </w:r>
          </w:p>
          <w:p w14:paraId="1C28E564" w14:textId="77777777" w:rsidR="008079D8" w:rsidRDefault="00807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Hana Rusňáková</w:t>
            </w:r>
          </w:p>
        </w:tc>
        <w:tc>
          <w:tcPr>
            <w:tcW w:w="0" w:type="auto"/>
            <w:vAlign w:val="center"/>
            <w:hideMark/>
          </w:tcPr>
          <w:p w14:paraId="67F4F28F" w14:textId="77777777" w:rsidR="008079D8" w:rsidRDefault="008079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79D8" w14:paraId="2EA0410C" w14:textId="77777777" w:rsidTr="008079D8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F32CB5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06CFAE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EEEEEE"/>
            <w:vAlign w:val="bottom"/>
            <w:hideMark/>
          </w:tcPr>
          <w:p w14:paraId="795A1B54" w14:textId="17A74208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V Zavidově dne </w:t>
            </w:r>
            <w:r w:rsidR="003060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.9.2020</w:t>
            </w:r>
          </w:p>
        </w:tc>
        <w:tc>
          <w:tcPr>
            <w:tcW w:w="0" w:type="auto"/>
            <w:vAlign w:val="center"/>
            <w:hideMark/>
          </w:tcPr>
          <w:p w14:paraId="10D74C8C" w14:textId="77777777" w:rsidR="008079D8" w:rsidRDefault="008079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79D8" w14:paraId="09439D3B" w14:textId="77777777" w:rsidTr="008079D8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EC26F3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9F1DF6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EEEEEE"/>
            <w:vAlign w:val="bottom"/>
            <w:hideMark/>
          </w:tcPr>
          <w:p w14:paraId="2D4D0623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F14727" w14:textId="77777777" w:rsidR="008079D8" w:rsidRDefault="008079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79D8" w14:paraId="36B7DF33" w14:textId="77777777" w:rsidTr="008079D8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1F38FDE" w14:textId="77777777" w:rsidR="008079D8" w:rsidRDefault="00807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dodavatele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00"/>
            <w:vAlign w:val="center"/>
          </w:tcPr>
          <w:p w14:paraId="77E2EA4C" w14:textId="77777777" w:rsidR="008079D8" w:rsidRDefault="00807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435DB8" w14:textId="77777777" w:rsidR="008079D8" w:rsidRDefault="008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14:paraId="4E6F5334" w14:textId="77777777" w:rsidR="008079D8" w:rsidRDefault="00807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7D94B" w14:textId="77777777" w:rsidR="008079D8" w:rsidRDefault="008079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376742B" w14:textId="77777777" w:rsidR="00BA2754" w:rsidRDefault="00BA2754"/>
    <w:sectPr w:rsidR="00BA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EA"/>
    <w:rsid w:val="003060E1"/>
    <w:rsid w:val="005242EA"/>
    <w:rsid w:val="008079D8"/>
    <w:rsid w:val="00B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9640"/>
  <w15:chartTrackingRefBased/>
  <w15:docId w15:val="{ED94EC48-AFA9-40BE-97D3-5875C087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79D8"/>
    <w:pPr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5</cp:revision>
  <dcterms:created xsi:type="dcterms:W3CDTF">2020-09-07T12:50:00Z</dcterms:created>
  <dcterms:modified xsi:type="dcterms:W3CDTF">2020-09-30T08:26:00Z</dcterms:modified>
</cp:coreProperties>
</file>