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03D0DFE" w14:textId="07CB3902" w:rsidR="00AC27CA" w:rsidRPr="006304A7" w:rsidRDefault="0054068D">
      <w:pPr>
        <w:pStyle w:val="HHTitle2"/>
        <w:rPr>
          <w:rFonts w:ascii="Calibri" w:hAnsi="Calibri" w:cs="Calibri"/>
          <w:color w:val="auto"/>
          <w:sz w:val="24"/>
        </w:rPr>
      </w:pPr>
      <w:r w:rsidRPr="006304A7">
        <w:rPr>
          <w:rFonts w:ascii="Calibri" w:hAnsi="Calibri" w:cs="Calibri"/>
          <w:color w:val="auto"/>
          <w:sz w:val="28"/>
        </w:rPr>
        <w:t>smlouva</w:t>
      </w:r>
      <w:r w:rsidR="00AE64A7" w:rsidRPr="006304A7">
        <w:rPr>
          <w:rFonts w:ascii="Calibri" w:hAnsi="Calibri" w:cs="Calibri"/>
          <w:color w:val="auto"/>
          <w:sz w:val="28"/>
        </w:rPr>
        <w:t xml:space="preserve"> o Partnerství </w:t>
      </w:r>
      <w:r w:rsidR="00201072">
        <w:rPr>
          <w:rFonts w:ascii="Calibri" w:hAnsi="Calibri" w:cs="Calibri"/>
          <w:color w:val="auto"/>
          <w:sz w:val="28"/>
        </w:rPr>
        <w:t xml:space="preserve">na konferenci národní průmyslový summit </w:t>
      </w:r>
    </w:p>
    <w:p w14:paraId="214EC582" w14:textId="445234CC" w:rsidR="00AC27CA" w:rsidRPr="006304A7" w:rsidRDefault="005A3CDE" w:rsidP="005A3CDE">
      <w:pPr>
        <w:jc w:val="center"/>
        <w:rPr>
          <w:rFonts w:ascii="Calibri" w:hAnsi="Calibri" w:cs="Calibri"/>
          <w:color w:val="auto"/>
        </w:rPr>
      </w:pPr>
      <w:r w:rsidRPr="006304A7">
        <w:rPr>
          <w:rFonts w:ascii="Calibri" w:hAnsi="Calibri" w:cs="Calibri"/>
          <w:color w:val="auto"/>
        </w:rPr>
        <w:t xml:space="preserve">uzavřená </w:t>
      </w:r>
      <w:r w:rsidR="00AE64A7" w:rsidRPr="006304A7">
        <w:rPr>
          <w:rFonts w:ascii="Calibri" w:hAnsi="Calibri" w:cs="Calibri"/>
          <w:color w:val="auto"/>
        </w:rPr>
        <w:t>dle ustanovení § 1746 od</w:t>
      </w:r>
      <w:r w:rsidRPr="006304A7">
        <w:rPr>
          <w:rFonts w:ascii="Calibri" w:hAnsi="Calibri" w:cs="Calibri"/>
          <w:color w:val="auto"/>
        </w:rPr>
        <w:t>st. 2</w:t>
      </w:r>
      <w:r w:rsidR="009353F6" w:rsidRPr="006304A7">
        <w:rPr>
          <w:rFonts w:ascii="Calibri" w:hAnsi="Calibri" w:cs="Calibri"/>
          <w:color w:val="auto"/>
        </w:rPr>
        <w:t xml:space="preserve"> zákona č. 89/2012 Sb., občanského</w:t>
      </w:r>
      <w:r w:rsidR="00AE64A7" w:rsidRPr="006304A7">
        <w:rPr>
          <w:rFonts w:ascii="Calibri" w:hAnsi="Calibri" w:cs="Calibri"/>
          <w:color w:val="auto"/>
        </w:rPr>
        <w:t xml:space="preserve"> zákoník</w:t>
      </w:r>
      <w:r w:rsidR="009353F6" w:rsidRPr="006304A7">
        <w:rPr>
          <w:rFonts w:ascii="Calibri" w:hAnsi="Calibri" w:cs="Calibri"/>
          <w:color w:val="auto"/>
        </w:rPr>
        <w:t>u</w:t>
      </w:r>
      <w:r w:rsidR="00AE64A7" w:rsidRPr="006304A7">
        <w:rPr>
          <w:rFonts w:ascii="Calibri" w:hAnsi="Calibri" w:cs="Calibri"/>
          <w:color w:val="auto"/>
        </w:rPr>
        <w:t>, ve znění pozdějších předpisů (dále „</w:t>
      </w:r>
      <w:r w:rsidR="0054068D" w:rsidRPr="006304A7">
        <w:rPr>
          <w:rFonts w:ascii="Calibri" w:hAnsi="Calibri" w:cs="Calibri"/>
          <w:b/>
          <w:bCs/>
          <w:color w:val="auto"/>
        </w:rPr>
        <w:t>Smlouva</w:t>
      </w:r>
      <w:r w:rsidR="00AE64A7" w:rsidRPr="006304A7">
        <w:rPr>
          <w:rFonts w:ascii="Calibri" w:hAnsi="Calibri" w:cs="Calibri"/>
          <w:color w:val="auto"/>
        </w:rPr>
        <w:t>“)</w:t>
      </w:r>
    </w:p>
    <w:p w14:paraId="65FBC5D8" w14:textId="77777777" w:rsidR="00AC27CA" w:rsidRPr="006304A7" w:rsidRDefault="00AE64A7">
      <w:pPr>
        <w:pStyle w:val="Smluvnistranypreambule"/>
        <w:rPr>
          <w:rFonts w:ascii="Calibri" w:hAnsi="Calibri" w:cs="Calibri"/>
          <w:color w:val="auto"/>
        </w:rPr>
      </w:pPr>
      <w:r w:rsidRPr="006304A7">
        <w:rPr>
          <w:rFonts w:ascii="Calibri" w:hAnsi="Calibri" w:cs="Calibri"/>
          <w:color w:val="auto"/>
        </w:rPr>
        <w:t>Smluvní strany</w:t>
      </w:r>
    </w:p>
    <w:p w14:paraId="06E1E376" w14:textId="0632762A" w:rsidR="00AC27CA" w:rsidRPr="006304A7" w:rsidRDefault="00AE64A7" w:rsidP="005A3CDE">
      <w:pPr>
        <w:widowControl w:val="0"/>
        <w:tabs>
          <w:tab w:val="left" w:pos="567"/>
        </w:tabs>
        <w:ind w:left="561"/>
        <w:rPr>
          <w:rFonts w:ascii="Calibri" w:hAnsi="Calibri" w:cs="Calibri"/>
          <w:b/>
          <w:bCs/>
          <w:color w:val="auto"/>
        </w:rPr>
      </w:pPr>
      <w:r w:rsidRPr="006304A7">
        <w:rPr>
          <w:rFonts w:ascii="Calibri" w:hAnsi="Calibri" w:cs="Calibri"/>
          <w:b/>
          <w:bCs/>
          <w:color w:val="auto"/>
        </w:rPr>
        <w:tab/>
        <w:t xml:space="preserve">České vysoké učení technické v Praze, Český institut informatiky, robotiky a kybernetiky </w:t>
      </w:r>
      <w:r w:rsidRPr="006304A7">
        <w:rPr>
          <w:rFonts w:ascii="Calibri" w:hAnsi="Calibri" w:cs="Calibri"/>
          <w:bCs/>
          <w:color w:val="auto"/>
        </w:rPr>
        <w:t>(dále jen</w:t>
      </w:r>
      <w:r w:rsidRPr="006304A7">
        <w:rPr>
          <w:rFonts w:ascii="Calibri" w:hAnsi="Calibri" w:cs="Calibri"/>
          <w:b/>
          <w:bCs/>
          <w:color w:val="auto"/>
        </w:rPr>
        <w:t xml:space="preserve"> „ČVUT“</w:t>
      </w:r>
      <w:r w:rsidR="00310431">
        <w:rPr>
          <w:rFonts w:ascii="Calibri" w:hAnsi="Calibri" w:cs="Calibri"/>
          <w:b/>
          <w:bCs/>
          <w:color w:val="auto"/>
        </w:rPr>
        <w:t xml:space="preserve"> </w:t>
      </w:r>
      <w:r w:rsidR="00310431" w:rsidRPr="00310431">
        <w:rPr>
          <w:rFonts w:ascii="Calibri" w:hAnsi="Calibri" w:cs="Calibri"/>
          <w:bCs/>
          <w:color w:val="auto"/>
        </w:rPr>
        <w:t>nebo</w:t>
      </w:r>
      <w:r w:rsidR="00310431">
        <w:rPr>
          <w:rFonts w:ascii="Calibri" w:hAnsi="Calibri" w:cs="Calibri"/>
          <w:b/>
          <w:bCs/>
          <w:color w:val="auto"/>
        </w:rPr>
        <w:t xml:space="preserve"> „Dodavatel“</w:t>
      </w:r>
      <w:r w:rsidRPr="00310431">
        <w:rPr>
          <w:rFonts w:ascii="Calibri" w:hAnsi="Calibri" w:cs="Calibri"/>
          <w:bCs/>
          <w:color w:val="auto"/>
        </w:rPr>
        <w:t>)</w:t>
      </w:r>
    </w:p>
    <w:p w14:paraId="22DFE03D" w14:textId="77777777" w:rsidR="00AC27CA" w:rsidRPr="006304A7" w:rsidRDefault="00AE64A7">
      <w:pPr>
        <w:pStyle w:val="Text11"/>
        <w:tabs>
          <w:tab w:val="left" w:pos="567"/>
        </w:tabs>
        <w:rPr>
          <w:rFonts w:ascii="Calibri" w:hAnsi="Calibri" w:cs="Calibri"/>
          <w:color w:val="auto"/>
        </w:rPr>
      </w:pPr>
      <w:r w:rsidRPr="006304A7">
        <w:rPr>
          <w:rFonts w:ascii="Calibri" w:hAnsi="Calibri" w:cs="Calibri"/>
          <w:color w:val="auto"/>
        </w:rPr>
        <w:t xml:space="preserve">se sídlem Jugoslávských partyzánů 1580/3, 160 00 Praha 6 – Dejvice, IČO: 68407700, </w:t>
      </w:r>
    </w:p>
    <w:p w14:paraId="01AA4ABF" w14:textId="04FB6EDF" w:rsidR="00AC27CA" w:rsidRPr="006304A7" w:rsidRDefault="005A3CDE">
      <w:pPr>
        <w:pStyle w:val="Text11"/>
        <w:tabs>
          <w:tab w:val="left" w:pos="567"/>
        </w:tabs>
        <w:rPr>
          <w:rFonts w:ascii="Calibri" w:hAnsi="Calibri" w:cs="Calibri"/>
          <w:color w:val="auto"/>
        </w:rPr>
      </w:pPr>
      <w:r w:rsidRPr="006304A7">
        <w:rPr>
          <w:rFonts w:ascii="Calibri" w:hAnsi="Calibri" w:cs="Calibri"/>
          <w:color w:val="auto"/>
        </w:rPr>
        <w:t>z</w:t>
      </w:r>
      <w:r w:rsidR="00A130D1" w:rsidRPr="006304A7">
        <w:rPr>
          <w:rFonts w:ascii="Calibri" w:hAnsi="Calibri" w:cs="Calibri"/>
          <w:color w:val="auto"/>
        </w:rPr>
        <w:t>astoupen</w:t>
      </w:r>
      <w:r w:rsidRPr="006304A7">
        <w:rPr>
          <w:rFonts w:ascii="Calibri" w:hAnsi="Calibri" w:cs="Calibri"/>
          <w:color w:val="auto"/>
        </w:rPr>
        <w:t xml:space="preserve"> </w:t>
      </w:r>
    </w:p>
    <w:p w14:paraId="7D0238E8" w14:textId="77777777" w:rsidR="00AC27CA" w:rsidRPr="006304A7" w:rsidRDefault="00AE64A7">
      <w:pPr>
        <w:pStyle w:val="Smluvstranya"/>
        <w:tabs>
          <w:tab w:val="left" w:pos="567"/>
        </w:tabs>
        <w:rPr>
          <w:rFonts w:ascii="Calibri" w:hAnsi="Calibri" w:cs="Calibri"/>
          <w:color w:val="auto"/>
        </w:rPr>
      </w:pPr>
      <w:r w:rsidRPr="006304A7">
        <w:rPr>
          <w:rFonts w:ascii="Calibri" w:hAnsi="Calibri" w:cs="Calibri"/>
          <w:color w:val="auto"/>
        </w:rPr>
        <w:t>a</w:t>
      </w:r>
    </w:p>
    <w:p w14:paraId="48CEC01E" w14:textId="209E0B47" w:rsidR="008B719C" w:rsidRPr="005A3CDE" w:rsidRDefault="00885953" w:rsidP="008B719C">
      <w:pPr>
        <w:pStyle w:val="Text11"/>
        <w:tabs>
          <w:tab w:val="left" w:pos="567"/>
        </w:tabs>
        <w:ind w:left="567"/>
        <w:rPr>
          <w:rFonts w:ascii="Calibri" w:hAnsi="Calibri" w:cs="Calibri"/>
          <w:b/>
          <w:bCs/>
          <w:color w:val="000000" w:themeColor="text1"/>
        </w:rPr>
      </w:pPr>
      <w:r>
        <w:rPr>
          <w:rFonts w:ascii="Calibri" w:hAnsi="Calibri" w:cs="Calibri"/>
          <w:b/>
          <w:bCs/>
          <w:color w:val="000000" w:themeColor="text1"/>
        </w:rPr>
        <w:t xml:space="preserve">Deloitte CZ </w:t>
      </w:r>
      <w:proofErr w:type="spellStart"/>
      <w:r>
        <w:rPr>
          <w:rFonts w:ascii="Calibri" w:hAnsi="Calibri" w:cs="Calibri"/>
          <w:b/>
          <w:bCs/>
          <w:color w:val="000000" w:themeColor="text1"/>
        </w:rPr>
        <w:t>Services</w:t>
      </w:r>
      <w:proofErr w:type="spellEnd"/>
      <w:r>
        <w:rPr>
          <w:rFonts w:ascii="Calibri" w:hAnsi="Calibri" w:cs="Calibri"/>
          <w:b/>
          <w:bCs/>
          <w:color w:val="000000" w:themeColor="text1"/>
        </w:rPr>
        <w:t>, s.r.o.</w:t>
      </w:r>
      <w:r w:rsidR="008B719C" w:rsidRPr="005A3CDE">
        <w:rPr>
          <w:rFonts w:ascii="Calibri" w:hAnsi="Calibri" w:cs="Calibri"/>
          <w:b/>
          <w:bCs/>
          <w:color w:val="000000" w:themeColor="text1"/>
        </w:rPr>
        <w:t xml:space="preserve"> </w:t>
      </w:r>
      <w:r w:rsidR="008B719C" w:rsidRPr="005A3CDE">
        <w:rPr>
          <w:rFonts w:ascii="Calibri" w:hAnsi="Calibri" w:cs="Calibri"/>
          <w:color w:val="000000" w:themeColor="text1"/>
        </w:rPr>
        <w:t>(dále jen „</w:t>
      </w:r>
      <w:r w:rsidR="008B719C" w:rsidRPr="005A3CDE">
        <w:rPr>
          <w:rFonts w:ascii="Calibri" w:hAnsi="Calibri" w:cs="Calibri"/>
          <w:b/>
          <w:bCs/>
          <w:color w:val="000000" w:themeColor="text1"/>
        </w:rPr>
        <w:t>Partner</w:t>
      </w:r>
      <w:r w:rsidR="008B719C" w:rsidRPr="005A3CDE">
        <w:rPr>
          <w:rFonts w:ascii="Calibri" w:hAnsi="Calibri" w:cs="Calibri"/>
          <w:color w:val="000000" w:themeColor="text1"/>
        </w:rPr>
        <w:t>“</w:t>
      </w:r>
      <w:r w:rsidR="00D2791E">
        <w:rPr>
          <w:rFonts w:ascii="Calibri" w:hAnsi="Calibri" w:cs="Calibri"/>
          <w:color w:val="000000" w:themeColor="text1"/>
        </w:rPr>
        <w:t xml:space="preserve"> nebo „Deloitte“</w:t>
      </w:r>
      <w:r w:rsidR="008B719C" w:rsidRPr="005A3CDE">
        <w:rPr>
          <w:rFonts w:ascii="Calibri" w:hAnsi="Calibri" w:cs="Calibri"/>
          <w:color w:val="000000" w:themeColor="text1"/>
        </w:rPr>
        <w:t>)</w:t>
      </w:r>
    </w:p>
    <w:p w14:paraId="3EAD1930" w14:textId="786E8A62" w:rsidR="008B719C" w:rsidRPr="005A3CDE" w:rsidRDefault="008B719C" w:rsidP="008B719C">
      <w:pPr>
        <w:pStyle w:val="Text11"/>
        <w:tabs>
          <w:tab w:val="left" w:pos="567"/>
        </w:tabs>
        <w:ind w:left="567"/>
        <w:rPr>
          <w:rFonts w:ascii="Calibri" w:hAnsi="Calibri" w:cs="Calibri"/>
          <w:color w:val="000000" w:themeColor="text1"/>
        </w:rPr>
      </w:pPr>
      <w:r w:rsidRPr="005A3CDE">
        <w:rPr>
          <w:rFonts w:ascii="Calibri" w:hAnsi="Calibri" w:cs="Calibri"/>
          <w:color w:val="000000" w:themeColor="text1"/>
        </w:rPr>
        <w:t xml:space="preserve">se sídlem </w:t>
      </w:r>
      <w:r w:rsidR="00885953">
        <w:rPr>
          <w:rFonts w:ascii="Calibri" w:hAnsi="Calibri" w:cs="Calibri"/>
          <w:color w:val="000000" w:themeColor="text1"/>
        </w:rPr>
        <w:t xml:space="preserve">Italská 2581/67, 120 00 Praha 2, </w:t>
      </w:r>
      <w:r w:rsidR="00885953" w:rsidRPr="00885953">
        <w:rPr>
          <w:rFonts w:ascii="Calibri" w:hAnsi="Calibri" w:cs="Calibri"/>
          <w:color w:val="000000" w:themeColor="text1"/>
        </w:rPr>
        <w:t>IČO</w:t>
      </w:r>
      <w:r w:rsidR="00D2791E">
        <w:rPr>
          <w:rFonts w:ascii="Calibri" w:hAnsi="Calibri" w:cs="Calibri"/>
          <w:color w:val="000000" w:themeColor="text1"/>
        </w:rPr>
        <w:t>:</w:t>
      </w:r>
      <w:r w:rsidR="00885953" w:rsidRPr="00885953">
        <w:rPr>
          <w:rFonts w:ascii="Calibri" w:hAnsi="Calibri" w:cs="Calibri"/>
          <w:color w:val="000000" w:themeColor="text1"/>
        </w:rPr>
        <w:t xml:space="preserve"> 05660904, DIČ</w:t>
      </w:r>
      <w:r w:rsidR="00D2791E">
        <w:rPr>
          <w:rFonts w:ascii="Calibri" w:hAnsi="Calibri" w:cs="Calibri"/>
          <w:color w:val="000000" w:themeColor="text1"/>
        </w:rPr>
        <w:t>:</w:t>
      </w:r>
      <w:r w:rsidR="00885953" w:rsidRPr="00885953">
        <w:rPr>
          <w:rFonts w:ascii="Calibri" w:hAnsi="Calibri" w:cs="Calibri"/>
          <w:color w:val="000000" w:themeColor="text1"/>
        </w:rPr>
        <w:t xml:space="preserve"> CZ05660904</w:t>
      </w:r>
      <w:r w:rsidR="00885953">
        <w:rPr>
          <w:rFonts w:ascii="Calibri" w:hAnsi="Calibri" w:cs="Calibri"/>
          <w:color w:val="000000" w:themeColor="text1"/>
        </w:rPr>
        <w:t>,</w:t>
      </w:r>
      <w:r w:rsidRPr="005A3CDE">
        <w:rPr>
          <w:rFonts w:ascii="Calibri" w:hAnsi="Calibri" w:cs="Calibri"/>
          <w:color w:val="000000" w:themeColor="text1"/>
        </w:rPr>
        <w:t xml:space="preserve"> zapsaná v obchodním rejstříku vedeném u </w:t>
      </w:r>
      <w:r w:rsidR="00885953">
        <w:rPr>
          <w:rFonts w:ascii="Calibri" w:hAnsi="Calibri" w:cs="Calibri"/>
          <w:color w:val="000000" w:themeColor="text1"/>
        </w:rPr>
        <w:t>Městského soudu v Praze, oddíl C, vložka</w:t>
      </w:r>
      <w:r w:rsidR="00471655">
        <w:rPr>
          <w:rFonts w:ascii="Calibri" w:hAnsi="Calibri" w:cs="Calibri"/>
          <w:color w:val="000000" w:themeColor="text1"/>
        </w:rPr>
        <w:t xml:space="preserve"> </w:t>
      </w:r>
      <w:r w:rsidR="00885953" w:rsidRPr="00885953">
        <w:rPr>
          <w:rFonts w:ascii="Calibri" w:hAnsi="Calibri" w:cs="Calibri"/>
          <w:color w:val="000000" w:themeColor="text1"/>
        </w:rPr>
        <w:t>268054</w:t>
      </w:r>
      <w:r w:rsidRPr="005A3CDE">
        <w:rPr>
          <w:rFonts w:ascii="Calibri" w:hAnsi="Calibri" w:cs="Calibri"/>
          <w:color w:val="000000" w:themeColor="text1"/>
        </w:rPr>
        <w:t xml:space="preserve"> </w:t>
      </w:r>
    </w:p>
    <w:p w14:paraId="11AC1B8F" w14:textId="3CD90FD8" w:rsidR="008B719C" w:rsidRPr="005A3CDE" w:rsidRDefault="008B719C" w:rsidP="008B719C">
      <w:pPr>
        <w:pStyle w:val="Text11"/>
        <w:tabs>
          <w:tab w:val="left" w:pos="567"/>
        </w:tabs>
        <w:ind w:left="567"/>
        <w:rPr>
          <w:rFonts w:ascii="Calibri" w:hAnsi="Calibri" w:cs="Calibri"/>
          <w:color w:val="000000" w:themeColor="text1"/>
        </w:rPr>
      </w:pPr>
      <w:r w:rsidRPr="005A3CDE">
        <w:rPr>
          <w:rFonts w:ascii="Calibri" w:hAnsi="Calibri" w:cs="Calibri"/>
          <w:color w:val="000000" w:themeColor="text1"/>
        </w:rPr>
        <w:t xml:space="preserve">zastoupená </w:t>
      </w:r>
    </w:p>
    <w:p w14:paraId="4137C4CE" w14:textId="639AE84D" w:rsidR="00434596" w:rsidRDefault="00434596" w:rsidP="008B719C">
      <w:pPr>
        <w:pStyle w:val="Text11"/>
        <w:tabs>
          <w:tab w:val="left" w:pos="567"/>
        </w:tabs>
        <w:rPr>
          <w:rFonts w:ascii="Calibri" w:hAnsi="Calibri" w:cs="Calibri"/>
          <w:color w:val="auto"/>
        </w:rPr>
      </w:pPr>
    </w:p>
    <w:p w14:paraId="03E98DC8" w14:textId="1747991D" w:rsidR="00AC27CA" w:rsidRDefault="00434596" w:rsidP="00434596">
      <w:pPr>
        <w:pStyle w:val="Text11"/>
        <w:tabs>
          <w:tab w:val="left" w:pos="567"/>
        </w:tabs>
        <w:rPr>
          <w:rFonts w:ascii="Calibri" w:hAnsi="Calibri" w:cs="Calibri"/>
          <w:color w:val="auto"/>
        </w:rPr>
      </w:pPr>
      <w:r>
        <w:rPr>
          <w:rFonts w:ascii="Calibri" w:hAnsi="Calibri" w:cs="Calibri"/>
          <w:color w:val="auto"/>
        </w:rPr>
        <w:t>(</w:t>
      </w:r>
      <w:r w:rsidR="00AE64A7" w:rsidRPr="006304A7">
        <w:rPr>
          <w:rFonts w:ascii="Calibri" w:hAnsi="Calibri" w:cs="Calibri"/>
          <w:color w:val="auto"/>
        </w:rPr>
        <w:t xml:space="preserve">ČVUT a Partner </w:t>
      </w:r>
      <w:r w:rsidR="00322B44" w:rsidRPr="006304A7">
        <w:rPr>
          <w:rFonts w:ascii="Calibri" w:hAnsi="Calibri" w:cs="Calibri"/>
          <w:color w:val="auto"/>
        </w:rPr>
        <w:t xml:space="preserve">dále </w:t>
      </w:r>
      <w:r w:rsidR="00AE64A7" w:rsidRPr="006304A7">
        <w:rPr>
          <w:rFonts w:ascii="Calibri" w:hAnsi="Calibri" w:cs="Calibri"/>
          <w:color w:val="auto"/>
        </w:rPr>
        <w:t>společně</w:t>
      </w:r>
      <w:r w:rsidR="005A3CDE" w:rsidRPr="006304A7">
        <w:rPr>
          <w:rFonts w:ascii="Calibri" w:hAnsi="Calibri" w:cs="Calibri"/>
          <w:color w:val="auto"/>
        </w:rPr>
        <w:t xml:space="preserve"> </w:t>
      </w:r>
      <w:r w:rsidR="00322B44" w:rsidRPr="006304A7">
        <w:rPr>
          <w:rFonts w:ascii="Calibri" w:hAnsi="Calibri" w:cs="Calibri"/>
          <w:color w:val="auto"/>
        </w:rPr>
        <w:t xml:space="preserve">jen </w:t>
      </w:r>
      <w:r w:rsidR="005A3CDE" w:rsidRPr="006304A7">
        <w:rPr>
          <w:rFonts w:ascii="Calibri" w:hAnsi="Calibri" w:cs="Calibri"/>
          <w:color w:val="auto"/>
        </w:rPr>
        <w:t>jako</w:t>
      </w:r>
      <w:r w:rsidR="00AE64A7" w:rsidRPr="006304A7">
        <w:rPr>
          <w:rFonts w:ascii="Calibri" w:hAnsi="Calibri" w:cs="Calibri"/>
          <w:color w:val="auto"/>
        </w:rPr>
        <w:t xml:space="preserve"> „</w:t>
      </w:r>
      <w:r w:rsidR="00AE64A7" w:rsidRPr="006304A7">
        <w:rPr>
          <w:rFonts w:ascii="Calibri" w:hAnsi="Calibri" w:cs="Calibri"/>
          <w:b/>
          <w:bCs/>
          <w:color w:val="auto"/>
        </w:rPr>
        <w:t>Strany</w:t>
      </w:r>
      <w:r w:rsidR="00AE64A7" w:rsidRPr="006304A7">
        <w:rPr>
          <w:rFonts w:ascii="Calibri" w:hAnsi="Calibri" w:cs="Calibri"/>
          <w:color w:val="auto"/>
        </w:rPr>
        <w:t>“ a samostatně</w:t>
      </w:r>
      <w:r w:rsidR="005A3CDE" w:rsidRPr="006304A7">
        <w:rPr>
          <w:rFonts w:ascii="Calibri" w:hAnsi="Calibri" w:cs="Calibri"/>
          <w:color w:val="auto"/>
        </w:rPr>
        <w:t xml:space="preserve"> </w:t>
      </w:r>
      <w:r w:rsidR="00322B44" w:rsidRPr="006304A7">
        <w:rPr>
          <w:rFonts w:ascii="Calibri" w:hAnsi="Calibri" w:cs="Calibri"/>
          <w:color w:val="auto"/>
        </w:rPr>
        <w:t xml:space="preserve">jen </w:t>
      </w:r>
      <w:r w:rsidR="005A3CDE" w:rsidRPr="006304A7">
        <w:rPr>
          <w:rFonts w:ascii="Calibri" w:hAnsi="Calibri" w:cs="Calibri"/>
          <w:color w:val="auto"/>
        </w:rPr>
        <w:t>jako</w:t>
      </w:r>
      <w:r w:rsidR="00AE64A7" w:rsidRPr="006304A7">
        <w:rPr>
          <w:rFonts w:ascii="Calibri" w:hAnsi="Calibri" w:cs="Calibri"/>
          <w:color w:val="auto"/>
        </w:rPr>
        <w:t xml:space="preserve"> „</w:t>
      </w:r>
      <w:r w:rsidR="00AE64A7" w:rsidRPr="006304A7">
        <w:rPr>
          <w:rFonts w:ascii="Calibri" w:hAnsi="Calibri" w:cs="Calibri"/>
          <w:b/>
          <w:bCs/>
          <w:color w:val="auto"/>
        </w:rPr>
        <w:t>Strana</w:t>
      </w:r>
      <w:r w:rsidR="00AE64A7" w:rsidRPr="006304A7">
        <w:rPr>
          <w:rFonts w:ascii="Calibri" w:hAnsi="Calibri" w:cs="Calibri"/>
          <w:color w:val="auto"/>
        </w:rPr>
        <w:t>“).</w:t>
      </w:r>
    </w:p>
    <w:p w14:paraId="30C9B3D2" w14:textId="77777777" w:rsidR="00885953" w:rsidRPr="006304A7" w:rsidRDefault="00885953" w:rsidP="00434596">
      <w:pPr>
        <w:pStyle w:val="Text11"/>
        <w:tabs>
          <w:tab w:val="left" w:pos="567"/>
        </w:tabs>
        <w:rPr>
          <w:rFonts w:ascii="Calibri" w:hAnsi="Calibri" w:cs="Calibri"/>
          <w:color w:val="auto"/>
        </w:rPr>
      </w:pPr>
    </w:p>
    <w:p w14:paraId="17DF7BB0" w14:textId="3B47D98A" w:rsidR="00B433C9" w:rsidRPr="005F6A86" w:rsidRDefault="00B433C9" w:rsidP="005F6A86">
      <w:pPr>
        <w:pStyle w:val="Odstavecseseznamem"/>
        <w:numPr>
          <w:ilvl w:val="0"/>
          <w:numId w:val="26"/>
        </w:numPr>
        <w:spacing w:before="0"/>
        <w:rPr>
          <w:rFonts w:ascii="Calibri" w:hAnsi="Calibri" w:cs="Calibri"/>
          <w:b/>
          <w:color w:val="auto"/>
        </w:rPr>
      </w:pPr>
      <w:r w:rsidRPr="005F6A86">
        <w:rPr>
          <w:rFonts w:ascii="Calibri" w:hAnsi="Calibri" w:cs="Calibri"/>
          <w:b/>
          <w:color w:val="auto"/>
        </w:rPr>
        <w:t>PŘEDMĚT SMLOUVY</w:t>
      </w:r>
    </w:p>
    <w:p w14:paraId="0236D814" w14:textId="2BB0E3DC" w:rsidR="00B433C9" w:rsidRPr="005F6A86" w:rsidRDefault="00B433C9" w:rsidP="00D73F4D">
      <w:pPr>
        <w:pStyle w:val="Odstavecseseznamem"/>
        <w:keepNext/>
        <w:numPr>
          <w:ilvl w:val="1"/>
          <w:numId w:val="41"/>
        </w:numPr>
        <w:tabs>
          <w:tab w:val="left" w:pos="567"/>
        </w:tabs>
        <w:contextualSpacing w:val="0"/>
        <w:outlineLvl w:val="0"/>
        <w:rPr>
          <w:rFonts w:ascii="Calibri" w:hAnsi="Calibri"/>
        </w:rPr>
      </w:pPr>
      <w:r w:rsidRPr="005F6A86">
        <w:rPr>
          <w:rFonts w:ascii="Calibri" w:hAnsi="Calibri"/>
        </w:rPr>
        <w:t>Předmětem této Smlouvy je prezentace Partnera jako „</w:t>
      </w:r>
      <w:r w:rsidR="002D32F4">
        <w:rPr>
          <w:rFonts w:ascii="Calibri" w:hAnsi="Calibri"/>
        </w:rPr>
        <w:t>Zlatého</w:t>
      </w:r>
      <w:r w:rsidRPr="005F6A86">
        <w:rPr>
          <w:rFonts w:ascii="Calibri" w:hAnsi="Calibri"/>
        </w:rPr>
        <w:t xml:space="preserve"> </w:t>
      </w:r>
      <w:r w:rsidR="0007134B">
        <w:rPr>
          <w:rFonts w:ascii="Calibri" w:hAnsi="Calibri"/>
        </w:rPr>
        <w:t>p</w:t>
      </w:r>
      <w:r w:rsidRPr="005F6A86">
        <w:rPr>
          <w:rFonts w:ascii="Calibri" w:hAnsi="Calibri"/>
        </w:rPr>
        <w:t xml:space="preserve">artnera“ v rámci konference </w:t>
      </w:r>
      <w:r w:rsidR="00EA25B7">
        <w:rPr>
          <w:rFonts w:ascii="Calibri" w:hAnsi="Calibri"/>
        </w:rPr>
        <w:t>„</w:t>
      </w:r>
      <w:r w:rsidR="00201072">
        <w:rPr>
          <w:rFonts w:ascii="Calibri" w:hAnsi="Calibri"/>
        </w:rPr>
        <w:t>Národní průmyslový summit 2020</w:t>
      </w:r>
      <w:r w:rsidR="00EA25B7">
        <w:rPr>
          <w:rFonts w:ascii="Calibri" w:hAnsi="Calibri"/>
        </w:rPr>
        <w:t>“</w:t>
      </w:r>
      <w:r w:rsidRPr="005F6A86">
        <w:rPr>
          <w:rFonts w:ascii="Calibri" w:hAnsi="Calibri"/>
        </w:rPr>
        <w:t xml:space="preserve">, </w:t>
      </w:r>
      <w:r w:rsidR="0007134B">
        <w:rPr>
          <w:rFonts w:ascii="Calibri" w:hAnsi="Calibri"/>
        </w:rPr>
        <w:t xml:space="preserve">která </w:t>
      </w:r>
      <w:r w:rsidRPr="005F6A86">
        <w:rPr>
          <w:rFonts w:ascii="Calibri" w:hAnsi="Calibri"/>
        </w:rPr>
        <w:t xml:space="preserve">se uskuteční </w:t>
      </w:r>
      <w:r w:rsidR="00243BA9">
        <w:rPr>
          <w:rFonts w:ascii="Calibri" w:hAnsi="Calibri"/>
        </w:rPr>
        <w:t>9. září 2020 a</w:t>
      </w:r>
      <w:r w:rsidRPr="005F6A86">
        <w:rPr>
          <w:rFonts w:ascii="Calibri" w:hAnsi="Calibri"/>
        </w:rPr>
        <w:t xml:space="preserve"> při doprovodných aktivitách</w:t>
      </w:r>
      <w:r w:rsidR="0007134B">
        <w:rPr>
          <w:rFonts w:ascii="Calibri" w:hAnsi="Calibri"/>
        </w:rPr>
        <w:t xml:space="preserve"> této konference</w:t>
      </w:r>
      <w:r w:rsidR="00310431">
        <w:rPr>
          <w:rFonts w:ascii="Calibri" w:hAnsi="Calibri"/>
        </w:rPr>
        <w:t xml:space="preserve"> (dále jen „konference“)</w:t>
      </w:r>
      <w:r w:rsidR="00201072">
        <w:rPr>
          <w:rFonts w:ascii="Calibri" w:hAnsi="Calibri"/>
        </w:rPr>
        <w:t>.</w:t>
      </w:r>
    </w:p>
    <w:p w14:paraId="06932328" w14:textId="319AA766" w:rsidR="00B433C9" w:rsidRPr="00B433C9" w:rsidRDefault="00B433C9" w:rsidP="00D73F4D">
      <w:pPr>
        <w:pStyle w:val="Odstavecseseznamem"/>
        <w:numPr>
          <w:ilvl w:val="1"/>
          <w:numId w:val="41"/>
        </w:numPr>
        <w:rPr>
          <w:rFonts w:ascii="Calibri" w:hAnsi="Calibri"/>
        </w:rPr>
      </w:pPr>
      <w:r w:rsidRPr="00B433C9">
        <w:rPr>
          <w:rFonts w:ascii="Calibri" w:hAnsi="Calibri"/>
        </w:rPr>
        <w:t>ČVUT se na základě této Smlouvy zavazuje poskytnout Partnerovi služby ve formě partnerství “</w:t>
      </w:r>
      <w:r w:rsidR="002D32F4">
        <w:rPr>
          <w:rFonts w:ascii="Calibri" w:hAnsi="Calibri"/>
        </w:rPr>
        <w:t>Zlatý</w:t>
      </w:r>
      <w:r w:rsidRPr="00B433C9">
        <w:rPr>
          <w:rFonts w:ascii="Calibri" w:hAnsi="Calibri"/>
        </w:rPr>
        <w:t xml:space="preserve"> </w:t>
      </w:r>
      <w:r w:rsidR="0007134B">
        <w:rPr>
          <w:rFonts w:ascii="Calibri" w:hAnsi="Calibri"/>
        </w:rPr>
        <w:t>p</w:t>
      </w:r>
      <w:r w:rsidRPr="00B433C9">
        <w:rPr>
          <w:rFonts w:ascii="Calibri" w:hAnsi="Calibri"/>
        </w:rPr>
        <w:t>artner“ zahrnující následující plněn</w:t>
      </w:r>
      <w:r w:rsidR="00310431">
        <w:rPr>
          <w:rFonts w:ascii="Calibri" w:hAnsi="Calibri"/>
        </w:rPr>
        <w:t>í (dále jen „plnění“)</w:t>
      </w:r>
      <w:r w:rsidRPr="00B433C9">
        <w:rPr>
          <w:rFonts w:ascii="Calibri" w:hAnsi="Calibri"/>
        </w:rPr>
        <w:t>:</w:t>
      </w:r>
    </w:p>
    <w:p w14:paraId="55B86EDA" w14:textId="06A8B26C" w:rsidR="00B433C9" w:rsidRPr="0085173D" w:rsidRDefault="0007134B" w:rsidP="00D73F4D">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0" w:after="0"/>
        <w:rPr>
          <w:rFonts w:ascii="Calibri" w:hAnsi="Calibri"/>
        </w:rPr>
      </w:pPr>
      <w:r>
        <w:rPr>
          <w:rFonts w:ascii="Calibri" w:hAnsi="Calibri"/>
        </w:rPr>
        <w:t>ú</w:t>
      </w:r>
      <w:r w:rsidR="00B433C9" w:rsidRPr="0085173D">
        <w:rPr>
          <w:rFonts w:ascii="Calibri" w:hAnsi="Calibri"/>
        </w:rPr>
        <w:t xml:space="preserve">čast na </w:t>
      </w:r>
      <w:r w:rsidR="009E13BB">
        <w:rPr>
          <w:rFonts w:ascii="Calibri" w:hAnsi="Calibri"/>
        </w:rPr>
        <w:t>konferenci</w:t>
      </w:r>
      <w:r w:rsidR="00B433C9" w:rsidRPr="0085173D">
        <w:rPr>
          <w:rFonts w:ascii="Calibri" w:hAnsi="Calibri"/>
        </w:rPr>
        <w:t xml:space="preserve"> v publiku pro </w:t>
      </w:r>
      <w:r w:rsidR="00201072">
        <w:rPr>
          <w:rFonts w:ascii="Calibri" w:hAnsi="Calibri"/>
        </w:rPr>
        <w:t>5</w:t>
      </w:r>
      <w:r w:rsidR="00B433C9" w:rsidRPr="0085173D">
        <w:rPr>
          <w:rFonts w:ascii="Calibri" w:hAnsi="Calibri"/>
        </w:rPr>
        <w:t xml:space="preserve"> zástupc</w:t>
      </w:r>
      <w:r w:rsidR="002D32F4">
        <w:rPr>
          <w:rFonts w:ascii="Calibri" w:hAnsi="Calibri"/>
        </w:rPr>
        <w:t>ů</w:t>
      </w:r>
      <w:r w:rsidR="00B433C9" w:rsidRPr="0085173D">
        <w:rPr>
          <w:rFonts w:ascii="Calibri" w:hAnsi="Calibri"/>
        </w:rPr>
        <w:t xml:space="preserve"> </w:t>
      </w:r>
      <w:r w:rsidR="00B433C9">
        <w:rPr>
          <w:rFonts w:ascii="Calibri" w:hAnsi="Calibri"/>
        </w:rPr>
        <w:t>Partnera</w:t>
      </w:r>
      <w:r>
        <w:rPr>
          <w:rFonts w:ascii="Calibri" w:hAnsi="Calibri"/>
        </w:rPr>
        <w:t>;</w:t>
      </w:r>
    </w:p>
    <w:p w14:paraId="1F817950" w14:textId="30D7D2E0" w:rsidR="00B433C9" w:rsidRPr="0085173D" w:rsidRDefault="0007134B" w:rsidP="00D73F4D">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0" w:after="0"/>
        <w:rPr>
          <w:rFonts w:ascii="Calibri" w:hAnsi="Calibri"/>
        </w:rPr>
      </w:pPr>
      <w:r>
        <w:rPr>
          <w:rFonts w:ascii="Calibri" w:hAnsi="Calibri"/>
        </w:rPr>
        <w:t>m</w:t>
      </w:r>
      <w:r w:rsidR="00B433C9" w:rsidRPr="0085173D">
        <w:rPr>
          <w:rFonts w:ascii="Calibri" w:hAnsi="Calibri"/>
        </w:rPr>
        <w:t>ožnost pozvání svých hostů na konferenci</w:t>
      </w:r>
      <w:r>
        <w:rPr>
          <w:rFonts w:ascii="Calibri" w:hAnsi="Calibri"/>
        </w:rPr>
        <w:t>;</w:t>
      </w:r>
    </w:p>
    <w:p w14:paraId="4517BCEA" w14:textId="62C19EF5" w:rsidR="00B433C9" w:rsidRPr="0085173D" w:rsidRDefault="0007134B" w:rsidP="00D73F4D">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0" w:after="0"/>
        <w:rPr>
          <w:rFonts w:ascii="Calibri" w:hAnsi="Calibri"/>
        </w:rPr>
      </w:pPr>
      <w:r>
        <w:rPr>
          <w:rFonts w:ascii="Calibri" w:hAnsi="Calibri"/>
        </w:rPr>
        <w:t>p</w:t>
      </w:r>
      <w:r w:rsidR="00B433C9">
        <w:rPr>
          <w:rFonts w:ascii="Calibri" w:hAnsi="Calibri"/>
        </w:rPr>
        <w:t>rezentaci Partnera</w:t>
      </w:r>
      <w:r w:rsidR="00B433C9" w:rsidRPr="0085173D">
        <w:rPr>
          <w:rFonts w:ascii="Calibri" w:hAnsi="Calibri"/>
        </w:rPr>
        <w:t xml:space="preserve"> na konferenci následujícím způsobem:</w:t>
      </w:r>
    </w:p>
    <w:p w14:paraId="42CB4BF1" w14:textId="1355DC74" w:rsidR="002D32F4" w:rsidRDefault="002D32F4" w:rsidP="00D73F4D">
      <w:pPr>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0" w:after="0"/>
        <w:rPr>
          <w:rFonts w:ascii="Calibri" w:hAnsi="Calibri"/>
        </w:rPr>
      </w:pPr>
      <w:r>
        <w:rPr>
          <w:rFonts w:ascii="Calibri" w:hAnsi="Calibri"/>
        </w:rPr>
        <w:t>účast zástupce Partnera v panelu odborníků</w:t>
      </w:r>
      <w:r w:rsidR="00A22FA2">
        <w:rPr>
          <w:rFonts w:ascii="Calibri" w:hAnsi="Calibri"/>
        </w:rPr>
        <w:t xml:space="preserve"> </w:t>
      </w:r>
      <w:r w:rsidR="00C82264">
        <w:rPr>
          <w:rFonts w:ascii="Calibri" w:hAnsi="Calibri"/>
        </w:rPr>
        <w:t>dle volby Partnera</w:t>
      </w:r>
      <w:r w:rsidR="00D2791E">
        <w:rPr>
          <w:rFonts w:ascii="Calibri" w:hAnsi="Calibri"/>
        </w:rPr>
        <w:t>;</w:t>
      </w:r>
    </w:p>
    <w:p w14:paraId="49F6077E" w14:textId="16E1774F" w:rsidR="002D32F4" w:rsidRDefault="002D32F4" w:rsidP="00D73F4D">
      <w:pPr>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0" w:after="0"/>
        <w:rPr>
          <w:rFonts w:ascii="Calibri" w:hAnsi="Calibri"/>
        </w:rPr>
      </w:pPr>
      <w:r>
        <w:rPr>
          <w:rFonts w:ascii="Calibri" w:hAnsi="Calibri"/>
        </w:rPr>
        <w:t>možnost spoluurčit obsah konference</w:t>
      </w:r>
      <w:r w:rsidR="00D2791E">
        <w:rPr>
          <w:rFonts w:ascii="Calibri" w:hAnsi="Calibri"/>
        </w:rPr>
        <w:t>;</w:t>
      </w:r>
    </w:p>
    <w:p w14:paraId="3AB74875" w14:textId="7319E0A0" w:rsidR="00B433C9" w:rsidRPr="0085173D" w:rsidRDefault="009E13BB" w:rsidP="00D73F4D">
      <w:pPr>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0" w:after="0"/>
        <w:rPr>
          <w:rFonts w:ascii="Calibri" w:hAnsi="Calibri"/>
        </w:rPr>
      </w:pPr>
      <w:r>
        <w:rPr>
          <w:rFonts w:ascii="Calibri" w:hAnsi="Calibri"/>
        </w:rPr>
        <w:t>u</w:t>
      </w:r>
      <w:r w:rsidR="00B433C9" w:rsidRPr="0085173D">
        <w:rPr>
          <w:rFonts w:ascii="Calibri" w:hAnsi="Calibri"/>
        </w:rPr>
        <w:t xml:space="preserve">místění prezentačního stolečku </w:t>
      </w:r>
      <w:r w:rsidR="00B433C9">
        <w:rPr>
          <w:rFonts w:ascii="Calibri" w:hAnsi="Calibri"/>
        </w:rPr>
        <w:t xml:space="preserve">Partnera </w:t>
      </w:r>
      <w:r w:rsidR="00B433C9" w:rsidRPr="0085173D">
        <w:rPr>
          <w:rFonts w:ascii="Calibri" w:hAnsi="Calibri"/>
        </w:rPr>
        <w:t>na konferenci</w:t>
      </w:r>
      <w:r>
        <w:rPr>
          <w:rFonts w:ascii="Calibri" w:hAnsi="Calibri"/>
        </w:rPr>
        <w:t>;</w:t>
      </w:r>
      <w:r w:rsidR="00B433C9" w:rsidRPr="0085173D">
        <w:rPr>
          <w:rFonts w:ascii="Calibri" w:hAnsi="Calibri"/>
        </w:rPr>
        <w:t xml:space="preserve"> </w:t>
      </w:r>
    </w:p>
    <w:p w14:paraId="2463761D" w14:textId="2D980DBE" w:rsidR="00B433C9" w:rsidRPr="0085173D" w:rsidRDefault="009E13BB" w:rsidP="00D73F4D">
      <w:pPr>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0" w:after="0"/>
        <w:rPr>
          <w:rFonts w:ascii="Calibri" w:hAnsi="Calibri"/>
        </w:rPr>
      </w:pPr>
      <w:r>
        <w:rPr>
          <w:rFonts w:ascii="Calibri" w:hAnsi="Calibri"/>
        </w:rPr>
        <w:t>p</w:t>
      </w:r>
      <w:r w:rsidR="00B433C9">
        <w:rPr>
          <w:rFonts w:ascii="Calibri" w:hAnsi="Calibri"/>
        </w:rPr>
        <w:t xml:space="preserve">rezentace Partnera </w:t>
      </w:r>
      <w:r w:rsidR="00B433C9" w:rsidRPr="0085173D">
        <w:rPr>
          <w:rFonts w:ascii="Calibri" w:hAnsi="Calibri"/>
        </w:rPr>
        <w:t>jako „</w:t>
      </w:r>
      <w:r w:rsidR="002D32F4">
        <w:rPr>
          <w:rFonts w:ascii="Calibri" w:hAnsi="Calibri"/>
        </w:rPr>
        <w:t>Zlatého</w:t>
      </w:r>
      <w:r w:rsidR="00B433C9" w:rsidRPr="0085173D">
        <w:rPr>
          <w:rFonts w:ascii="Calibri" w:hAnsi="Calibri"/>
        </w:rPr>
        <w:t xml:space="preserve"> partnera“ moderátorem při zahájení konference</w:t>
      </w:r>
      <w:r>
        <w:rPr>
          <w:rFonts w:ascii="Calibri" w:hAnsi="Calibri"/>
        </w:rPr>
        <w:t>;</w:t>
      </w:r>
    </w:p>
    <w:p w14:paraId="0169A3A0" w14:textId="506C46AC" w:rsidR="00B433C9" w:rsidRPr="0085173D" w:rsidRDefault="009E13BB" w:rsidP="00D73F4D">
      <w:pPr>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rPr>
      </w:pPr>
      <w:r>
        <w:rPr>
          <w:rFonts w:ascii="Calibri" w:hAnsi="Calibri"/>
        </w:rPr>
        <w:t>u</w:t>
      </w:r>
      <w:r w:rsidR="00B433C9" w:rsidRPr="0085173D">
        <w:rPr>
          <w:rFonts w:ascii="Calibri" w:hAnsi="Calibri"/>
        </w:rPr>
        <w:t xml:space="preserve">místění loga </w:t>
      </w:r>
      <w:r w:rsidR="00B433C9">
        <w:rPr>
          <w:rFonts w:ascii="Calibri" w:hAnsi="Calibri"/>
        </w:rPr>
        <w:t>Partnera</w:t>
      </w:r>
      <w:r w:rsidR="00B433C9" w:rsidRPr="0085173D">
        <w:rPr>
          <w:rFonts w:ascii="Calibri" w:hAnsi="Calibri"/>
        </w:rPr>
        <w:t xml:space="preserve"> na titulní straně pozvánek, které obdrží všichni účastníci </w:t>
      </w:r>
      <w:r w:rsidR="00B433C9">
        <w:rPr>
          <w:rFonts w:ascii="Calibri" w:hAnsi="Calibri"/>
        </w:rPr>
        <w:t>konference</w:t>
      </w:r>
      <w:r w:rsidR="00EA25B7">
        <w:rPr>
          <w:rFonts w:ascii="Calibri" w:hAnsi="Calibri"/>
        </w:rPr>
        <w:t xml:space="preserve"> v podobě: </w:t>
      </w:r>
      <w:r w:rsidR="00201072">
        <w:rPr>
          <w:rFonts w:ascii="Calibri" w:hAnsi="Calibri"/>
          <w:bCs/>
          <w:iCs/>
        </w:rPr>
        <w:t>2</w:t>
      </w:r>
      <w:r w:rsidR="00B433C9" w:rsidRPr="0085173D">
        <w:rPr>
          <w:rFonts w:ascii="Calibri" w:hAnsi="Calibri"/>
          <w:bCs/>
          <w:iCs/>
        </w:rPr>
        <w:t>x Flip up (</w:t>
      </w:r>
      <w:proofErr w:type="spellStart"/>
      <w:r w:rsidR="00B433C9" w:rsidRPr="0085173D">
        <w:rPr>
          <w:rFonts w:ascii="Calibri" w:hAnsi="Calibri"/>
          <w:bCs/>
          <w:iCs/>
        </w:rPr>
        <w:t>roll</w:t>
      </w:r>
      <w:proofErr w:type="spellEnd"/>
      <w:r w:rsidR="00B433C9" w:rsidRPr="0085173D">
        <w:rPr>
          <w:rFonts w:ascii="Calibri" w:hAnsi="Calibri"/>
          <w:bCs/>
          <w:iCs/>
        </w:rPr>
        <w:t>-up/roletka), samo-stojící stojan o rozměrech max 1,8m výška, 80 cm šířka</w:t>
      </w:r>
      <w:r>
        <w:rPr>
          <w:rFonts w:ascii="Calibri" w:hAnsi="Calibri"/>
          <w:bCs/>
          <w:iCs/>
        </w:rPr>
        <w:t>;</w:t>
      </w:r>
      <w:r w:rsidR="00B433C9" w:rsidRPr="0085173D">
        <w:rPr>
          <w:rFonts w:ascii="Calibri" w:hAnsi="Calibri"/>
        </w:rPr>
        <w:t xml:space="preserve">  </w:t>
      </w:r>
    </w:p>
    <w:p w14:paraId="4CB6F16A" w14:textId="64E001BC" w:rsidR="00B433C9" w:rsidRPr="0085173D" w:rsidRDefault="009E13BB" w:rsidP="00D73F4D">
      <w:pPr>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rPr>
      </w:pPr>
      <w:r>
        <w:rPr>
          <w:rFonts w:ascii="Calibri" w:hAnsi="Calibri"/>
          <w:bCs/>
          <w:iCs/>
        </w:rPr>
        <w:t>p</w:t>
      </w:r>
      <w:r w:rsidR="00B433C9" w:rsidRPr="0085173D">
        <w:rPr>
          <w:rFonts w:ascii="Calibri" w:hAnsi="Calibri"/>
          <w:bCs/>
          <w:iCs/>
        </w:rPr>
        <w:t>ropagační materiál formátu A4 (cca 15 stran), který dostanou účastníci</w:t>
      </w:r>
      <w:r>
        <w:rPr>
          <w:rFonts w:ascii="Calibri" w:hAnsi="Calibri"/>
          <w:bCs/>
          <w:iCs/>
        </w:rPr>
        <w:t>;</w:t>
      </w:r>
      <w:r w:rsidR="00B433C9" w:rsidRPr="0085173D">
        <w:rPr>
          <w:rFonts w:ascii="Calibri" w:hAnsi="Calibri"/>
        </w:rPr>
        <w:t xml:space="preserve"> </w:t>
      </w:r>
    </w:p>
    <w:p w14:paraId="21584381" w14:textId="101065C2" w:rsidR="00B433C9" w:rsidRPr="00B433C9" w:rsidRDefault="009E13BB" w:rsidP="00D73F4D">
      <w:pPr>
        <w:pStyle w:val="Odstavecseseznamem"/>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0" w:after="0"/>
        <w:rPr>
          <w:rFonts w:ascii="Calibri" w:hAnsi="Calibri"/>
        </w:rPr>
      </w:pPr>
      <w:r>
        <w:rPr>
          <w:rFonts w:ascii="Calibri" w:hAnsi="Calibri"/>
          <w:bCs/>
          <w:iCs/>
        </w:rPr>
        <w:t>v</w:t>
      </w:r>
      <w:r w:rsidR="00B433C9" w:rsidRPr="00B433C9">
        <w:rPr>
          <w:rFonts w:ascii="Calibri" w:hAnsi="Calibri"/>
          <w:bCs/>
          <w:iCs/>
        </w:rPr>
        <w:t xml:space="preserve">ideo, které poběží jako spot na plazmových obrazovkách před začátkem </w:t>
      </w:r>
      <w:r w:rsidR="0083300C">
        <w:rPr>
          <w:rFonts w:ascii="Calibri" w:hAnsi="Calibri"/>
          <w:bCs/>
          <w:iCs/>
        </w:rPr>
        <w:t>konference</w:t>
      </w:r>
      <w:r w:rsidR="00B433C9" w:rsidRPr="00B433C9">
        <w:rPr>
          <w:rFonts w:ascii="Calibri" w:hAnsi="Calibri"/>
          <w:bCs/>
          <w:iCs/>
        </w:rPr>
        <w:t xml:space="preserve"> a po skončení jeho oficiální části ve smyčce s dalšími partnery (frekvence je 30 až 60 vteřin na každé video, cela smyčka se opakuje, formát 16:9, beze zvuku)</w:t>
      </w:r>
      <w:r>
        <w:rPr>
          <w:rFonts w:ascii="Calibri" w:hAnsi="Calibri"/>
          <w:bCs/>
          <w:iCs/>
        </w:rPr>
        <w:t>;</w:t>
      </w:r>
    </w:p>
    <w:p w14:paraId="5222828E" w14:textId="41E93F56" w:rsidR="00B433C9" w:rsidRDefault="009E13BB" w:rsidP="00D73F4D">
      <w:pPr>
        <w:pStyle w:val="Odstavecseseznamem"/>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0" w:after="0"/>
        <w:rPr>
          <w:rFonts w:ascii="Calibri" w:hAnsi="Calibri"/>
        </w:rPr>
      </w:pPr>
      <w:r>
        <w:rPr>
          <w:rFonts w:ascii="Calibri" w:hAnsi="Calibri"/>
        </w:rPr>
        <w:lastRenderedPageBreak/>
        <w:t>f</w:t>
      </w:r>
      <w:r w:rsidR="00EA25B7">
        <w:rPr>
          <w:rFonts w:ascii="Calibri" w:hAnsi="Calibri"/>
        </w:rPr>
        <w:t>otografická dokumentace propagace Partnera na konferenci</w:t>
      </w:r>
      <w:r>
        <w:rPr>
          <w:rFonts w:ascii="Calibri" w:hAnsi="Calibri"/>
        </w:rPr>
        <w:t>;</w:t>
      </w:r>
    </w:p>
    <w:p w14:paraId="10F7617F" w14:textId="65641381" w:rsidR="00B433C9" w:rsidRDefault="009E13BB" w:rsidP="00D73F4D">
      <w:pPr>
        <w:pStyle w:val="Odstavecseseznamem"/>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0" w:after="0"/>
        <w:rPr>
          <w:rFonts w:ascii="Calibri" w:hAnsi="Calibri"/>
        </w:rPr>
      </w:pPr>
      <w:r>
        <w:rPr>
          <w:rFonts w:ascii="Calibri" w:hAnsi="Calibri"/>
        </w:rPr>
        <w:t>u</w:t>
      </w:r>
      <w:r w:rsidR="00B433C9" w:rsidRPr="00B433C9">
        <w:rPr>
          <w:rFonts w:ascii="Calibri" w:hAnsi="Calibri"/>
        </w:rPr>
        <w:t>místění jména Partnera a citací zástupce Partnera v Analýze českého</w:t>
      </w:r>
      <w:r w:rsidR="00EA25B7">
        <w:rPr>
          <w:rFonts w:ascii="Calibri" w:hAnsi="Calibri"/>
        </w:rPr>
        <w:t xml:space="preserve"> </w:t>
      </w:r>
      <w:r w:rsidR="00B433C9" w:rsidRPr="00B433C9">
        <w:rPr>
          <w:rFonts w:ascii="Calibri" w:hAnsi="Calibri"/>
        </w:rPr>
        <w:t>průmyslu</w:t>
      </w:r>
      <w:r w:rsidR="00201072">
        <w:rPr>
          <w:rFonts w:ascii="Calibri" w:hAnsi="Calibri"/>
        </w:rPr>
        <w:t xml:space="preserve"> 2020</w:t>
      </w:r>
      <w:r w:rsidR="00B433C9" w:rsidRPr="00B433C9">
        <w:rPr>
          <w:rFonts w:ascii="Calibri" w:hAnsi="Calibri"/>
        </w:rPr>
        <w:t xml:space="preserve"> a tiskových zprávách, které budou souhrnem výsledků Analýzy a </w:t>
      </w:r>
      <w:r w:rsidR="00EA25B7">
        <w:rPr>
          <w:rFonts w:ascii="Calibri" w:hAnsi="Calibri"/>
        </w:rPr>
        <w:t>konference</w:t>
      </w:r>
      <w:r>
        <w:rPr>
          <w:rFonts w:ascii="Calibri" w:hAnsi="Calibri"/>
        </w:rPr>
        <w:t>;</w:t>
      </w:r>
    </w:p>
    <w:p w14:paraId="5B3AAB54" w14:textId="5B74D92C" w:rsidR="005F6A86" w:rsidRDefault="009E13BB" w:rsidP="00D73F4D">
      <w:pPr>
        <w:pStyle w:val="Odstavecseseznamem"/>
        <w:numPr>
          <w:ilvl w:val="2"/>
          <w:numId w:val="4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0" w:after="0"/>
        <w:rPr>
          <w:rFonts w:ascii="Calibri" w:hAnsi="Calibri"/>
        </w:rPr>
      </w:pPr>
      <w:r>
        <w:rPr>
          <w:rFonts w:ascii="Calibri" w:hAnsi="Calibri"/>
        </w:rPr>
        <w:t>p</w:t>
      </w:r>
      <w:r w:rsidR="00B433C9" w:rsidRPr="00B433C9">
        <w:rPr>
          <w:rFonts w:ascii="Calibri" w:hAnsi="Calibri"/>
        </w:rPr>
        <w:t>rezentace Partnera jako „</w:t>
      </w:r>
      <w:r w:rsidR="002D32F4">
        <w:rPr>
          <w:rFonts w:ascii="Calibri" w:hAnsi="Calibri"/>
        </w:rPr>
        <w:t>Zlatého</w:t>
      </w:r>
      <w:r w:rsidR="00B433C9" w:rsidRPr="00B433C9">
        <w:rPr>
          <w:rFonts w:ascii="Calibri" w:hAnsi="Calibri"/>
        </w:rPr>
        <w:t xml:space="preserve"> partnera“ v Analýze, na webu a dalších materiálech </w:t>
      </w:r>
      <w:r w:rsidR="007B1391">
        <w:rPr>
          <w:rFonts w:ascii="Calibri" w:hAnsi="Calibri"/>
        </w:rPr>
        <w:t xml:space="preserve">spolu </w:t>
      </w:r>
      <w:r w:rsidR="00B433C9" w:rsidRPr="00B433C9">
        <w:rPr>
          <w:rFonts w:ascii="Calibri" w:hAnsi="Calibri"/>
        </w:rPr>
        <w:t>s výsledky výzkumu</w:t>
      </w:r>
      <w:r>
        <w:rPr>
          <w:rFonts w:ascii="Calibri" w:hAnsi="Calibri"/>
        </w:rPr>
        <w:t>.</w:t>
      </w:r>
      <w:r w:rsidR="00B433C9" w:rsidRPr="00B433C9">
        <w:rPr>
          <w:rFonts w:ascii="Calibri" w:hAnsi="Calibri"/>
        </w:rPr>
        <w:t xml:space="preserve"> </w:t>
      </w:r>
    </w:p>
    <w:p w14:paraId="5EC5B9DF" w14:textId="5A343B79" w:rsidR="009E13BB" w:rsidRPr="00657ED6" w:rsidRDefault="009E13BB" w:rsidP="00D73F4D">
      <w:pPr>
        <w:pStyle w:val="Odstavecseseznamem"/>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09" w:hanging="567"/>
        <w:rPr>
          <w:rFonts w:ascii="Calibri" w:hAnsi="Calibri" w:cs="Calibri"/>
        </w:rPr>
      </w:pPr>
      <w:r w:rsidRPr="00310431">
        <w:rPr>
          <w:rStyle w:val="platne1"/>
          <w:rFonts w:ascii="Calibri" w:hAnsi="Calibri" w:cs="Calibri"/>
        </w:rPr>
        <w:t>Partner</w:t>
      </w:r>
      <w:r w:rsidRPr="00310431">
        <w:rPr>
          <w:rFonts w:ascii="Calibri" w:hAnsi="Calibri" w:cs="Calibri"/>
        </w:rPr>
        <w:t xml:space="preserve"> </w:t>
      </w:r>
      <w:r w:rsidR="005F6A86" w:rsidRPr="00310431">
        <w:rPr>
          <w:rFonts w:ascii="Calibri" w:hAnsi="Calibri" w:cs="Calibri"/>
        </w:rPr>
        <w:t>se zavazuje</w:t>
      </w:r>
      <w:r w:rsidRPr="00310431">
        <w:rPr>
          <w:rFonts w:ascii="Calibri" w:hAnsi="Calibri" w:cs="Calibri"/>
        </w:rPr>
        <w:t xml:space="preserve"> p</w:t>
      </w:r>
      <w:r w:rsidR="005F6A86" w:rsidRPr="00310431">
        <w:rPr>
          <w:rFonts w:ascii="Calibri" w:hAnsi="Calibri" w:cs="Calibri"/>
        </w:rPr>
        <w:t xml:space="preserve">oskytnout </w:t>
      </w:r>
      <w:r w:rsidRPr="00310431">
        <w:rPr>
          <w:rFonts w:ascii="Calibri" w:hAnsi="Calibri" w:cs="Calibri"/>
        </w:rPr>
        <w:t xml:space="preserve">ČVUT </w:t>
      </w:r>
      <w:r w:rsidR="005F6A86" w:rsidRPr="00310431">
        <w:rPr>
          <w:rFonts w:ascii="Calibri" w:hAnsi="Calibri" w:cs="Calibri"/>
        </w:rPr>
        <w:t>potřebné prezentační materiály a podklady k realizaci</w:t>
      </w:r>
      <w:r w:rsidR="00310431" w:rsidRPr="00310431">
        <w:rPr>
          <w:rFonts w:ascii="Calibri" w:hAnsi="Calibri" w:cs="Calibri"/>
        </w:rPr>
        <w:t xml:space="preserve"> plnění</w:t>
      </w:r>
      <w:r w:rsidRPr="00657ED6">
        <w:rPr>
          <w:rFonts w:ascii="Calibri" w:hAnsi="Calibri" w:cs="Calibri"/>
        </w:rPr>
        <w:t>.</w:t>
      </w:r>
    </w:p>
    <w:p w14:paraId="35BFD8C6" w14:textId="0648BB9F" w:rsidR="00310431" w:rsidRPr="00A57EA4" w:rsidRDefault="009E13BB" w:rsidP="00310431">
      <w:pPr>
        <w:pStyle w:val="Odstavecseseznamem"/>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09" w:hanging="567"/>
        <w:rPr>
          <w:rFonts w:ascii="Calibri" w:hAnsi="Calibri" w:cs="Calibri"/>
        </w:rPr>
      </w:pPr>
      <w:r w:rsidRPr="00757D97">
        <w:rPr>
          <w:rFonts w:ascii="Calibri" w:hAnsi="Calibri" w:cs="Calibri"/>
        </w:rPr>
        <w:t>Partner se dále zavazuje u</w:t>
      </w:r>
      <w:r w:rsidR="005F6A86" w:rsidRPr="00757D97">
        <w:rPr>
          <w:rFonts w:ascii="Calibri" w:hAnsi="Calibri" w:cs="Calibri"/>
        </w:rPr>
        <w:t xml:space="preserve">hradit za </w:t>
      </w:r>
      <w:r w:rsidR="00310431" w:rsidRPr="00757D97">
        <w:rPr>
          <w:rFonts w:ascii="Calibri" w:hAnsi="Calibri" w:cs="Calibri"/>
        </w:rPr>
        <w:t xml:space="preserve">plnění </w:t>
      </w:r>
      <w:r w:rsidR="005F6A86" w:rsidRPr="00757D97">
        <w:rPr>
          <w:rFonts w:ascii="Calibri" w:hAnsi="Calibri" w:cs="Calibri"/>
        </w:rPr>
        <w:t xml:space="preserve">na výše uvedený účet </w:t>
      </w:r>
      <w:r w:rsidRPr="00757D97">
        <w:rPr>
          <w:rFonts w:ascii="Calibri" w:hAnsi="Calibri" w:cs="Calibri"/>
        </w:rPr>
        <w:t xml:space="preserve">ČVUT </w:t>
      </w:r>
      <w:r w:rsidR="005F6A86" w:rsidRPr="00757D97">
        <w:rPr>
          <w:rFonts w:ascii="Calibri" w:hAnsi="Calibri" w:cs="Calibri"/>
        </w:rPr>
        <w:t xml:space="preserve">smluvní částku </w:t>
      </w:r>
      <w:proofErr w:type="gramStart"/>
      <w:r w:rsidR="003353FC" w:rsidRPr="00757D97">
        <w:rPr>
          <w:rFonts w:ascii="Calibri" w:hAnsi="Calibri" w:cs="Calibri"/>
        </w:rPr>
        <w:t>10</w:t>
      </w:r>
      <w:r w:rsidR="005F6A86" w:rsidRPr="00757D97">
        <w:rPr>
          <w:rFonts w:ascii="Calibri" w:hAnsi="Calibri" w:cs="Calibri"/>
        </w:rPr>
        <w:t>0.000,-</w:t>
      </w:r>
      <w:proofErr w:type="gramEnd"/>
      <w:r w:rsidR="005F6A86" w:rsidRPr="00757D97">
        <w:rPr>
          <w:rFonts w:ascii="Calibri" w:hAnsi="Calibri" w:cs="Calibri"/>
        </w:rPr>
        <w:t>Kč (</w:t>
      </w:r>
      <w:r w:rsidRPr="00757D97">
        <w:rPr>
          <w:rFonts w:ascii="Calibri" w:hAnsi="Calibri" w:cs="Calibri"/>
        </w:rPr>
        <w:t>slovy</w:t>
      </w:r>
      <w:r w:rsidR="00201072" w:rsidRPr="00757D97">
        <w:rPr>
          <w:rFonts w:ascii="Calibri" w:hAnsi="Calibri" w:cs="Calibri"/>
        </w:rPr>
        <w:t xml:space="preserve"> „</w:t>
      </w:r>
      <w:r w:rsidR="00403C50" w:rsidRPr="00757D97">
        <w:rPr>
          <w:rFonts w:ascii="Calibri" w:hAnsi="Calibri" w:cs="Calibri"/>
        </w:rPr>
        <w:t xml:space="preserve">jedno </w:t>
      </w:r>
      <w:r w:rsidR="003353FC" w:rsidRPr="00757D97">
        <w:rPr>
          <w:rFonts w:ascii="Calibri" w:hAnsi="Calibri" w:cs="Calibri"/>
        </w:rPr>
        <w:t>sto</w:t>
      </w:r>
      <w:r w:rsidR="002D32F4" w:rsidRPr="00757D97">
        <w:rPr>
          <w:rFonts w:ascii="Calibri" w:hAnsi="Calibri" w:cs="Calibri"/>
        </w:rPr>
        <w:t xml:space="preserve"> </w:t>
      </w:r>
      <w:r w:rsidR="005F6A86" w:rsidRPr="00757D97">
        <w:rPr>
          <w:rFonts w:ascii="Calibri" w:hAnsi="Calibri" w:cs="Calibri"/>
        </w:rPr>
        <w:t>tisíc korun</w:t>
      </w:r>
      <w:r w:rsidRPr="00757D97">
        <w:rPr>
          <w:rFonts w:ascii="Calibri" w:hAnsi="Calibri" w:cs="Calibri"/>
        </w:rPr>
        <w:t xml:space="preserve"> českých“</w:t>
      </w:r>
      <w:r w:rsidR="005F6A86" w:rsidRPr="00757D97">
        <w:rPr>
          <w:rFonts w:ascii="Calibri" w:hAnsi="Calibri" w:cs="Calibri"/>
        </w:rPr>
        <w:t>) plus DPH</w:t>
      </w:r>
      <w:r w:rsidR="00310431" w:rsidRPr="00757D97">
        <w:rPr>
          <w:rFonts w:ascii="Calibri" w:hAnsi="Calibri" w:cs="Calibri"/>
        </w:rPr>
        <w:t xml:space="preserve"> (dále jen „cena“)</w:t>
      </w:r>
      <w:r w:rsidR="005F6A86" w:rsidRPr="00757D97">
        <w:rPr>
          <w:rFonts w:ascii="Calibri" w:hAnsi="Calibri" w:cs="Calibri"/>
        </w:rPr>
        <w:t xml:space="preserve">, přičemž </w:t>
      </w:r>
      <w:r w:rsidR="00310431" w:rsidRPr="00757D97">
        <w:rPr>
          <w:rFonts w:ascii="Calibri" w:hAnsi="Calibri" w:cs="Calibri"/>
        </w:rPr>
        <w:t xml:space="preserve">cena </w:t>
      </w:r>
      <w:r w:rsidR="005F6A86" w:rsidRPr="00757D97">
        <w:rPr>
          <w:rFonts w:ascii="Calibri" w:hAnsi="Calibri" w:cs="Calibri"/>
        </w:rPr>
        <w:t xml:space="preserve">je splatná </w:t>
      </w:r>
      <w:r w:rsidR="005F6A86" w:rsidRPr="003F29C6">
        <w:rPr>
          <w:rFonts w:ascii="Calibri" w:hAnsi="Calibri" w:cs="Calibri"/>
        </w:rPr>
        <w:t xml:space="preserve">30 kalendářních dnů od data doručení faktury </w:t>
      </w:r>
      <w:r w:rsidRPr="003F29C6">
        <w:rPr>
          <w:rFonts w:ascii="Calibri" w:hAnsi="Calibri" w:cs="Calibri"/>
        </w:rPr>
        <w:t>Partnerovi</w:t>
      </w:r>
      <w:r w:rsidR="005F6A86" w:rsidRPr="003F29C6">
        <w:rPr>
          <w:rFonts w:ascii="Calibri" w:hAnsi="Calibri" w:cs="Calibri"/>
        </w:rPr>
        <w:t>.</w:t>
      </w:r>
    </w:p>
    <w:p w14:paraId="234FF72C" w14:textId="3C2246E4" w:rsidR="00310431" w:rsidRPr="00310431" w:rsidRDefault="00310431" w:rsidP="00310431">
      <w:pPr>
        <w:pStyle w:val="Odstavecseseznamem"/>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09" w:hanging="567"/>
        <w:rPr>
          <w:rFonts w:ascii="Calibri" w:hAnsi="Calibri" w:cs="Calibri"/>
        </w:rPr>
      </w:pPr>
      <w:r w:rsidRPr="00310431">
        <w:rPr>
          <w:rFonts w:ascii="Calibri" w:hAnsi="Calibri" w:cs="Calibri"/>
        </w:rPr>
        <w:t xml:space="preserve">Cena je konečná a nepřekročitelná a obsahuje všechny náklady Dodavatele s poskytováním plnění podle této Smlouvy. Faktura musí obsahovat všechny náležitosti daňového dokladu dle ustanovení § 29 zákona č. 235/2004 Sb., o dani z přidané hodnoty, ve znění pozdějších předpisů </w:t>
      </w:r>
      <w:r w:rsidR="009C73D4">
        <w:rPr>
          <w:rFonts w:ascii="Calibri" w:hAnsi="Calibri" w:cs="Calibri"/>
        </w:rPr>
        <w:t>(dále jen „zákon o DPH“)</w:t>
      </w:r>
      <w:r w:rsidR="00243BA9">
        <w:rPr>
          <w:rFonts w:ascii="Calibri" w:hAnsi="Calibri" w:cs="Calibri"/>
        </w:rPr>
        <w:t xml:space="preserve"> </w:t>
      </w:r>
      <w:r w:rsidRPr="00310431">
        <w:rPr>
          <w:rFonts w:ascii="Calibri" w:hAnsi="Calibri" w:cs="Calibri"/>
        </w:rPr>
        <w:t>a bude zaslána Deloitte jedním z následujících způsobů:</w:t>
      </w:r>
    </w:p>
    <w:p w14:paraId="4DCA24BB" w14:textId="71DA7F04" w:rsidR="00310431" w:rsidRPr="00310431" w:rsidRDefault="00310431" w:rsidP="00310431">
      <w:pPr>
        <w:pStyle w:val="Odstavecseseznamem"/>
        <w:numPr>
          <w:ilvl w:val="0"/>
          <w:numId w:val="52"/>
        </w:numPr>
        <w:rPr>
          <w:rFonts w:ascii="Calibri" w:hAnsi="Calibri" w:cs="Calibri"/>
        </w:rPr>
      </w:pPr>
      <w:r w:rsidRPr="00310431">
        <w:rPr>
          <w:rFonts w:ascii="Calibri" w:hAnsi="Calibri" w:cs="Calibri"/>
        </w:rPr>
        <w:t xml:space="preserve">elektronicky včetně zaručeného elektronického podpisu na </w:t>
      </w:r>
      <w:proofErr w:type="gramStart"/>
      <w:r w:rsidRPr="00310431">
        <w:rPr>
          <w:rFonts w:ascii="Calibri" w:hAnsi="Calibri" w:cs="Calibri"/>
        </w:rPr>
        <w:t>email:;</w:t>
      </w:r>
      <w:proofErr w:type="gramEnd"/>
      <w:r w:rsidRPr="00310431">
        <w:rPr>
          <w:rFonts w:ascii="Calibri" w:hAnsi="Calibri" w:cs="Calibri"/>
        </w:rPr>
        <w:t xml:space="preserve"> nebo</w:t>
      </w:r>
    </w:p>
    <w:p w14:paraId="16B1B9EA" w14:textId="6647B65C" w:rsidR="00310431" w:rsidRPr="00310431" w:rsidRDefault="00310431" w:rsidP="00310431">
      <w:pPr>
        <w:pStyle w:val="Odstavecseseznamem"/>
        <w:numPr>
          <w:ilvl w:val="0"/>
          <w:numId w:val="52"/>
        </w:numPr>
        <w:rPr>
          <w:rFonts w:ascii="Calibri" w:hAnsi="Calibri" w:cs="Calibri"/>
        </w:rPr>
      </w:pPr>
      <w:r w:rsidRPr="00310431">
        <w:rPr>
          <w:rFonts w:ascii="Calibri" w:hAnsi="Calibri" w:cs="Calibri"/>
        </w:rPr>
        <w:t>v originálu na adresu XEROX Czech Republic s.r.o., Dolnoměcholupská 17, Praha 15 a případně též v kopii (</w:t>
      </w:r>
      <w:proofErr w:type="spellStart"/>
      <w:r w:rsidRPr="00310431">
        <w:rPr>
          <w:rFonts w:ascii="Calibri" w:hAnsi="Calibri" w:cs="Calibri"/>
        </w:rPr>
        <w:t>scan</w:t>
      </w:r>
      <w:proofErr w:type="spellEnd"/>
      <w:r w:rsidRPr="00310431">
        <w:rPr>
          <w:rFonts w:ascii="Calibri" w:hAnsi="Calibri" w:cs="Calibri"/>
        </w:rPr>
        <w:t xml:space="preserve">) na; pro splatnost faktury je rozhodující okamžik doručení originálu. </w:t>
      </w:r>
    </w:p>
    <w:p w14:paraId="20FBFE15" w14:textId="5A3C27E7" w:rsidR="00310431" w:rsidRDefault="00310431" w:rsidP="00310431">
      <w:pPr>
        <w:pStyle w:val="Odstavecseseznamem"/>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09" w:hanging="567"/>
        <w:rPr>
          <w:rFonts w:ascii="Calibri" w:hAnsi="Calibri" w:cs="Calibri"/>
        </w:rPr>
      </w:pPr>
      <w:r w:rsidRPr="00310431">
        <w:rPr>
          <w:rFonts w:ascii="Calibri" w:hAnsi="Calibri" w:cs="Calibri"/>
        </w:rPr>
        <w:t>V případě, že faktura nebude splňovat náležitosti, je Deloitte oprávněn vrátit fakturu Dodavateli zpět k opravě či doplnění, přičemž vrácením faktury přestává běžet lhůta její splatnosti. Nová lhůta splatnosti počíná běžet dnem, kdy je Deloitte doručena opravená nebo doplněná faktura.</w:t>
      </w:r>
    </w:p>
    <w:p w14:paraId="39655226" w14:textId="4DA21EE0" w:rsidR="009C73D4" w:rsidRPr="009C73D4" w:rsidRDefault="009C73D4" w:rsidP="009C73D4">
      <w:pPr>
        <w:pStyle w:val="Odstavecseseznamem"/>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09" w:hanging="567"/>
        <w:rPr>
          <w:rFonts w:ascii="Calibri" w:hAnsi="Calibri" w:cs="Calibri"/>
        </w:rPr>
      </w:pPr>
      <w:r w:rsidRPr="009C73D4">
        <w:rPr>
          <w:rFonts w:ascii="Calibri" w:hAnsi="Calibri" w:cs="Calibri"/>
          <w:noProof/>
          <w:lang w:val="en-US"/>
        </w:rPr>
        <w:t xml:space="preserve">Dodavatel prohlašuje, že: </w:t>
      </w:r>
    </w:p>
    <w:p w14:paraId="7F0D3D70" w14:textId="3F1569C4" w:rsidR="009C73D4" w:rsidRPr="009C73D4" w:rsidRDefault="009C73D4" w:rsidP="009C73D4">
      <w:pPr>
        <w:pStyle w:val="Odstavecseseznamem"/>
        <w:keepN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val="0"/>
        <w:jc w:val="left"/>
        <w:rPr>
          <w:rFonts w:ascii="Calibri" w:hAnsi="Calibri" w:cs="Calibri"/>
          <w:noProof/>
          <w:lang w:val="en-US"/>
        </w:rPr>
      </w:pPr>
      <w:r w:rsidRPr="009C73D4">
        <w:rPr>
          <w:rFonts w:ascii="Calibri" w:hAnsi="Calibri" w:cs="Calibri"/>
          <w:noProof/>
          <w:lang w:val="en-US"/>
        </w:rPr>
        <w:t>není nespolehlivým plátcem ve smyslu ustanovení § 106a zákona o DPH,</w:t>
      </w:r>
    </w:p>
    <w:p w14:paraId="39FAF663" w14:textId="77777777" w:rsidR="009C73D4" w:rsidRPr="009C73D4" w:rsidRDefault="009C73D4" w:rsidP="009C73D4">
      <w:pPr>
        <w:pStyle w:val="Odstavecseseznamem"/>
        <w:keepN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val="0"/>
        <w:jc w:val="left"/>
        <w:rPr>
          <w:rFonts w:ascii="Calibri" w:hAnsi="Calibri" w:cs="Calibri"/>
          <w:noProof/>
          <w:lang w:val="en-US"/>
        </w:rPr>
      </w:pPr>
      <w:r w:rsidRPr="009C73D4">
        <w:rPr>
          <w:rFonts w:ascii="Calibri" w:hAnsi="Calibri" w:cs="Calibri"/>
          <w:noProof/>
          <w:lang w:val="en-US"/>
        </w:rPr>
        <w:t>DPH, kterou uvede na svém daňovém dokladu vystaveném za plnění poskytnuté na základě této Smlouvy, zahrne včas a řádně do svého daňového přiznání k DPH a vypočtenou DPH uhradí v souladu se zákonem, a</w:t>
      </w:r>
    </w:p>
    <w:p w14:paraId="6BCB01D0" w14:textId="77777777" w:rsidR="009C73D4" w:rsidRPr="009C73D4" w:rsidRDefault="009C73D4" w:rsidP="009C73D4">
      <w:pPr>
        <w:pStyle w:val="Odstavecseseznamem"/>
        <w:keepN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0" w:after="0"/>
        <w:contextualSpacing w:val="0"/>
        <w:jc w:val="left"/>
        <w:rPr>
          <w:rFonts w:ascii="Calibri" w:hAnsi="Calibri" w:cs="Calibri"/>
          <w:noProof/>
          <w:lang w:val="en-US"/>
        </w:rPr>
      </w:pPr>
      <w:r w:rsidRPr="009C73D4">
        <w:rPr>
          <w:rFonts w:ascii="Calibri" w:hAnsi="Calibri" w:cs="Calibri"/>
          <w:noProof/>
          <w:lang w:val="en-US"/>
        </w:rPr>
        <w:t>úmyslně se nedostane do postavení, kdy nemůže DPH zaplatit.</w:t>
      </w:r>
    </w:p>
    <w:p w14:paraId="66117E33" w14:textId="64C4FE38" w:rsidR="009C73D4" w:rsidRPr="009C73D4" w:rsidRDefault="009C73D4" w:rsidP="009C73D4">
      <w:pPr>
        <w:pStyle w:val="Odstavecseseznamem"/>
        <w:keepNext/>
        <w:rPr>
          <w:rFonts w:ascii="Calibri" w:hAnsi="Calibri" w:cs="Calibri"/>
          <w:noProof/>
          <w:lang w:val="en-US"/>
        </w:rPr>
      </w:pPr>
      <w:r w:rsidRPr="009C73D4">
        <w:rPr>
          <w:rFonts w:ascii="Calibri" w:hAnsi="Calibri" w:cs="Calibri"/>
          <w:noProof/>
          <w:lang w:val="en-US"/>
        </w:rPr>
        <w:t>Jestliže se jakékoliv prohlášení Dodavatele dle tohoto článku ukáže jako nepravdivé nebo se v průběhu trvání této Smlouvy nepravdivým stane a v důsledku toho vznikne dle ustnaovení § 109 zákona o DPH ručení společnosti Deloitte za nezaplacenou daň z přidané hodnoty ze zdanitelného plnění přijatého od Dodavatele, je společnost Deloitte oprávněna využít bez souhlasu Dodavatele zvláštní postup zajištění daně dle ustanovení § 109a zákona o DPH, tedy uhradit část ceny plnění přijatého od Dodavatele odpovídající dani z přidané hodnoty z této ceny na účet příslušného správce daně, čímž se závazek společnosti Deloitte vůči Dodavateli k úhradě této části ceny plnění přijatého od Dodavatele považuje za splněný.</w:t>
      </w:r>
    </w:p>
    <w:p w14:paraId="5A6AEF65" w14:textId="6EC537E9" w:rsidR="009C73D4" w:rsidRPr="009C73D4" w:rsidRDefault="009C73D4" w:rsidP="009C73D4">
      <w:pPr>
        <w:pStyle w:val="Odstavecseseznamem"/>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ascii="Calibri" w:hAnsi="Calibri" w:cs="Calibri"/>
        </w:rPr>
      </w:pPr>
      <w:r w:rsidRPr="009C73D4">
        <w:rPr>
          <w:rFonts w:ascii="Calibri" w:hAnsi="Calibri" w:cs="Calibri"/>
          <w:noProof/>
          <w:lang w:val="en-US"/>
        </w:rPr>
        <w:t xml:space="preserve">Dodavatel souhlasí s tím, že Deloitte je oprávněn uhradit odměnu za plnění poskytnuté na základě této Smlouvy pouze na bankovní účet, který je účtem zveřejněným správcem daně způsobem umožňujícím dálkový přístup v souladu se zákonem o DPH. </w:t>
      </w:r>
    </w:p>
    <w:p w14:paraId="16B70690" w14:textId="77777777" w:rsidR="00B433C9" w:rsidRPr="00310431" w:rsidRDefault="00B433C9" w:rsidP="00310431">
      <w:pPr>
        <w:pStyle w:val="Odstavecseseznamem"/>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09"/>
        <w:rPr>
          <w:rFonts w:ascii="Calibri" w:hAnsi="Calibri" w:cs="Calibri"/>
        </w:rPr>
      </w:pPr>
    </w:p>
    <w:p w14:paraId="68987563" w14:textId="170FA9D7" w:rsidR="00B433C9" w:rsidRPr="006304A7" w:rsidRDefault="00B433C9" w:rsidP="00D73F4D">
      <w:pPr>
        <w:pStyle w:val="Nadpis1"/>
        <w:numPr>
          <w:ilvl w:val="0"/>
          <w:numId w:val="41"/>
        </w:numPr>
        <w:rPr>
          <w:rFonts w:ascii="Calibri" w:hAnsi="Calibri" w:cs="Calibri"/>
          <w:color w:val="auto"/>
        </w:rPr>
      </w:pPr>
      <w:r w:rsidRPr="006304A7">
        <w:rPr>
          <w:rFonts w:ascii="Calibri" w:hAnsi="Calibri" w:cs="Calibri"/>
          <w:color w:val="auto"/>
        </w:rPr>
        <w:t>Mlčenlivost a důvěrnost</w:t>
      </w:r>
    </w:p>
    <w:p w14:paraId="63BBA0E6" w14:textId="49405F24" w:rsidR="00757D97" w:rsidRPr="00757D97" w:rsidRDefault="00B433C9" w:rsidP="00757D97">
      <w:pPr>
        <w:pStyle w:val="Clanek11"/>
        <w:numPr>
          <w:ilvl w:val="1"/>
          <w:numId w:val="41"/>
        </w:numPr>
        <w:rPr>
          <w:rFonts w:ascii="Calibri" w:hAnsi="Calibri" w:cs="Calibri"/>
          <w:color w:val="000000" w:themeColor="text1"/>
        </w:rPr>
      </w:pPr>
      <w:bookmarkStart w:id="0" w:name="_Ref495016139"/>
      <w:r w:rsidRPr="005A3CDE">
        <w:rPr>
          <w:rFonts w:ascii="Calibri" w:hAnsi="Calibri" w:cs="Calibri"/>
          <w:color w:val="000000" w:themeColor="text1"/>
        </w:rPr>
        <w:t xml:space="preserve">Strany se zavazují, že budou </w:t>
      </w:r>
      <w:r w:rsidRPr="00757D97">
        <w:rPr>
          <w:rFonts w:ascii="Calibri" w:hAnsi="Calibri" w:cs="Calibri"/>
          <w:color w:val="000000" w:themeColor="text1"/>
        </w:rPr>
        <w:t>zachovávat mlčenlivost a důvěrnost ohledně důvěrných informací, které získaly v souvislosti s touto Smlouvou a plněním podle této Smlouvy.</w:t>
      </w:r>
      <w:bookmarkEnd w:id="0"/>
      <w:r w:rsidRPr="00757D97">
        <w:rPr>
          <w:rFonts w:ascii="Calibri" w:hAnsi="Calibri" w:cs="Calibri"/>
          <w:color w:val="000000" w:themeColor="text1"/>
        </w:rPr>
        <w:t xml:space="preserve"> </w:t>
      </w:r>
      <w:r w:rsidR="00757D97" w:rsidRPr="00757D97">
        <w:rPr>
          <w:rFonts w:ascii="Calibri" w:hAnsi="Calibri" w:cs="Calibri"/>
          <w:noProof/>
          <w:lang w:val="en-US"/>
        </w:rPr>
        <w:t>Tento závazek Stran trvá i po ukončení Smlouvy z jakéhokoliv důvodu.</w:t>
      </w:r>
      <w:r w:rsidR="00757D97" w:rsidRPr="00757D97">
        <w:rPr>
          <w:rFonts w:asciiTheme="minorHAnsi" w:hAnsiTheme="minorHAnsi" w:cs="Arial"/>
          <w:noProof/>
          <w:sz w:val="18"/>
          <w:szCs w:val="18"/>
          <w:lang w:val="en-US"/>
        </w:rPr>
        <w:t xml:space="preserve"> </w:t>
      </w:r>
    </w:p>
    <w:p w14:paraId="099F5CA2" w14:textId="77777777" w:rsidR="00B433C9" w:rsidRPr="005A3CDE" w:rsidRDefault="00B433C9" w:rsidP="00D73F4D">
      <w:pPr>
        <w:pStyle w:val="Clanek11"/>
        <w:numPr>
          <w:ilvl w:val="1"/>
          <w:numId w:val="41"/>
        </w:numPr>
        <w:rPr>
          <w:rFonts w:ascii="Calibri" w:hAnsi="Calibri" w:cs="Calibri"/>
          <w:color w:val="000000" w:themeColor="text1"/>
        </w:rPr>
      </w:pPr>
      <w:r w:rsidRPr="005A3CDE">
        <w:rPr>
          <w:rFonts w:ascii="Calibri" w:hAnsi="Calibri" w:cs="Calibri"/>
          <w:color w:val="000000" w:themeColor="text1"/>
        </w:rPr>
        <w:t xml:space="preserve">Za důvěrné informace se pro účely této </w:t>
      </w:r>
      <w:r>
        <w:rPr>
          <w:rFonts w:ascii="Calibri" w:hAnsi="Calibri" w:cs="Calibri"/>
          <w:color w:val="000000" w:themeColor="text1"/>
        </w:rPr>
        <w:t>Smlouvy</w:t>
      </w:r>
      <w:r w:rsidRPr="005A3CDE">
        <w:rPr>
          <w:rFonts w:ascii="Calibri" w:hAnsi="Calibri" w:cs="Calibri"/>
          <w:color w:val="000000" w:themeColor="text1"/>
        </w:rPr>
        <w:t xml:space="preserve"> považují veškeré informace, které jsou jako takové označeny anebo jsou takového charakteru, že mohou v případě zveřejnění přivodit </w:t>
      </w:r>
      <w:r w:rsidRPr="005A3CDE">
        <w:rPr>
          <w:rFonts w:ascii="Calibri" w:hAnsi="Calibri" w:cs="Calibri"/>
          <w:color w:val="000000" w:themeColor="text1"/>
        </w:rPr>
        <w:lastRenderedPageBreak/>
        <w:t>kterékoliv Straně újmu.</w:t>
      </w:r>
    </w:p>
    <w:p w14:paraId="41B15D56" w14:textId="77777777" w:rsidR="00B433C9" w:rsidRPr="005A3CDE" w:rsidRDefault="00B433C9" w:rsidP="00D73F4D">
      <w:pPr>
        <w:pStyle w:val="Clanek11"/>
        <w:numPr>
          <w:ilvl w:val="1"/>
          <w:numId w:val="41"/>
        </w:numPr>
        <w:rPr>
          <w:rFonts w:ascii="Calibri" w:hAnsi="Calibri" w:cs="Calibri"/>
          <w:color w:val="000000" w:themeColor="text1"/>
        </w:rPr>
      </w:pPr>
      <w:r w:rsidRPr="005A3CDE">
        <w:rPr>
          <w:rFonts w:ascii="Calibri" w:hAnsi="Calibri" w:cs="Calibri"/>
          <w:color w:val="000000" w:themeColor="text1"/>
        </w:rPr>
        <w:t xml:space="preserve">Povinnost dle článku </w:t>
      </w:r>
      <w:hyperlink w:anchor="Ref4950161391" w:history="1">
        <w:r w:rsidRPr="005A3CDE">
          <w:rPr>
            <w:rFonts w:ascii="Calibri" w:hAnsi="Calibri" w:cs="Calibri"/>
            <w:color w:val="000000" w:themeColor="text1"/>
          </w:rPr>
          <w:t>2.1</w:t>
        </w:r>
      </w:hyperlink>
      <w:r>
        <w:rPr>
          <w:rFonts w:ascii="Calibri" w:hAnsi="Calibri" w:cs="Calibri"/>
          <w:color w:val="000000" w:themeColor="text1"/>
        </w:rPr>
        <w:t>. této Smlouvy</w:t>
      </w:r>
      <w:r w:rsidRPr="005A3CDE">
        <w:rPr>
          <w:rFonts w:ascii="Calibri" w:hAnsi="Calibri" w:cs="Calibri"/>
          <w:color w:val="000000" w:themeColor="text1"/>
        </w:rPr>
        <w:t xml:space="preserve"> se v nezbytně nutném rozsahu nevztahuje na:</w:t>
      </w:r>
    </w:p>
    <w:p w14:paraId="4C5685B5" w14:textId="77777777" w:rsidR="00B433C9" w:rsidRPr="005A3CDE" w:rsidRDefault="00B433C9" w:rsidP="00B433C9">
      <w:pPr>
        <w:numPr>
          <w:ilvl w:val="0"/>
          <w:numId w:val="6"/>
        </w:numPr>
        <w:spacing w:before="0" w:after="0"/>
        <w:rPr>
          <w:rFonts w:ascii="Calibri" w:hAnsi="Calibri" w:cs="Calibri"/>
          <w:color w:val="000000" w:themeColor="text1"/>
        </w:rPr>
      </w:pPr>
      <w:r w:rsidRPr="005A3CDE">
        <w:rPr>
          <w:rFonts w:ascii="Calibri" w:hAnsi="Calibri" w:cs="Calibri"/>
          <w:color w:val="000000" w:themeColor="text1"/>
        </w:rPr>
        <w:t xml:space="preserve">informace poskytnuté třetí osobě z důvodu plnění této </w:t>
      </w:r>
      <w:r>
        <w:rPr>
          <w:rFonts w:ascii="Calibri" w:hAnsi="Calibri" w:cs="Calibri"/>
          <w:color w:val="000000" w:themeColor="text1"/>
        </w:rPr>
        <w:t>Smlouvy</w:t>
      </w:r>
      <w:r w:rsidRPr="005A3CDE">
        <w:rPr>
          <w:rFonts w:ascii="Calibri" w:hAnsi="Calibri" w:cs="Calibri"/>
          <w:color w:val="000000" w:themeColor="text1"/>
        </w:rPr>
        <w:t>, pokud bude taková osoba současně zavázána k zachování mlčenlivosti;</w:t>
      </w:r>
    </w:p>
    <w:p w14:paraId="2E5445F3" w14:textId="77777777" w:rsidR="00B433C9" w:rsidRPr="005A3CDE" w:rsidRDefault="00B433C9" w:rsidP="00B433C9">
      <w:pPr>
        <w:numPr>
          <w:ilvl w:val="0"/>
          <w:numId w:val="7"/>
        </w:numPr>
        <w:tabs>
          <w:tab w:val="clear" w:pos="993"/>
          <w:tab w:val="num" w:pos="1985"/>
        </w:tabs>
        <w:spacing w:before="0" w:after="0"/>
        <w:ind w:left="993" w:hanging="426"/>
        <w:rPr>
          <w:rFonts w:ascii="Calibri" w:hAnsi="Calibri" w:cs="Calibri"/>
          <w:color w:val="000000" w:themeColor="text1"/>
        </w:rPr>
      </w:pPr>
      <w:r w:rsidRPr="005A3CDE">
        <w:rPr>
          <w:rFonts w:ascii="Calibri" w:hAnsi="Calibri" w:cs="Calibri"/>
          <w:color w:val="000000" w:themeColor="text1"/>
        </w:rPr>
        <w:t>informace poskytnuté třetí osobě</w:t>
      </w:r>
      <w:r>
        <w:rPr>
          <w:rFonts w:ascii="Calibri" w:hAnsi="Calibri" w:cs="Calibri"/>
          <w:color w:val="000000" w:themeColor="text1"/>
        </w:rPr>
        <w:t xml:space="preserve"> či uveřejněné</w:t>
      </w:r>
      <w:r w:rsidRPr="005A3CDE">
        <w:rPr>
          <w:rFonts w:ascii="Calibri" w:hAnsi="Calibri" w:cs="Calibri"/>
          <w:color w:val="000000" w:themeColor="text1"/>
        </w:rPr>
        <w:t xml:space="preserve"> z důvodu plnění zákonné povinnosti</w:t>
      </w:r>
      <w:r>
        <w:rPr>
          <w:rFonts w:ascii="Calibri" w:hAnsi="Calibri" w:cs="Calibri"/>
          <w:color w:val="000000" w:themeColor="text1"/>
        </w:rPr>
        <w:t xml:space="preserve"> či jiné povinnosti uložené orgánem veřejné moci</w:t>
      </w:r>
      <w:r w:rsidRPr="005A3CDE">
        <w:rPr>
          <w:rFonts w:ascii="Calibri" w:hAnsi="Calibri" w:cs="Calibri"/>
          <w:color w:val="000000" w:themeColor="text1"/>
        </w:rPr>
        <w:t>.</w:t>
      </w:r>
    </w:p>
    <w:p w14:paraId="720C42E8" w14:textId="71C080BE" w:rsidR="00B433C9" w:rsidRDefault="00B433C9" w:rsidP="00D73F4D">
      <w:pPr>
        <w:pStyle w:val="Clanek11"/>
        <w:numPr>
          <w:ilvl w:val="1"/>
          <w:numId w:val="41"/>
        </w:numPr>
        <w:rPr>
          <w:rFonts w:ascii="Calibri" w:hAnsi="Calibri" w:cs="Calibri"/>
          <w:color w:val="000000" w:themeColor="text1"/>
        </w:rPr>
      </w:pPr>
      <w:r w:rsidRPr="005A3CDE">
        <w:rPr>
          <w:rFonts w:ascii="Calibri" w:hAnsi="Calibri" w:cs="Calibri"/>
          <w:color w:val="000000" w:themeColor="text1"/>
        </w:rPr>
        <w:t xml:space="preserve">Poruší-li kterákoli ze Stran povinnost uvedenou </w:t>
      </w:r>
      <w:r>
        <w:rPr>
          <w:rFonts w:ascii="Calibri" w:hAnsi="Calibri" w:cs="Calibri"/>
          <w:color w:val="000000" w:themeColor="text1"/>
        </w:rPr>
        <w:t>dle tohoto článku Smlouvy</w:t>
      </w:r>
      <w:r w:rsidRPr="005A3CDE">
        <w:rPr>
          <w:rFonts w:ascii="Calibri" w:hAnsi="Calibri" w:cs="Calibri"/>
          <w:color w:val="000000" w:themeColor="text1"/>
        </w:rPr>
        <w:t xml:space="preserve">, je druhá Strana oprávněna od této </w:t>
      </w:r>
      <w:r>
        <w:rPr>
          <w:rFonts w:ascii="Calibri" w:hAnsi="Calibri" w:cs="Calibri"/>
          <w:color w:val="000000" w:themeColor="text1"/>
        </w:rPr>
        <w:t>Smlouvy</w:t>
      </w:r>
      <w:r w:rsidRPr="005A3CDE">
        <w:rPr>
          <w:rFonts w:ascii="Calibri" w:hAnsi="Calibri" w:cs="Calibri"/>
          <w:color w:val="000000" w:themeColor="text1"/>
        </w:rPr>
        <w:t xml:space="preserve"> odstoupit; doposud poskytnutá plnění si Strany nevrací. Odstoupení je účinné dnem jeho doručení druhé Straně.</w:t>
      </w:r>
    </w:p>
    <w:p w14:paraId="183BEB9C" w14:textId="0710B08C" w:rsidR="00757D97" w:rsidRPr="00847F8D" w:rsidRDefault="00757D97" w:rsidP="00847F8D">
      <w:pPr>
        <w:pStyle w:val="Clanek11"/>
        <w:numPr>
          <w:ilvl w:val="1"/>
          <w:numId w:val="41"/>
        </w:numPr>
        <w:rPr>
          <w:rFonts w:ascii="Calibri" w:hAnsi="Calibri" w:cs="Calibri"/>
          <w:color w:val="000000" w:themeColor="text1"/>
        </w:rPr>
      </w:pPr>
      <w:r w:rsidRPr="00757D97">
        <w:rPr>
          <w:rFonts w:ascii="Calibri" w:hAnsi="Calibri" w:cs="Calibri"/>
          <w:noProof/>
          <w:lang w:val="en-US"/>
        </w:rPr>
        <w:t>Dodavatel není oprávněn v průběhu ani po skončení této Smlouvy jakýmkoliv způsobem zveřejnit, inzerovat nebo vydat jakékoliv prohlášení (včetně referencí na marketingové účely) s uvedením obchodního jména nebo loga Deloitte, nebo s odvoláním na plnění podle této Smlouvy, bez předchozího písemného souhlasu Deloitte s výjimkou poskytování plnění dle této Smlouvy.</w:t>
      </w:r>
      <w:r w:rsidRPr="00757D97">
        <w:rPr>
          <w:rFonts w:asciiTheme="minorHAnsi" w:hAnsiTheme="minorHAnsi" w:cs="Arial"/>
          <w:noProof/>
          <w:sz w:val="18"/>
          <w:szCs w:val="18"/>
          <w:lang w:val="en-US"/>
        </w:rPr>
        <w:t xml:space="preserve"> </w:t>
      </w:r>
    </w:p>
    <w:p w14:paraId="5B6FB0FF" w14:textId="77777777" w:rsidR="00B433C9" w:rsidRPr="006304A7" w:rsidRDefault="00B433C9" w:rsidP="00D73F4D">
      <w:pPr>
        <w:pStyle w:val="Nadpis1"/>
        <w:numPr>
          <w:ilvl w:val="0"/>
          <w:numId w:val="41"/>
        </w:numPr>
        <w:rPr>
          <w:rFonts w:ascii="Calibri" w:hAnsi="Calibri" w:cs="Calibri"/>
          <w:color w:val="auto"/>
        </w:rPr>
      </w:pPr>
      <w:r w:rsidRPr="006304A7">
        <w:rPr>
          <w:rFonts w:ascii="Calibri" w:hAnsi="Calibri" w:cs="Calibri"/>
          <w:color w:val="auto"/>
        </w:rPr>
        <w:t>trvání smlouvy</w:t>
      </w:r>
    </w:p>
    <w:p w14:paraId="66E60412" w14:textId="4D50323F" w:rsidR="00B433C9" w:rsidRPr="00221D08" w:rsidRDefault="00B433C9" w:rsidP="00D73F4D">
      <w:pPr>
        <w:pStyle w:val="Clanek11"/>
        <w:numPr>
          <w:ilvl w:val="1"/>
          <w:numId w:val="41"/>
        </w:numPr>
        <w:rPr>
          <w:rFonts w:ascii="Calibri" w:hAnsi="Calibri" w:cs="Calibri"/>
          <w:color w:val="000000" w:themeColor="text1"/>
        </w:rPr>
      </w:pPr>
      <w:r w:rsidRPr="006304A7">
        <w:rPr>
          <w:rFonts w:ascii="Calibri" w:hAnsi="Calibri" w:cs="Calibri"/>
          <w:color w:val="auto"/>
        </w:rPr>
        <w:t xml:space="preserve">Tato Smlouva je uzavřena na dobu neurčitou s výpovědní dobou </w:t>
      </w:r>
      <w:r w:rsidR="00403C50">
        <w:rPr>
          <w:rFonts w:ascii="Calibri" w:hAnsi="Calibri" w:cs="Calibri"/>
          <w:color w:val="auto"/>
        </w:rPr>
        <w:t xml:space="preserve">třicet </w:t>
      </w:r>
      <w:r>
        <w:rPr>
          <w:rFonts w:ascii="Calibri" w:hAnsi="Calibri" w:cs="Calibri"/>
          <w:color w:val="auto"/>
        </w:rPr>
        <w:t>(</w:t>
      </w:r>
      <w:r w:rsidR="00403C50">
        <w:rPr>
          <w:rFonts w:ascii="Calibri" w:hAnsi="Calibri" w:cs="Calibri"/>
          <w:color w:val="auto"/>
        </w:rPr>
        <w:t>30</w:t>
      </w:r>
      <w:r>
        <w:rPr>
          <w:rFonts w:ascii="Calibri" w:hAnsi="Calibri" w:cs="Calibri"/>
          <w:color w:val="auto"/>
        </w:rPr>
        <w:t>)</w:t>
      </w:r>
      <w:r w:rsidRPr="006304A7">
        <w:rPr>
          <w:rFonts w:ascii="Calibri" w:hAnsi="Calibri" w:cs="Calibri"/>
          <w:color w:val="auto"/>
        </w:rPr>
        <w:t xml:space="preserve"> </w:t>
      </w:r>
      <w:r w:rsidR="00403C50">
        <w:rPr>
          <w:rFonts w:ascii="Calibri" w:hAnsi="Calibri" w:cs="Calibri"/>
          <w:color w:val="auto"/>
        </w:rPr>
        <w:t>dní od doručení výpovědi druhé smluvní Straně</w:t>
      </w:r>
      <w:r w:rsidRPr="006304A7">
        <w:rPr>
          <w:rFonts w:ascii="Calibri" w:hAnsi="Calibri" w:cs="Calibri"/>
          <w:color w:val="auto"/>
        </w:rPr>
        <w:t xml:space="preserve">. </w:t>
      </w:r>
    </w:p>
    <w:p w14:paraId="213713C9" w14:textId="30EBF9CC" w:rsidR="00B433C9" w:rsidRPr="00A130D1" w:rsidRDefault="00B433C9" w:rsidP="00D73F4D">
      <w:pPr>
        <w:pStyle w:val="Clanek11"/>
        <w:numPr>
          <w:ilvl w:val="1"/>
          <w:numId w:val="41"/>
        </w:numPr>
        <w:rPr>
          <w:rFonts w:ascii="Calibri" w:hAnsi="Calibri" w:cs="Calibri"/>
          <w:color w:val="000000" w:themeColor="text1"/>
        </w:rPr>
      </w:pPr>
      <w:bookmarkStart w:id="1" w:name="_Ref501583219"/>
      <w:r w:rsidRPr="005A3CDE">
        <w:rPr>
          <w:rFonts w:ascii="Calibri" w:hAnsi="Calibri" w:cs="Calibri"/>
          <w:color w:val="000000" w:themeColor="text1"/>
        </w:rPr>
        <w:t xml:space="preserve">V případě závažného porušení této </w:t>
      </w:r>
      <w:r>
        <w:rPr>
          <w:rFonts w:ascii="Calibri" w:hAnsi="Calibri" w:cs="Calibri"/>
          <w:color w:val="000000" w:themeColor="text1"/>
        </w:rPr>
        <w:t>Smlouvy</w:t>
      </w:r>
      <w:r w:rsidRPr="005A3CDE">
        <w:rPr>
          <w:rFonts w:ascii="Calibri" w:hAnsi="Calibri" w:cs="Calibri"/>
          <w:color w:val="000000" w:themeColor="text1"/>
        </w:rPr>
        <w:t xml:space="preserve"> ze strany Partnera, je ČVUT oprávněna od této </w:t>
      </w:r>
      <w:r>
        <w:rPr>
          <w:rFonts w:ascii="Calibri" w:hAnsi="Calibri" w:cs="Calibri"/>
          <w:color w:val="000000" w:themeColor="text1"/>
        </w:rPr>
        <w:t>Smlouvy</w:t>
      </w:r>
      <w:r w:rsidRPr="005A3CDE">
        <w:rPr>
          <w:rFonts w:ascii="Calibri" w:hAnsi="Calibri" w:cs="Calibri"/>
          <w:color w:val="000000" w:themeColor="text1"/>
        </w:rPr>
        <w:t xml:space="preserve"> odstoupit. Stejně může Part</w:t>
      </w:r>
      <w:r w:rsidR="005F6A86">
        <w:rPr>
          <w:rFonts w:ascii="Calibri" w:hAnsi="Calibri" w:cs="Calibri"/>
          <w:color w:val="000000" w:themeColor="text1"/>
        </w:rPr>
        <w:t>ner odstoupit od této smlouvy v </w:t>
      </w:r>
      <w:r w:rsidRPr="005A3CDE">
        <w:rPr>
          <w:rFonts w:ascii="Calibri" w:hAnsi="Calibri" w:cs="Calibri"/>
          <w:color w:val="000000" w:themeColor="text1"/>
        </w:rPr>
        <w:t xml:space="preserve">případě závažného porušení této </w:t>
      </w:r>
      <w:r w:rsidR="00403C50">
        <w:rPr>
          <w:rFonts w:ascii="Calibri" w:hAnsi="Calibri" w:cs="Calibri"/>
          <w:color w:val="000000" w:themeColor="text1"/>
        </w:rPr>
        <w:t xml:space="preserve">Smlouvy </w:t>
      </w:r>
      <w:r w:rsidRPr="005A3CDE">
        <w:rPr>
          <w:rFonts w:ascii="Calibri" w:hAnsi="Calibri" w:cs="Calibri"/>
          <w:color w:val="000000" w:themeColor="text1"/>
        </w:rPr>
        <w:t>ze strany ČVUT.</w:t>
      </w:r>
      <w:r>
        <w:rPr>
          <w:rFonts w:ascii="Calibri" w:hAnsi="Calibri" w:cs="Calibri"/>
          <w:color w:val="000000" w:themeColor="text1"/>
        </w:rPr>
        <w:t xml:space="preserve"> </w:t>
      </w:r>
      <w:r w:rsidRPr="005A3CDE">
        <w:rPr>
          <w:rFonts w:ascii="Calibri" w:hAnsi="Calibri" w:cs="Calibri"/>
          <w:color w:val="000000" w:themeColor="text1"/>
        </w:rPr>
        <w:t xml:space="preserve">Odstoupení je účinné dnem jeho doručení </w:t>
      </w:r>
      <w:r>
        <w:rPr>
          <w:rFonts w:ascii="Calibri" w:hAnsi="Calibri" w:cs="Calibri"/>
          <w:color w:val="000000" w:themeColor="text1"/>
        </w:rPr>
        <w:t>druhé Straně</w:t>
      </w:r>
      <w:r w:rsidRPr="005A3CDE">
        <w:rPr>
          <w:rFonts w:ascii="Calibri" w:hAnsi="Calibri" w:cs="Calibri"/>
          <w:color w:val="000000" w:themeColor="text1"/>
        </w:rPr>
        <w:t xml:space="preserve">. </w:t>
      </w:r>
      <w:r w:rsidR="00847F8D">
        <w:rPr>
          <w:rFonts w:ascii="Calibri" w:hAnsi="Calibri" w:cs="Calibri"/>
          <w:color w:val="000000" w:themeColor="text1"/>
        </w:rPr>
        <w:t>O</w:t>
      </w:r>
      <w:r w:rsidRPr="005A3CDE">
        <w:rPr>
          <w:rFonts w:ascii="Calibri" w:hAnsi="Calibri" w:cs="Calibri"/>
          <w:color w:val="000000" w:themeColor="text1"/>
        </w:rPr>
        <w:t>dstoupením od této Smlouvy dle tohoto článku vzniká Partnerovi právo na zpětné vyplacení jím poskytnuté odměny, či její části.</w:t>
      </w:r>
      <w:bookmarkEnd w:id="1"/>
      <w:r w:rsidRPr="005A3CDE">
        <w:rPr>
          <w:rFonts w:ascii="Calibri" w:hAnsi="Calibri" w:cs="Calibri"/>
          <w:color w:val="000000" w:themeColor="text1"/>
        </w:rPr>
        <w:t xml:space="preserve"> </w:t>
      </w:r>
    </w:p>
    <w:p w14:paraId="58FED96A" w14:textId="64B7FF00" w:rsidR="00B433C9" w:rsidRPr="009F0116" w:rsidRDefault="00B433C9" w:rsidP="009F0116">
      <w:pPr>
        <w:pStyle w:val="Clanek11"/>
        <w:numPr>
          <w:ilvl w:val="1"/>
          <w:numId w:val="41"/>
        </w:numPr>
        <w:rPr>
          <w:rFonts w:ascii="Calibri" w:hAnsi="Calibri" w:cs="Calibri"/>
          <w:color w:val="auto"/>
        </w:rPr>
      </w:pPr>
      <w:r w:rsidRPr="006304A7">
        <w:rPr>
          <w:rFonts w:ascii="Calibri" w:hAnsi="Calibri" w:cs="Calibri"/>
          <w:color w:val="auto"/>
        </w:rPr>
        <w:t xml:space="preserve">V případě odstoupení od Smlouvy z důvodu porušení povinnosti mlčenlivosti </w:t>
      </w:r>
      <w:r w:rsidR="00F1125F">
        <w:rPr>
          <w:rFonts w:ascii="Calibri" w:hAnsi="Calibri" w:cs="Calibri"/>
          <w:color w:val="auto"/>
        </w:rPr>
        <w:t xml:space="preserve">Partnera </w:t>
      </w:r>
      <w:r w:rsidRPr="006304A7">
        <w:rPr>
          <w:rFonts w:ascii="Calibri" w:hAnsi="Calibri" w:cs="Calibri"/>
          <w:color w:val="auto"/>
        </w:rPr>
        <w:t xml:space="preserve">se doposud poskytnutá plnění nevrací. </w:t>
      </w:r>
      <w:r w:rsidR="009F0116" w:rsidRPr="006304A7">
        <w:rPr>
          <w:rFonts w:ascii="Calibri" w:hAnsi="Calibri" w:cs="Calibri"/>
          <w:color w:val="auto"/>
        </w:rPr>
        <w:t xml:space="preserve">V případě odstoupení od Smlouvy z důvodu porušení povinnosti mlčenlivosti </w:t>
      </w:r>
      <w:r w:rsidR="009F0116">
        <w:rPr>
          <w:rFonts w:ascii="Calibri" w:hAnsi="Calibri" w:cs="Calibri"/>
          <w:color w:val="auto"/>
        </w:rPr>
        <w:t>CVUT se doposud poskytnutá plnění vrací v plné výši.</w:t>
      </w:r>
      <w:r w:rsidR="009F0116" w:rsidRPr="006304A7">
        <w:rPr>
          <w:rFonts w:ascii="Calibri" w:hAnsi="Calibri" w:cs="Calibri"/>
          <w:color w:val="auto"/>
        </w:rPr>
        <w:t xml:space="preserve"> </w:t>
      </w:r>
    </w:p>
    <w:p w14:paraId="36E8E676" w14:textId="25FAD846" w:rsidR="00F1125F" w:rsidRPr="00310431" w:rsidRDefault="00F1125F" w:rsidP="00310431">
      <w:pPr>
        <w:pStyle w:val="Clanek11"/>
        <w:numPr>
          <w:ilvl w:val="1"/>
          <w:numId w:val="41"/>
        </w:numPr>
        <w:rPr>
          <w:rFonts w:ascii="Calibri" w:hAnsi="Calibri" w:cs="Calibri"/>
          <w:color w:val="auto"/>
        </w:rPr>
      </w:pPr>
      <w:r w:rsidRPr="00F1125F">
        <w:rPr>
          <w:rFonts w:ascii="Calibri" w:hAnsi="Calibri" w:cs="Calibri"/>
          <w:noProof/>
          <w:lang w:val="en-US"/>
        </w:rPr>
        <w:t>Deloitte dále může ukončit tuto Smlouvu úplně nebo i jen zčásti, a to s okamžitým účinkem na základě písemné výpovědi doručené Dodavateli, pokud zjistí, že správní, regulační nebo profesní orgán či jiný orgán mající pravomoc vydávat závazné právní předpisy zavedl nový či upravil stávající právní předpis, pravidlo, pokyn či směrnici, výklad či rozhodnutí, v jehož důsledku by spolupráce podle této Smlouvy byla nezákonná či jinak protiprávní či v rozporu s nezávislostí či profesními předpisy.</w:t>
      </w:r>
    </w:p>
    <w:p w14:paraId="031B1A88" w14:textId="5368C92D" w:rsidR="00DD2FEE" w:rsidRPr="00310431" w:rsidRDefault="00DD2FEE" w:rsidP="00D73F4D">
      <w:pPr>
        <w:pStyle w:val="Nadpis1"/>
        <w:numPr>
          <w:ilvl w:val="0"/>
          <w:numId w:val="41"/>
        </w:numPr>
        <w:rPr>
          <w:rFonts w:ascii="Calibri" w:hAnsi="Calibri" w:cs="Calibri"/>
          <w:color w:val="auto"/>
        </w:rPr>
      </w:pPr>
      <w:r w:rsidRPr="00310431">
        <w:rPr>
          <w:rFonts w:ascii="Calibri" w:hAnsi="Calibri" w:cs="Calibri"/>
          <w:color w:val="auto"/>
        </w:rPr>
        <w:t>Ostatní ustanovení</w:t>
      </w:r>
    </w:p>
    <w:p w14:paraId="0A724665" w14:textId="164DCF13" w:rsidR="00DD2FEE" w:rsidRPr="00310431" w:rsidRDefault="00DD2FEE" w:rsidP="00310431">
      <w:pPr>
        <w:pStyle w:val="Odstavecseseznamem"/>
        <w:numPr>
          <w:ilvl w:val="1"/>
          <w:numId w:val="41"/>
        </w:numPr>
        <w:suppressAutoHyphens/>
        <w:spacing w:after="0"/>
        <w:rPr>
          <w:rFonts w:ascii="Calibri" w:hAnsi="Calibri" w:cs="Calibri"/>
          <w:b/>
          <w:bCs/>
        </w:rPr>
      </w:pPr>
      <w:r w:rsidRPr="00310431">
        <w:rPr>
          <w:rFonts w:ascii="Calibri" w:hAnsi="Calibri" w:cs="Calibri"/>
        </w:rPr>
        <w:t>Dodavatel</w:t>
      </w:r>
      <w:r w:rsidRPr="00310431">
        <w:rPr>
          <w:rFonts w:ascii="Calibri" w:hAnsi="Calibri" w:cs="Calibri"/>
          <w:spacing w:val="-1"/>
        </w:rPr>
        <w:t xml:space="preserve"> se po celou dobu trvání této Smlouvy zavazuje k následujícímu (dále jen „záruky“):</w:t>
      </w:r>
    </w:p>
    <w:p w14:paraId="5D033A0D" w14:textId="77777777" w:rsidR="00DD2FEE" w:rsidRPr="00310431" w:rsidRDefault="00DD2FEE" w:rsidP="00310431">
      <w:pPr>
        <w:pStyle w:val="Odstavecseseznamem"/>
        <w:keepNex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992" w:hanging="425"/>
        <w:contextualSpacing w:val="0"/>
        <w:rPr>
          <w:rFonts w:ascii="Calibri" w:hAnsi="Calibri" w:cs="Calibri"/>
        </w:rPr>
      </w:pPr>
      <w:r w:rsidRPr="00310431">
        <w:rPr>
          <w:rFonts w:ascii="Calibri" w:hAnsi="Calibri" w:cs="Calibri"/>
        </w:rPr>
        <w:t xml:space="preserve">Dodavatel je povinen na vlastní náklady dodržovat veškeré právní předpisy, pravidla a nařízení a převzít veškeré závazky a povinnosti, které tyto předpisy, pravidla a nařízení s ohledem na plnění ze strany Dodavatele o na základě této Smlouvy vyžadují. </w:t>
      </w:r>
    </w:p>
    <w:p w14:paraId="5FD6E8C0" w14:textId="77777777" w:rsidR="00DD2FEE" w:rsidRPr="00310431" w:rsidRDefault="00DD2FEE" w:rsidP="00310431">
      <w:pPr>
        <w:pStyle w:val="Odstavecseseznamem"/>
        <w:keepNex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992" w:hanging="425"/>
        <w:contextualSpacing w:val="0"/>
        <w:rPr>
          <w:rFonts w:ascii="Calibri" w:hAnsi="Calibri" w:cs="Calibri"/>
        </w:rPr>
      </w:pPr>
      <w:r w:rsidRPr="00310431">
        <w:rPr>
          <w:rFonts w:ascii="Calibri" w:hAnsi="Calibri" w:cs="Calibri"/>
        </w:rPr>
        <w:t>Dodavatel bude dodržovat a zajistí, že případní jeho další poddodavatelé (pokud existují) budou:</w:t>
      </w:r>
    </w:p>
    <w:p w14:paraId="52ABFA65" w14:textId="77777777" w:rsidR="00DD2FEE" w:rsidRPr="00657ED6" w:rsidRDefault="00DD2FEE" w:rsidP="00310431">
      <w:pPr>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clear" w:pos="1140"/>
          <w:tab w:val="num" w:pos="1543"/>
        </w:tabs>
        <w:autoSpaceDE w:val="0"/>
        <w:autoSpaceDN w:val="0"/>
        <w:adjustRightInd w:val="0"/>
        <w:spacing w:before="0" w:after="0"/>
        <w:ind w:left="992" w:hanging="425"/>
        <w:rPr>
          <w:rFonts w:ascii="Calibri" w:hAnsi="Calibri" w:cs="Calibri"/>
        </w:rPr>
      </w:pPr>
      <w:r w:rsidRPr="00310431">
        <w:rPr>
          <w:rFonts w:ascii="Calibri" w:hAnsi="Calibri" w:cs="Calibri"/>
        </w:rPr>
        <w:t>dodržovat na vlastní náklady veškeré platné zákony a právní předpisy proti braní úplatků a proti korupci („</w:t>
      </w:r>
      <w:r w:rsidRPr="00310431">
        <w:rPr>
          <w:rFonts w:ascii="Calibri" w:hAnsi="Calibri" w:cs="Calibri"/>
          <w:b/>
        </w:rPr>
        <w:t>protikorupční zákony</w:t>
      </w:r>
      <w:r w:rsidRPr="00310431">
        <w:rPr>
          <w:rFonts w:ascii="Calibri" w:hAnsi="Calibri" w:cs="Calibri"/>
        </w:rPr>
        <w:t>”) a mezinárodní legislativu s exteritoriálními účinky v rozsahu, v jakém se na tuto Smlouvu uplatní (např. Zákon USA o korupčních praktikách a britský protikorupční zákon);</w:t>
      </w:r>
    </w:p>
    <w:p w14:paraId="2AB1DD11" w14:textId="77777777" w:rsidR="00DD2FEE" w:rsidRPr="00757D97" w:rsidRDefault="00DD2FEE" w:rsidP="00310431">
      <w:pPr>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num" w:pos="943"/>
        </w:tabs>
        <w:autoSpaceDE w:val="0"/>
        <w:autoSpaceDN w:val="0"/>
        <w:adjustRightInd w:val="0"/>
        <w:spacing w:before="0" w:after="0"/>
        <w:ind w:left="992" w:hanging="425"/>
        <w:rPr>
          <w:rFonts w:ascii="Calibri" w:hAnsi="Calibri" w:cs="Calibri"/>
        </w:rPr>
      </w:pPr>
      <w:r w:rsidRPr="00757D97">
        <w:rPr>
          <w:rFonts w:ascii="Calibri" w:hAnsi="Calibri" w:cs="Calibri"/>
        </w:rPr>
        <w:t xml:space="preserve">neučiní nic, co by způsobilo nebo vedlo k porušení jakýkoliv z protikorupčních zákonů ze </w:t>
      </w:r>
      <w:r w:rsidRPr="00757D97">
        <w:rPr>
          <w:rFonts w:ascii="Calibri" w:hAnsi="Calibri" w:cs="Calibri"/>
        </w:rPr>
        <w:lastRenderedPageBreak/>
        <w:t>strany Deloitte; a</w:t>
      </w:r>
    </w:p>
    <w:p w14:paraId="047AAFFE" w14:textId="77777777" w:rsidR="00DD2FEE" w:rsidRPr="00757D97" w:rsidRDefault="00DD2FEE" w:rsidP="00310431">
      <w:pPr>
        <w:widowControl w:val="0"/>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tabs>
          <w:tab w:val="num" w:pos="943"/>
        </w:tabs>
        <w:autoSpaceDE w:val="0"/>
        <w:autoSpaceDN w:val="0"/>
        <w:adjustRightInd w:val="0"/>
        <w:spacing w:before="0" w:after="0"/>
        <w:ind w:left="992" w:hanging="425"/>
        <w:rPr>
          <w:rFonts w:ascii="Calibri" w:hAnsi="Calibri" w:cs="Calibri"/>
        </w:rPr>
      </w:pPr>
      <w:r w:rsidRPr="00757D97">
        <w:rPr>
          <w:rFonts w:ascii="Calibri" w:hAnsi="Calibri" w:cs="Calibri"/>
        </w:rPr>
        <w:t>bude/budou společnost Deloitte okamžitě informovat o jakékoliv žádosti nebo požadavku na jakoukoliv neoprávněnou finanční nebo jinou výhodu jakéhokoliv druhu, kterou prodávající obdrží v souvislosti s plněním této Smlouvy.</w:t>
      </w:r>
    </w:p>
    <w:p w14:paraId="71BE5C71" w14:textId="77777777" w:rsidR="00DD2FEE" w:rsidRPr="00757D97" w:rsidRDefault="00DD2FEE" w:rsidP="00310431">
      <w:pPr>
        <w:pStyle w:val="Odstavecseseznamem"/>
        <w:keepNex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992" w:hanging="425"/>
        <w:contextualSpacing w:val="0"/>
        <w:rPr>
          <w:rFonts w:ascii="Calibri" w:hAnsi="Calibri" w:cs="Calibri"/>
        </w:rPr>
      </w:pPr>
      <w:r w:rsidRPr="00757D97">
        <w:rPr>
          <w:rFonts w:ascii="Calibri" w:hAnsi="Calibri" w:cs="Calibri"/>
        </w:rPr>
        <w:t>Dodavatel prohlašuje, zaručuje a zavazuje se, že:</w:t>
      </w:r>
    </w:p>
    <w:p w14:paraId="2EED4B98" w14:textId="77777777" w:rsidR="00DD2FEE" w:rsidRPr="009C73D4" w:rsidRDefault="00DD2FEE" w:rsidP="00310431">
      <w:pPr>
        <w:widowControl w:val="0"/>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clear" w:pos="1140"/>
        </w:tabs>
        <w:autoSpaceDE w:val="0"/>
        <w:autoSpaceDN w:val="0"/>
        <w:adjustRightInd w:val="0"/>
        <w:spacing w:before="0" w:after="0"/>
        <w:ind w:left="992" w:hanging="425"/>
        <w:rPr>
          <w:rFonts w:ascii="Calibri" w:hAnsi="Calibri" w:cs="Calibri"/>
        </w:rPr>
      </w:pPr>
      <w:r w:rsidRPr="009C73D4">
        <w:rPr>
          <w:rFonts w:ascii="Calibri" w:hAnsi="Calibri" w:cs="Calibri"/>
        </w:rPr>
        <w:t>veškeré informace a dokumenty, které byly poskytnuty společnosti Deloitte, jsou úplné a přesné a nejsou nijak zavádějící;</w:t>
      </w:r>
    </w:p>
    <w:p w14:paraId="6079D976" w14:textId="77777777" w:rsidR="00DD2FEE" w:rsidRPr="009C73D4" w:rsidRDefault="00DD2FEE" w:rsidP="00310431">
      <w:pPr>
        <w:widowControl w:val="0"/>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num" w:pos="943"/>
        </w:tabs>
        <w:autoSpaceDE w:val="0"/>
        <w:autoSpaceDN w:val="0"/>
        <w:adjustRightInd w:val="0"/>
        <w:spacing w:before="0" w:after="0"/>
        <w:ind w:left="992" w:hanging="425"/>
        <w:rPr>
          <w:rFonts w:ascii="Calibri" w:hAnsi="Calibri" w:cs="Calibri"/>
        </w:rPr>
      </w:pPr>
      <w:r w:rsidRPr="009C73D4">
        <w:rPr>
          <w:rFonts w:ascii="Calibri" w:hAnsi="Calibri" w:cs="Calibri"/>
        </w:rPr>
        <w:t>proti Dodavateli ani žádnému z jeho zástupců, ředitelů, osob ve vedoucí funkci nebo zaměstnanců nebylo vedeno trestní stíhání ani nebyl odsouzen za žádný trestný čin a</w:t>
      </w:r>
    </w:p>
    <w:p w14:paraId="3D987C81" w14:textId="77777777" w:rsidR="00DD2FEE" w:rsidRPr="00847F8D" w:rsidRDefault="00DD2FEE" w:rsidP="00310431">
      <w:pPr>
        <w:widowControl w:val="0"/>
        <w:numPr>
          <w:ilvl w:val="0"/>
          <w:numId w:val="50"/>
        </w:numPr>
        <w:pBdr>
          <w:top w:val="none" w:sz="0" w:space="0" w:color="auto"/>
          <w:left w:val="none" w:sz="0" w:space="0" w:color="auto"/>
          <w:bottom w:val="none" w:sz="0" w:space="0" w:color="auto"/>
          <w:right w:val="none" w:sz="0" w:space="0" w:color="auto"/>
          <w:between w:val="none" w:sz="0" w:space="0" w:color="auto"/>
          <w:bar w:val="none" w:sz="0" w:color="auto"/>
        </w:pBdr>
        <w:tabs>
          <w:tab w:val="num" w:pos="943"/>
        </w:tabs>
        <w:autoSpaceDE w:val="0"/>
        <w:autoSpaceDN w:val="0"/>
        <w:adjustRightInd w:val="0"/>
        <w:spacing w:before="0" w:after="0"/>
        <w:ind w:left="992" w:hanging="425"/>
        <w:rPr>
          <w:rFonts w:ascii="Calibri" w:hAnsi="Calibri" w:cs="Calibri"/>
        </w:rPr>
      </w:pPr>
      <w:r w:rsidRPr="00427DBD">
        <w:rPr>
          <w:rFonts w:ascii="Calibri" w:hAnsi="Calibri" w:cs="Calibri"/>
        </w:rPr>
        <w:t>žádný veřejný činitel nevlastní ve společnosti Dodavatele ani v jakékoliv s ní spřízněné osobě žádný přímý nebo nepřímý podíl a žádný veřejný činitel nemá právní zájem na jakékoliv platbě učiněné společností Deloitte podle této Smlouvy nebo prospěch z takové platby. Termín „veřejný činitel” označuje jakéhokoliv pracovníka nebo zaměstnance státu, obce nebo kraje nebo právnické osoby vlastněné státem, jakéhokoliv kandidáta na politickou funkci nebo jakoukoliv</w:t>
      </w:r>
      <w:r w:rsidRPr="00847F8D">
        <w:rPr>
          <w:rFonts w:ascii="Calibri" w:hAnsi="Calibri" w:cs="Calibri"/>
        </w:rPr>
        <w:t xml:space="preserve"> osobu jednající v úřední působnosti jménem státu, obce nebo kraje.</w:t>
      </w:r>
    </w:p>
    <w:p w14:paraId="1DED2546" w14:textId="77777777" w:rsidR="00DD2FEE" w:rsidRPr="00EF50C3" w:rsidRDefault="00DD2FEE" w:rsidP="00310431">
      <w:pPr>
        <w:pStyle w:val="Odstavecseseznamem"/>
        <w:keepNex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992" w:hanging="425"/>
        <w:contextualSpacing w:val="0"/>
        <w:rPr>
          <w:rFonts w:ascii="Calibri" w:hAnsi="Calibri" w:cs="Calibri"/>
        </w:rPr>
      </w:pPr>
      <w:r w:rsidRPr="00847F8D">
        <w:rPr>
          <w:rFonts w:ascii="Calibri" w:hAnsi="Calibri" w:cs="Calibri"/>
        </w:rPr>
        <w:t xml:space="preserve">Dodavatel bude neprodleně informovat společnost Deloitte, pokud kdykoliv během doby trvání této </w:t>
      </w:r>
      <w:r w:rsidRPr="00EF50C3">
        <w:rPr>
          <w:rFonts w:ascii="Calibri" w:hAnsi="Calibri" w:cs="Calibri"/>
        </w:rPr>
        <w:t>Smlouvy dojde ke změně okolností, jeho vědomostí nebo znalostí takovým způsobem, že nebude schopen v daném okamžiku dodržet záruky uvedené v této Smlouvě.</w:t>
      </w:r>
    </w:p>
    <w:p w14:paraId="2DBBC20D" w14:textId="77777777" w:rsidR="00DD2FEE" w:rsidRPr="00EF50C3" w:rsidRDefault="00DD2FEE" w:rsidP="00310431">
      <w:pPr>
        <w:pStyle w:val="Odstavecseseznamem"/>
        <w:keepNex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992" w:hanging="425"/>
        <w:contextualSpacing w:val="0"/>
        <w:rPr>
          <w:rFonts w:ascii="Calibri" w:hAnsi="Calibri" w:cs="Calibri"/>
        </w:rPr>
      </w:pPr>
      <w:r w:rsidRPr="00EF50C3">
        <w:rPr>
          <w:rFonts w:ascii="Calibri" w:hAnsi="Calibri" w:cs="Calibri"/>
        </w:rPr>
        <w:t>Vedení záznamů a právo auditu</w:t>
      </w:r>
    </w:p>
    <w:p w14:paraId="17103B7A" w14:textId="77777777" w:rsidR="00DD2FEE" w:rsidRPr="00EF50C3" w:rsidRDefault="00DD2FEE" w:rsidP="00310431">
      <w:pPr>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1140"/>
        </w:tabs>
        <w:autoSpaceDE w:val="0"/>
        <w:autoSpaceDN w:val="0"/>
        <w:adjustRightInd w:val="0"/>
        <w:spacing w:before="0" w:after="0"/>
        <w:ind w:left="992" w:hanging="425"/>
        <w:rPr>
          <w:rFonts w:ascii="Calibri" w:hAnsi="Calibri" w:cs="Calibri"/>
        </w:rPr>
      </w:pPr>
      <w:r w:rsidRPr="00EF50C3">
        <w:rPr>
          <w:rFonts w:ascii="Calibri" w:hAnsi="Calibri" w:cs="Calibri"/>
        </w:rPr>
        <w:t>Dodavatel ve svém sídle povede podrobné, přesné a aktuální záznamy dokládající veškeré platby učiněné Dodavatelem v souvislosti s touto Smlouvou a úkony učiněné Dodavatelem za účelem dodržení protikorupčních zákonů. Dodavatel zajistí, že tyto záznamy budou dostačující k tomu, aby umožnily společnosti Deloitte ověřit, že Dodavatel dodržuje záruky uvedené v této Smlouvě.</w:t>
      </w:r>
    </w:p>
    <w:p w14:paraId="64C6671F" w14:textId="77777777" w:rsidR="00DD2FEE" w:rsidRPr="00EF50C3" w:rsidRDefault="00DD2FEE" w:rsidP="00310431">
      <w:pPr>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1140"/>
        </w:tabs>
        <w:autoSpaceDE w:val="0"/>
        <w:autoSpaceDN w:val="0"/>
        <w:adjustRightInd w:val="0"/>
        <w:spacing w:before="0" w:after="0"/>
        <w:ind w:left="992" w:hanging="425"/>
        <w:rPr>
          <w:rFonts w:ascii="Calibri" w:hAnsi="Calibri" w:cs="Calibri"/>
        </w:rPr>
      </w:pPr>
      <w:r w:rsidRPr="00EF50C3">
        <w:rPr>
          <w:rFonts w:ascii="Calibri" w:hAnsi="Calibri" w:cs="Calibri"/>
        </w:rPr>
        <w:t xml:space="preserve">Pokud se společnost Deloitte rozumně domnívá, že Dodavatel (nebo jeho Dodavatel) porušil záruky uvedené v této Smlouvě, Deloitte (a její poradci nebo právní zástupci) bude mít právo na okamžitý přístup a pořízení jakýchkoliv záznamů a jakýchkoliv jiných informací držených v prostorách Dodavatele a na setkání s </w:t>
      </w:r>
      <w:proofErr w:type="gramStart"/>
      <w:r w:rsidRPr="00EF50C3">
        <w:rPr>
          <w:rFonts w:ascii="Calibri" w:hAnsi="Calibri" w:cs="Calibri"/>
        </w:rPr>
        <w:t>pracovníky  Dodavatele</w:t>
      </w:r>
      <w:proofErr w:type="gramEnd"/>
      <w:r w:rsidRPr="00EF50C3">
        <w:rPr>
          <w:rFonts w:ascii="Calibri" w:hAnsi="Calibri" w:cs="Calibri"/>
        </w:rPr>
        <w:t xml:space="preserve"> za účelem auditu plnění povinností a Záruk Dodavatele podle této Smlouvy. Dodavatel poskytne veškerou nezbytnou součinnost k provedení takového auditu.</w:t>
      </w:r>
    </w:p>
    <w:p w14:paraId="2A6F0C1F" w14:textId="77777777" w:rsidR="00DD2FEE" w:rsidRPr="00EF50C3" w:rsidRDefault="00DD2FEE" w:rsidP="00310431">
      <w:pPr>
        <w:widowControl w:val="0"/>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clear" w:pos="1140"/>
        </w:tabs>
        <w:autoSpaceDE w:val="0"/>
        <w:autoSpaceDN w:val="0"/>
        <w:adjustRightInd w:val="0"/>
        <w:spacing w:before="0" w:after="0"/>
        <w:ind w:left="992" w:hanging="425"/>
        <w:rPr>
          <w:rFonts w:ascii="Calibri" w:hAnsi="Calibri" w:cs="Calibri"/>
        </w:rPr>
      </w:pPr>
      <w:r w:rsidRPr="00EF50C3">
        <w:rPr>
          <w:rFonts w:ascii="Calibri" w:hAnsi="Calibri" w:cs="Calibri"/>
        </w:rPr>
        <w:t>Právo auditu bude trvat i po dobu tří let od ukončení této Smlouvy.</w:t>
      </w:r>
    </w:p>
    <w:p w14:paraId="61B44FD5" w14:textId="2347C2D5" w:rsidR="00EF50C3" w:rsidRPr="00310431" w:rsidRDefault="00DD2FEE" w:rsidP="00310431">
      <w:pPr>
        <w:pStyle w:val="Odstavecseseznamem"/>
        <w:keepNext/>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before="0" w:after="0"/>
        <w:ind w:left="992" w:hanging="425"/>
        <w:contextualSpacing w:val="0"/>
        <w:rPr>
          <w:rFonts w:ascii="Calibri" w:hAnsi="Calibri" w:cs="Calibri"/>
        </w:rPr>
      </w:pPr>
      <w:r w:rsidRPr="00EF50C3">
        <w:rPr>
          <w:rFonts w:ascii="Calibri" w:hAnsi="Calibri" w:cs="Calibri"/>
        </w:rPr>
        <w:t>Bez ohledu na jakákoliv jiná ustanovení této Smlouvy, nebude společnost Deloitte povinna učinit či zdržet se jakéhokoliv úkonu, důsledkem čehož by, dle jejího odůvodněného názoru, společnost Deloitte (nebo jakákoliv z jejích spřízněných společností, partnerů nebo zaměstnanců) porušila jakýkoliv protikorupční zákon.</w:t>
      </w:r>
    </w:p>
    <w:p w14:paraId="460557A6" w14:textId="77777777" w:rsidR="00DD2FEE" w:rsidRPr="00310431" w:rsidRDefault="00DD2FEE" w:rsidP="00310431">
      <w:pPr>
        <w:pStyle w:val="Odstavecseseznamem"/>
        <w:keepNext/>
        <w:pBdr>
          <w:top w:val="none" w:sz="0" w:space="0" w:color="auto"/>
          <w:left w:val="none" w:sz="0" w:space="0" w:color="auto"/>
          <w:bottom w:val="none" w:sz="0" w:space="0" w:color="auto"/>
          <w:right w:val="none" w:sz="0" w:space="0" w:color="auto"/>
          <w:between w:val="none" w:sz="0" w:space="0" w:color="auto"/>
          <w:bar w:val="none" w:sz="0" w:color="auto"/>
        </w:pBdr>
        <w:spacing w:before="0" w:after="0"/>
        <w:ind w:left="992"/>
        <w:contextualSpacing w:val="0"/>
        <w:rPr>
          <w:rFonts w:ascii="Calibri" w:hAnsi="Calibri" w:cs="Calibri"/>
          <w:noProof/>
          <w:lang w:val="en-US"/>
        </w:rPr>
      </w:pPr>
    </w:p>
    <w:p w14:paraId="56005A2A" w14:textId="63DF5EC6" w:rsidR="00DD2FEE" w:rsidRPr="00310431" w:rsidRDefault="00DD2FEE" w:rsidP="00DD2FEE">
      <w:pPr>
        <w:pStyle w:val="Odstavecseseznamem"/>
        <w:numPr>
          <w:ilvl w:val="1"/>
          <w:numId w:val="41"/>
        </w:numPr>
        <w:spacing w:after="0"/>
        <w:rPr>
          <w:rFonts w:ascii="Calibri" w:eastAsiaTheme="minorHAnsi" w:hAnsi="Calibri" w:cs="Calibri"/>
          <w:lang w:eastAsia="en-US"/>
        </w:rPr>
      </w:pPr>
      <w:r w:rsidRPr="00310431">
        <w:rPr>
          <w:rFonts w:ascii="Calibri" w:hAnsi="Calibri" w:cs="Calibri"/>
          <w:iCs/>
        </w:rPr>
        <w:t xml:space="preserve">Dodavatel tímto bere na vědomí a zavazuje se jednat v souladu se standardy označenými jako “Principy” v Kodexu jednání pro dodavatele společnosti Deloitte, který je zveřejněn na webové stránce </w:t>
      </w:r>
      <w:hyperlink r:id="rId8" w:history="1">
        <w:r w:rsidRPr="00310431">
          <w:rPr>
            <w:rStyle w:val="Hypertextovodkaz"/>
            <w:rFonts w:ascii="Calibri" w:hAnsi="Calibri" w:cs="Calibri"/>
          </w:rPr>
          <w:t>https://www2.deloitte.com/cz/cs/pages/about-deloitte/articles/supplier-code-of-conduct.html</w:t>
        </w:r>
      </w:hyperlink>
      <w:r w:rsidRPr="00310431">
        <w:rPr>
          <w:rFonts w:ascii="Calibri" w:hAnsi="Calibri" w:cs="Calibri"/>
        </w:rPr>
        <w:t xml:space="preserve">. </w:t>
      </w:r>
      <w:r w:rsidRPr="00310431">
        <w:rPr>
          <w:rFonts w:ascii="Calibri" w:hAnsi="Calibri" w:cs="Calibri"/>
          <w:iCs/>
        </w:rPr>
        <w:t xml:space="preserve">Mimořádné právo na ukončení Smlouvy: V případě porušení ustanovení Kodexu pro dodavatele společnosti Deloitte, kdy Dodavatel nenapraví toto porušení v přiměřené době stanovené v upozornění na porušení zaslaném společností Deloitte Dodavateli, je Deloitte oprávněn ukončit všechny existující smlouvy uzavřené mezi ním a Dodavatelem (včetně této Smlouvy) bez předchozího upozornění. V případě závažného porušení je ukončení smluv možné i bez předchozího upozornění na porušení ze strany Dodavatele od společnosti Deloitte. </w:t>
      </w:r>
    </w:p>
    <w:p w14:paraId="0B43BBCF" w14:textId="77777777" w:rsidR="00DD2FEE" w:rsidRPr="00310431" w:rsidRDefault="00DD2FEE" w:rsidP="00EF50C3">
      <w:pPr>
        <w:pStyle w:val="Odstavecseseznamem"/>
        <w:spacing w:after="0"/>
        <w:ind w:left="709"/>
        <w:rPr>
          <w:rFonts w:ascii="Calibri" w:eastAsiaTheme="minorHAnsi" w:hAnsi="Calibri" w:cs="Calibri"/>
          <w:lang w:eastAsia="en-US"/>
        </w:rPr>
      </w:pPr>
    </w:p>
    <w:p w14:paraId="75FAB5D6" w14:textId="5116C864" w:rsidR="00DD2FEE" w:rsidRPr="00657ED6" w:rsidRDefault="00DD2FEE" w:rsidP="003F29C6">
      <w:pPr>
        <w:pStyle w:val="Odstavecseseznamem"/>
        <w:numPr>
          <w:ilvl w:val="1"/>
          <w:numId w:val="41"/>
        </w:numPr>
        <w:spacing w:after="0"/>
        <w:rPr>
          <w:rFonts w:ascii="Calibri" w:hAnsi="Calibri" w:cs="Calibri"/>
        </w:rPr>
      </w:pPr>
      <w:r w:rsidRPr="00310431">
        <w:rPr>
          <w:rFonts w:ascii="Calibri" w:hAnsi="Calibri" w:cs="Calibri"/>
          <w:noProof/>
          <w:lang w:val="en-US"/>
        </w:rPr>
        <w:t xml:space="preserve">Vyšší moc: </w:t>
      </w:r>
      <w:r w:rsidRPr="00657ED6">
        <w:rPr>
          <w:rFonts w:ascii="Calibri" w:hAnsi="Calibri" w:cs="Calibri"/>
          <w:noProof/>
          <w:lang w:val="en-US"/>
        </w:rPr>
        <w:t>Jak je použito dále, “Událost vyšší moci” znamená ve vztahu k příslušné Smluvní straně, událost či okolnost, která je mimo přiměřenou kontrolu takové Smluvní strany a nastane bez pochybení či nedbalostního zavinění této Strany, včetně nik</w:t>
      </w:r>
      <w:r w:rsidRPr="00381441">
        <w:rPr>
          <w:rFonts w:ascii="Calibri" w:hAnsi="Calibri" w:cs="Calibri"/>
          <w:noProof/>
          <w:lang w:val="en-US"/>
        </w:rPr>
        <w:t xml:space="preserve">oliv však výlučně (i) </w:t>
      </w:r>
      <w:r w:rsidRPr="00757D97">
        <w:rPr>
          <w:rFonts w:ascii="Calibri" w:hAnsi="Calibri" w:cs="Calibri"/>
          <w:noProof/>
          <w:lang w:val="en-US"/>
        </w:rPr>
        <w:lastRenderedPageBreak/>
        <w:t xml:space="preserve">požáru, záplavy, povodně, zemětřesení, bouře, epidemie či jiné přírodní katastrofy; (ii) války, opatření vlády, terorismu, nepokojů, občanských nepokojů či občanské války, či nedostatku přepravních kapacit; nebo (iii) pokud se země, ve které se má konat </w:t>
      </w:r>
      <w:r w:rsidR="00841175" w:rsidRPr="00757D97">
        <w:rPr>
          <w:rFonts w:ascii="Calibri" w:hAnsi="Calibri" w:cs="Calibri"/>
          <w:noProof/>
          <w:lang w:val="en-US"/>
        </w:rPr>
        <w:t>konference</w:t>
      </w:r>
      <w:r w:rsidRPr="00383B44">
        <w:rPr>
          <w:rFonts w:ascii="Calibri" w:hAnsi="Calibri" w:cs="Calibri"/>
          <w:noProof/>
          <w:lang w:val="en-US"/>
        </w:rPr>
        <w:t>/poskytnout</w:t>
      </w:r>
      <w:r w:rsidR="00841175" w:rsidRPr="009C73D4">
        <w:rPr>
          <w:rFonts w:ascii="Calibri" w:hAnsi="Calibri" w:cs="Calibri"/>
          <w:noProof/>
          <w:lang w:val="en-US"/>
        </w:rPr>
        <w:t xml:space="preserve"> plnění</w:t>
      </w:r>
      <w:r w:rsidRPr="009C73D4">
        <w:rPr>
          <w:rFonts w:ascii="Calibri" w:hAnsi="Calibri" w:cs="Calibri"/>
          <w:noProof/>
          <w:lang w:val="en-US"/>
        </w:rPr>
        <w:t>, ocitne na oficiálním seznamu zemí, do nichž se nedoporučuje vycestovat.</w:t>
      </w:r>
      <w:r w:rsidR="00657ED6" w:rsidRPr="009C73D4">
        <w:rPr>
          <w:rFonts w:ascii="Calibri" w:hAnsi="Calibri" w:cs="Calibri"/>
          <w:noProof/>
          <w:lang w:val="en-US"/>
        </w:rPr>
        <w:t xml:space="preserve"> </w:t>
      </w:r>
      <w:r w:rsidRPr="003F29C6">
        <w:rPr>
          <w:rFonts w:ascii="Calibri" w:hAnsi="Calibri" w:cs="Calibri"/>
          <w:noProof/>
          <w:lang w:val="en-US"/>
        </w:rPr>
        <w:t>Pokud Událost vyšší moci způsobí, že splnění některého nebo všech závazků dle této Smlouvy je pro některou Smluvní stranu neproveditelné, nemožné, či by jejich provedení bylo nerozumné nebo nezákonné, pak je tato S</w:t>
      </w:r>
      <w:r w:rsidR="00657ED6" w:rsidRPr="003F29C6">
        <w:rPr>
          <w:rFonts w:ascii="Calibri" w:hAnsi="Calibri" w:cs="Calibri"/>
          <w:noProof/>
          <w:lang w:val="en-US"/>
        </w:rPr>
        <w:t>trana</w:t>
      </w:r>
      <w:r w:rsidRPr="003F29C6">
        <w:rPr>
          <w:rFonts w:ascii="Calibri" w:hAnsi="Calibri" w:cs="Calibri"/>
          <w:noProof/>
          <w:lang w:val="en-US"/>
        </w:rPr>
        <w:t xml:space="preserve"> oprávněna tuto Smlouvu ukončit doručením písemné výpovědi druhé Smluvní straně, aniž by odpovídala za škodu tím vzniklou. Deloitte může ukončit tuto Smlouvu, aniž by odpovídal za škodu tím vzniklou, pokud vyhodnotí na základě svého přiměřenoho posouzení, že výskyt, pravděpodobnost, či hrozba Události vyšší moci by (i) způsobila zrušení účasti významného počtu účastníků přihlášených v den akce, či bezprostředně před ní, nebo (ii) zabránila Deloitte v realizaci zamýšlených přínosů z organizace a účasti na Akci. Tam, kde je možné ukončení Smlouvy, aniž by příslušná Strana odpovídala za škodu tím vzniklou, znamená to, že (i) Strana, která Smlouvu ukončila, není odpovědná za jakékoliv platby, platby odstupného, storno poplatky, servisní poplatky či náhradu škody, a (ii) druhá Strana je povina vrátit zpět veškeré zálohy a předem provedené platby uhrazené Stranou, která ukončila Smlouvu.</w:t>
      </w:r>
    </w:p>
    <w:p w14:paraId="7151E9AE" w14:textId="5BB5EF80" w:rsidR="00657ED6" w:rsidRPr="00A57EA4" w:rsidRDefault="00657ED6" w:rsidP="00243BA9">
      <w:pPr>
        <w:pStyle w:val="Odstavecseseznamem"/>
        <w:numPr>
          <w:ilvl w:val="1"/>
          <w:numId w:val="41"/>
        </w:numPr>
        <w:spacing w:after="0"/>
        <w:rPr>
          <w:rFonts w:ascii="Calibri" w:hAnsi="Calibri" w:cs="Calibri"/>
        </w:rPr>
      </w:pPr>
      <w:r w:rsidRPr="00A57EA4">
        <w:rPr>
          <w:rFonts w:ascii="Calibri" w:hAnsi="Calibri" w:cs="Calibri"/>
          <w:noProof/>
          <w:lang w:val="en-US"/>
        </w:rPr>
        <w:t>Dodavatel se zavazuje použít logo, obchodní název, či propagační materiály Deloitte výlučně v souladu s účelem a podmínkami plnění této Smlouvy</w:t>
      </w:r>
    </w:p>
    <w:p w14:paraId="43E797B7" w14:textId="581D9CF4" w:rsidR="00B433C9" w:rsidRPr="006304A7" w:rsidRDefault="00B433C9" w:rsidP="00D73F4D">
      <w:pPr>
        <w:pStyle w:val="Nadpis1"/>
        <w:numPr>
          <w:ilvl w:val="0"/>
          <w:numId w:val="41"/>
        </w:numPr>
        <w:rPr>
          <w:rFonts w:ascii="Calibri" w:hAnsi="Calibri" w:cs="Calibri"/>
          <w:color w:val="auto"/>
        </w:rPr>
      </w:pPr>
      <w:r w:rsidRPr="006304A7">
        <w:rPr>
          <w:rFonts w:ascii="Calibri" w:hAnsi="Calibri" w:cs="Calibri"/>
          <w:color w:val="auto"/>
        </w:rPr>
        <w:t>Závěrečná ustanovení</w:t>
      </w:r>
    </w:p>
    <w:p w14:paraId="0DC6F589" w14:textId="7DD4FFC1" w:rsidR="00841175" w:rsidRPr="00841175" w:rsidRDefault="00841175" w:rsidP="00D73F4D">
      <w:pPr>
        <w:pStyle w:val="Clanek11"/>
        <w:keepNext/>
        <w:keepLines/>
        <w:widowControl/>
        <w:numPr>
          <w:ilvl w:val="1"/>
          <w:numId w:val="41"/>
        </w:numPr>
        <w:rPr>
          <w:rFonts w:ascii="Calibri" w:hAnsi="Calibri" w:cs="Calibri"/>
          <w:color w:val="auto"/>
        </w:rPr>
      </w:pPr>
      <w:r w:rsidRPr="00841175">
        <w:rPr>
          <w:rFonts w:ascii="Calibri" w:hAnsi="Calibri" w:cs="Calibri"/>
          <w:noProof/>
          <w:lang w:val="en-US"/>
        </w:rPr>
        <w:t>Pod pojmem „Společnosti skupiny Deloitte“ se rozumí jedna či více společností globální sítě členských firem Deloitte Touche Tohmatsu Limited („DTTL“) a jejich dceřiné a přidružené subjekty (souhrnně jen „organizace Deloitte“). DTTL (také označována jako „Deloitte Global“) a každá z jejích členských firem a jejich přidružených subjektů je samostatným a nezávislým právním subjektem, který není oprávněn zavazovat nebo přijímat závazky za jinou z těchto členských firem a jejich přidružených subjektů ve vztahu k třetím stranám. DTTL a každá z jejích členských firem a přidružených subjektů nese odpovědnost pouze za své vlastní jednání a opomenutí,  nikoli za jednání či opomenutí jiných členských firem či přidružených subjektů. „Deloitte ve střední Evropě“, „Deloitte CE“, „firma“ nebo „my“ označuje jeden nebo více subjektů sdružených pod záštitou společnosti Deloitte Central Europe Holdings Limited, která je členskou firmou Deloitte Touche Tohmatsu Limited ve střední Evropě. Odborné služby poskytují dceřiné a přidružené podniky společnosti Deloitte Central Europe Holdings Limited, které jsou samostatnými a nezávislými právními subjekty.</w:t>
      </w:r>
    </w:p>
    <w:p w14:paraId="26B42A03" w14:textId="7B552DB2" w:rsidR="00B433C9" w:rsidRPr="006304A7" w:rsidRDefault="00B433C9" w:rsidP="00D73F4D">
      <w:pPr>
        <w:pStyle w:val="Clanek11"/>
        <w:keepNext/>
        <w:keepLines/>
        <w:widowControl/>
        <w:numPr>
          <w:ilvl w:val="1"/>
          <w:numId w:val="41"/>
        </w:numPr>
        <w:rPr>
          <w:rFonts w:ascii="Calibri" w:hAnsi="Calibri" w:cs="Calibri"/>
          <w:color w:val="auto"/>
        </w:rPr>
      </w:pPr>
      <w:r w:rsidRPr="006304A7">
        <w:rPr>
          <w:rFonts w:ascii="Calibri" w:hAnsi="Calibri" w:cs="Calibri"/>
          <w:color w:val="auto"/>
        </w:rPr>
        <w:t xml:space="preserve">Tato Smlouva nabývá platnosti </w:t>
      </w:r>
      <w:r>
        <w:rPr>
          <w:rFonts w:ascii="Calibri" w:hAnsi="Calibri" w:cs="Calibri"/>
          <w:color w:val="auto"/>
        </w:rPr>
        <w:t xml:space="preserve">podpisem oprávněných osob obou smluvních stran </w:t>
      </w:r>
      <w:r w:rsidRPr="006304A7">
        <w:rPr>
          <w:rFonts w:ascii="Calibri" w:hAnsi="Calibri" w:cs="Calibri"/>
          <w:color w:val="auto"/>
        </w:rPr>
        <w:t xml:space="preserve">a účinnosti dnem jejího </w:t>
      </w:r>
      <w:r>
        <w:rPr>
          <w:rFonts w:ascii="Calibri" w:hAnsi="Calibri" w:cs="Calibri"/>
          <w:color w:val="auto"/>
        </w:rPr>
        <w:t>vložení do Registru smluv dle zákona č. 340/2015 Sb., o registru smluv. Vložení je povinno zajistit ČVUT</w:t>
      </w:r>
      <w:r w:rsidRPr="006304A7">
        <w:rPr>
          <w:rFonts w:ascii="Calibri" w:hAnsi="Calibri" w:cs="Calibri"/>
          <w:color w:val="auto"/>
        </w:rPr>
        <w:t>.</w:t>
      </w:r>
    </w:p>
    <w:p w14:paraId="68BC8975" w14:textId="47A4FBEC" w:rsidR="00B433C9" w:rsidRPr="009C73D4" w:rsidRDefault="00B433C9" w:rsidP="00D73F4D">
      <w:pPr>
        <w:pStyle w:val="Clanek11"/>
        <w:keepNext/>
        <w:keepLines/>
        <w:widowControl/>
        <w:numPr>
          <w:ilvl w:val="1"/>
          <w:numId w:val="41"/>
        </w:numPr>
        <w:rPr>
          <w:rFonts w:ascii="Calibri" w:hAnsi="Calibri" w:cs="Calibri"/>
          <w:color w:val="auto"/>
        </w:rPr>
      </w:pPr>
      <w:r w:rsidRPr="006304A7">
        <w:rPr>
          <w:rFonts w:ascii="Calibri" w:hAnsi="Calibri" w:cs="Calibri"/>
          <w:color w:val="auto"/>
        </w:rPr>
        <w:t xml:space="preserve">Tato Smlouva se řídí a bude vykládána v souladu </w:t>
      </w:r>
      <w:r>
        <w:rPr>
          <w:rFonts w:ascii="Calibri" w:hAnsi="Calibri" w:cs="Calibri"/>
          <w:color w:val="auto"/>
        </w:rPr>
        <w:t xml:space="preserve">s </w:t>
      </w:r>
      <w:r w:rsidRPr="006304A7">
        <w:rPr>
          <w:rFonts w:ascii="Calibri" w:hAnsi="Calibri" w:cs="Calibri"/>
          <w:color w:val="auto"/>
        </w:rPr>
        <w:t xml:space="preserve">právním řádem České republiky, zejména </w:t>
      </w:r>
      <w:r w:rsidRPr="009C73D4">
        <w:rPr>
          <w:rFonts w:ascii="Calibri" w:hAnsi="Calibri" w:cs="Calibri"/>
          <w:color w:val="auto"/>
        </w:rPr>
        <w:t>zákonem č. 89/2012 Sb., občanský zákoník, ve znění pozdějších předpisů.</w:t>
      </w:r>
    </w:p>
    <w:p w14:paraId="31EB006C" w14:textId="4F424AA1" w:rsidR="009C73D4" w:rsidRPr="009C73D4" w:rsidRDefault="009C73D4" w:rsidP="009C73D4">
      <w:pPr>
        <w:pStyle w:val="Clanek11"/>
        <w:keepNext/>
        <w:keepLines/>
        <w:widowControl/>
        <w:numPr>
          <w:ilvl w:val="1"/>
          <w:numId w:val="41"/>
        </w:numPr>
        <w:rPr>
          <w:rFonts w:ascii="Calibri" w:hAnsi="Calibri" w:cs="Calibri"/>
          <w:color w:val="auto"/>
        </w:rPr>
      </w:pPr>
      <w:r w:rsidRPr="009C73D4">
        <w:rPr>
          <w:rFonts w:ascii="Calibri" w:hAnsi="Calibri" w:cs="Calibri"/>
          <w:noProof/>
          <w:lang w:val="en-US"/>
        </w:rPr>
        <w:t>Dodavatel není oprávněn postoupit ani jinak převést tuto Smlouvu a/nebo práva a povinnosti z ní vyplývající na třetí stranu bez předcházejícího písemného souhlasu Deloitte.</w:t>
      </w:r>
    </w:p>
    <w:p w14:paraId="23F23B93" w14:textId="77777777" w:rsidR="00B433C9" w:rsidRPr="006304A7" w:rsidRDefault="00B433C9" w:rsidP="00D73F4D">
      <w:pPr>
        <w:pStyle w:val="Clanek11"/>
        <w:keepNext/>
        <w:keepLines/>
        <w:widowControl/>
        <w:numPr>
          <w:ilvl w:val="1"/>
          <w:numId w:val="41"/>
        </w:numPr>
        <w:rPr>
          <w:rFonts w:ascii="Calibri" w:hAnsi="Calibri" w:cs="Calibri"/>
          <w:color w:val="auto"/>
        </w:rPr>
      </w:pPr>
      <w:r w:rsidRPr="006304A7">
        <w:rPr>
          <w:rFonts w:ascii="Calibri" w:hAnsi="Calibri" w:cs="Calibri"/>
          <w:color w:val="auto"/>
        </w:rPr>
        <w:t>Tato Smlouva může být měněna nebo zrušena, pokud není ve Smlouvě uvedeno jinak, pouze písemně, a to v případě změny číslovanými dodatky podepsanými oběma Stranami.</w:t>
      </w:r>
    </w:p>
    <w:p w14:paraId="1EE449BA" w14:textId="77777777" w:rsidR="00B433C9" w:rsidRPr="006304A7" w:rsidRDefault="00B433C9" w:rsidP="00D73F4D">
      <w:pPr>
        <w:pStyle w:val="Clanek11"/>
        <w:numPr>
          <w:ilvl w:val="1"/>
          <w:numId w:val="41"/>
        </w:numPr>
        <w:rPr>
          <w:rFonts w:ascii="Calibri" w:hAnsi="Calibri" w:cs="Calibri"/>
          <w:color w:val="auto"/>
        </w:rPr>
      </w:pPr>
      <w:r w:rsidRPr="006304A7">
        <w:rPr>
          <w:rFonts w:ascii="Calibri" w:hAnsi="Calibri" w:cs="Calibri"/>
          <w:color w:val="auto"/>
        </w:rPr>
        <w:t xml:space="preserve">Je-li nebo stane-li se jakékoli ustanovení této Smlouvy zdánlivým, neplatným či nevymahatelným, nebude to mít vliv na platnost a vymahatelnost ostatních ustanovení této Smlouvy. Strany se zavazují nahradit bez zbytečného odkladu zdánlivé, neplatné </w:t>
      </w:r>
      <w:r w:rsidRPr="006304A7">
        <w:rPr>
          <w:rFonts w:ascii="Calibri" w:hAnsi="Calibri" w:cs="Calibri"/>
          <w:color w:val="auto"/>
        </w:rPr>
        <w:lastRenderedPageBreak/>
        <w:t>nebo nevymahatelné ustanovení novým ustanovením, jehož znění bude odpovídat úmyslu vyjádřenému původním ustanovením a touto Smlouvou jako celkem.</w:t>
      </w:r>
    </w:p>
    <w:p w14:paraId="36ED1773" w14:textId="77777777" w:rsidR="00B433C9" w:rsidRPr="006304A7" w:rsidRDefault="00B433C9" w:rsidP="00D73F4D">
      <w:pPr>
        <w:pStyle w:val="Clanek11"/>
        <w:widowControl/>
        <w:numPr>
          <w:ilvl w:val="1"/>
          <w:numId w:val="41"/>
        </w:numPr>
        <w:rPr>
          <w:rFonts w:ascii="Calibri" w:hAnsi="Calibri" w:cs="Calibri"/>
          <w:color w:val="auto"/>
        </w:rPr>
      </w:pPr>
      <w:r w:rsidRPr="006304A7">
        <w:rPr>
          <w:rFonts w:ascii="Calibri" w:hAnsi="Calibri" w:cs="Calibri"/>
          <w:color w:val="auto"/>
        </w:rPr>
        <w:t xml:space="preserve">Bude-li tato Smlouva z jakéhokoli důvodu shledána neplatnou, zavazují se Strany uzavřít smlouvu novou, a to s takovým obsahem, který se bude nejvíce blížit obsahu této Smlouvy s výjimkou důvodu, pro který byla tato Smlouva shledána neplatnou. </w:t>
      </w:r>
    </w:p>
    <w:p w14:paraId="40A95711" w14:textId="77777777" w:rsidR="00B433C9" w:rsidRPr="006304A7" w:rsidRDefault="00B433C9" w:rsidP="00D73F4D">
      <w:pPr>
        <w:pStyle w:val="Clanek11"/>
        <w:widowControl/>
        <w:numPr>
          <w:ilvl w:val="1"/>
          <w:numId w:val="41"/>
        </w:numPr>
        <w:rPr>
          <w:rFonts w:ascii="Calibri" w:hAnsi="Calibri" w:cs="Calibri"/>
          <w:color w:val="auto"/>
        </w:rPr>
      </w:pPr>
      <w:r w:rsidRPr="006304A7">
        <w:rPr>
          <w:rFonts w:ascii="Calibri" w:hAnsi="Calibri" w:cs="Calibri"/>
          <w:color w:val="auto"/>
        </w:rPr>
        <w:t>Opomene-li některá ze Stran kdykoli uplatnit jakákoli práva nebo vyžadovat jakákoli plnění, která jí přísluší podle této Smlouvy, případně podle obecně závazných právních předpisů, neznamená to, že se takových práv vzdala.</w:t>
      </w:r>
    </w:p>
    <w:p w14:paraId="7078A829" w14:textId="05AFEA16" w:rsidR="00BF5E4D" w:rsidRPr="00B433C9" w:rsidRDefault="00B433C9" w:rsidP="00D73F4D">
      <w:pPr>
        <w:pStyle w:val="Clanek11"/>
        <w:widowControl/>
        <w:numPr>
          <w:ilvl w:val="1"/>
          <w:numId w:val="41"/>
        </w:numPr>
        <w:rPr>
          <w:rFonts w:ascii="Calibri" w:hAnsi="Calibri" w:cs="Calibri"/>
          <w:color w:val="auto"/>
        </w:rPr>
      </w:pPr>
      <w:r w:rsidRPr="006304A7">
        <w:rPr>
          <w:rFonts w:ascii="Calibri" w:hAnsi="Calibri" w:cs="Calibri"/>
          <w:color w:val="auto"/>
        </w:rPr>
        <w:t xml:space="preserve">Tato Smlouva je vyhotovena ve </w:t>
      </w:r>
      <w:r>
        <w:rPr>
          <w:rFonts w:ascii="Calibri" w:hAnsi="Calibri" w:cs="Calibri"/>
          <w:color w:val="auto"/>
        </w:rPr>
        <w:t>třech (3</w:t>
      </w:r>
      <w:r w:rsidRPr="006304A7">
        <w:rPr>
          <w:rFonts w:ascii="Calibri" w:hAnsi="Calibri" w:cs="Calibri"/>
          <w:color w:val="auto"/>
        </w:rPr>
        <w:t>) stejnopisech v českém jazyce, z nichž ČVUT obdrží</w:t>
      </w:r>
      <w:r w:rsidR="005F6A86">
        <w:rPr>
          <w:rFonts w:ascii="Calibri" w:hAnsi="Calibri" w:cs="Calibri"/>
          <w:color w:val="auto"/>
        </w:rPr>
        <w:t xml:space="preserve"> po </w:t>
      </w:r>
      <w:r>
        <w:rPr>
          <w:rFonts w:ascii="Calibri" w:hAnsi="Calibri" w:cs="Calibri"/>
          <w:color w:val="auto"/>
        </w:rPr>
        <w:t>dvou</w:t>
      </w:r>
      <w:r w:rsidRPr="006304A7">
        <w:rPr>
          <w:rFonts w:ascii="Calibri" w:hAnsi="Calibri" w:cs="Calibri"/>
          <w:color w:val="auto"/>
        </w:rPr>
        <w:t xml:space="preserve"> (</w:t>
      </w:r>
      <w:r>
        <w:rPr>
          <w:rFonts w:ascii="Calibri" w:hAnsi="Calibri" w:cs="Calibri"/>
          <w:color w:val="auto"/>
        </w:rPr>
        <w:t xml:space="preserve">2) </w:t>
      </w:r>
      <w:r w:rsidRPr="006304A7">
        <w:rPr>
          <w:rFonts w:ascii="Calibri" w:hAnsi="Calibri" w:cs="Calibri"/>
          <w:color w:val="auto"/>
        </w:rPr>
        <w:t xml:space="preserve">a Partner </w:t>
      </w:r>
      <w:r>
        <w:rPr>
          <w:rFonts w:ascii="Calibri" w:hAnsi="Calibri" w:cs="Calibri"/>
          <w:color w:val="auto"/>
        </w:rPr>
        <w:t>po jednom</w:t>
      </w:r>
      <w:r w:rsidRPr="006304A7">
        <w:rPr>
          <w:rFonts w:ascii="Calibri" w:hAnsi="Calibri" w:cs="Calibri"/>
          <w:color w:val="auto"/>
        </w:rPr>
        <w:t xml:space="preserve"> (</w:t>
      </w:r>
      <w:r>
        <w:rPr>
          <w:rFonts w:ascii="Calibri" w:hAnsi="Calibri" w:cs="Calibri"/>
          <w:color w:val="auto"/>
        </w:rPr>
        <w:t>1</w:t>
      </w:r>
      <w:r w:rsidRPr="006304A7">
        <w:rPr>
          <w:rFonts w:ascii="Calibri" w:hAnsi="Calibri" w:cs="Calibri"/>
          <w:color w:val="auto"/>
        </w:rPr>
        <w:t>)</w:t>
      </w:r>
      <w:r w:rsidRPr="006304A7">
        <w:rPr>
          <w:rFonts w:ascii="Calibri" w:hAnsi="Calibri" w:cs="Calibri"/>
          <w:i/>
          <w:iCs/>
          <w:color w:val="auto"/>
        </w:rPr>
        <w:t xml:space="preserve"> </w:t>
      </w:r>
      <w:r>
        <w:rPr>
          <w:rFonts w:ascii="Calibri" w:hAnsi="Calibri" w:cs="Calibri"/>
          <w:color w:val="auto"/>
        </w:rPr>
        <w:t>vyhotovení</w:t>
      </w:r>
      <w:r w:rsidRPr="006304A7">
        <w:rPr>
          <w:rFonts w:ascii="Calibri" w:hAnsi="Calibri" w:cs="Calibri"/>
          <w:color w:val="auto"/>
        </w:rPr>
        <w:t xml:space="preserve">. </w:t>
      </w:r>
    </w:p>
    <w:p w14:paraId="5FD82CB8" w14:textId="77777777" w:rsidR="00BF5E4D" w:rsidRDefault="00BF5E4D" w:rsidP="00BF5E4D">
      <w:pPr>
        <w:pStyle w:val="Clanek11"/>
        <w:widowControl/>
        <w:ind w:left="567"/>
        <w:rPr>
          <w:rFonts w:ascii="Calibri" w:hAnsi="Calibri" w:cs="Calibri"/>
          <w:color w:val="auto"/>
        </w:rPr>
      </w:pPr>
    </w:p>
    <w:p w14:paraId="7BF7ED96" w14:textId="5A46FD84" w:rsidR="00AC27CA" w:rsidRPr="00BF5E4D" w:rsidRDefault="00AE64A7" w:rsidP="00BF5E4D">
      <w:pPr>
        <w:spacing w:before="0" w:after="0"/>
        <w:jc w:val="left"/>
        <w:rPr>
          <w:rFonts w:ascii="Calibri" w:hAnsi="Calibri" w:cs="Calibri"/>
          <w:color w:val="auto"/>
        </w:rPr>
      </w:pPr>
      <w:r w:rsidRPr="006304A7">
        <w:rPr>
          <w:rFonts w:ascii="Calibri" w:hAnsi="Calibri" w:cs="Calibri"/>
          <w:b/>
          <w:bCs/>
          <w:color w:val="auto"/>
        </w:rPr>
        <w:t xml:space="preserve">Strany tímto výslovně prohlašují, že si tuto </w:t>
      </w:r>
      <w:r w:rsidR="00AA5350" w:rsidRPr="006304A7">
        <w:rPr>
          <w:rFonts w:ascii="Calibri" w:hAnsi="Calibri" w:cs="Calibri"/>
          <w:b/>
          <w:color w:val="auto"/>
        </w:rPr>
        <w:t>Smlouvu</w:t>
      </w:r>
      <w:r w:rsidR="007E0134" w:rsidRPr="006304A7">
        <w:rPr>
          <w:rFonts w:ascii="Calibri" w:hAnsi="Calibri" w:cs="Calibri"/>
          <w:b/>
          <w:bCs/>
          <w:color w:val="auto"/>
        </w:rPr>
        <w:t xml:space="preserve"> </w:t>
      </w:r>
      <w:r w:rsidRPr="006304A7">
        <w:rPr>
          <w:rFonts w:ascii="Calibri" w:hAnsi="Calibri" w:cs="Calibri"/>
          <w:b/>
          <w:bCs/>
          <w:color w:val="auto"/>
        </w:rPr>
        <w:t>před jejím podpisem přečetly, že byla uzavřena po vzájemném projednání a že vyjadřuje jejich pravou a svobodnou vůli, na důkaz čehož připojují níže své podpisy.</w:t>
      </w:r>
    </w:p>
    <w:tbl>
      <w:tblPr>
        <w:tblStyle w:val="TableNormal1"/>
        <w:tblW w:w="906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15"/>
        <w:gridCol w:w="4549"/>
      </w:tblGrid>
      <w:tr w:rsidR="006304A7" w:rsidRPr="006304A7" w14:paraId="11272A73" w14:textId="77777777" w:rsidTr="00D37B47">
        <w:trPr>
          <w:trHeight w:val="520"/>
          <w:jc w:val="center"/>
        </w:trPr>
        <w:tc>
          <w:tcPr>
            <w:tcW w:w="4515" w:type="dxa"/>
            <w:tcBorders>
              <w:top w:val="nil"/>
              <w:left w:val="nil"/>
              <w:bottom w:val="nil"/>
              <w:right w:val="nil"/>
            </w:tcBorders>
            <w:shd w:val="clear" w:color="auto" w:fill="auto"/>
            <w:tcMar>
              <w:top w:w="80" w:type="dxa"/>
              <w:left w:w="80" w:type="dxa"/>
              <w:bottom w:w="80" w:type="dxa"/>
              <w:right w:w="80" w:type="dxa"/>
            </w:tcMar>
          </w:tcPr>
          <w:p w14:paraId="4B863FAA" w14:textId="77777777" w:rsidR="00AC27CA" w:rsidRPr="006304A7" w:rsidRDefault="00AE64A7">
            <w:pPr>
              <w:widowControl w:val="0"/>
              <w:jc w:val="left"/>
              <w:rPr>
                <w:rFonts w:ascii="Calibri" w:hAnsi="Calibri" w:cs="Calibri"/>
                <w:color w:val="auto"/>
              </w:rPr>
            </w:pPr>
            <w:r w:rsidRPr="006304A7">
              <w:rPr>
                <w:rFonts w:ascii="Calibri" w:hAnsi="Calibri" w:cs="Calibri"/>
                <w:b/>
                <w:bCs/>
                <w:color w:val="auto"/>
              </w:rPr>
              <w:t xml:space="preserve">České vysoké učení technické v Praze </w:t>
            </w:r>
            <w:r w:rsidRPr="006304A7">
              <w:rPr>
                <w:rFonts w:ascii="Calibri" w:hAnsi="Calibri" w:cs="Calibri"/>
                <w:b/>
                <w:bCs/>
                <w:color w:val="auto"/>
              </w:rPr>
              <w:br/>
            </w:r>
            <w:r w:rsidR="007E0134" w:rsidRPr="006304A7">
              <w:rPr>
                <w:rFonts w:ascii="Calibri" w:hAnsi="Calibri" w:cs="Calibri"/>
                <w:b/>
                <w:bCs/>
                <w:color w:val="auto"/>
              </w:rPr>
              <w:t>Český institut informatiky, robotiky a kybernetiky</w:t>
            </w:r>
          </w:p>
        </w:tc>
        <w:tc>
          <w:tcPr>
            <w:tcW w:w="4549" w:type="dxa"/>
            <w:tcBorders>
              <w:top w:val="nil"/>
              <w:left w:val="nil"/>
              <w:bottom w:val="nil"/>
              <w:right w:val="nil"/>
            </w:tcBorders>
            <w:shd w:val="clear" w:color="auto" w:fill="auto"/>
            <w:tcMar>
              <w:top w:w="80" w:type="dxa"/>
              <w:left w:w="80" w:type="dxa"/>
              <w:bottom w:w="80" w:type="dxa"/>
              <w:right w:w="80" w:type="dxa"/>
            </w:tcMar>
          </w:tcPr>
          <w:p w14:paraId="78452EF3" w14:textId="22AACCEA" w:rsidR="00AC27CA" w:rsidRPr="00444B83" w:rsidRDefault="00885953" w:rsidP="00444B83">
            <w:pPr>
              <w:widowControl w:val="0"/>
              <w:tabs>
                <w:tab w:val="left" w:pos="567"/>
              </w:tabs>
              <w:rPr>
                <w:rFonts w:ascii="Calibri" w:hAnsi="Calibri" w:cs="Calibri"/>
                <w:b/>
                <w:color w:val="auto"/>
              </w:rPr>
            </w:pPr>
            <w:r>
              <w:rPr>
                <w:rFonts w:ascii="Calibri" w:hAnsi="Calibri" w:cs="Calibri"/>
                <w:b/>
                <w:bCs/>
                <w:color w:val="auto"/>
              </w:rPr>
              <w:t xml:space="preserve">Deloitte CZ </w:t>
            </w:r>
            <w:proofErr w:type="spellStart"/>
            <w:r>
              <w:rPr>
                <w:rFonts w:ascii="Calibri" w:hAnsi="Calibri" w:cs="Calibri"/>
                <w:b/>
                <w:bCs/>
                <w:color w:val="auto"/>
              </w:rPr>
              <w:t>Services</w:t>
            </w:r>
            <w:proofErr w:type="spellEnd"/>
            <w:r>
              <w:rPr>
                <w:rFonts w:ascii="Calibri" w:hAnsi="Calibri" w:cs="Calibri"/>
                <w:b/>
                <w:bCs/>
                <w:color w:val="auto"/>
              </w:rPr>
              <w:t>, s.r.o.</w:t>
            </w:r>
          </w:p>
        </w:tc>
      </w:tr>
      <w:tr w:rsidR="006304A7" w:rsidRPr="006304A7" w14:paraId="7D57A0F8" w14:textId="77777777" w:rsidTr="00D37B47">
        <w:trPr>
          <w:trHeight w:val="260"/>
          <w:jc w:val="center"/>
        </w:trPr>
        <w:tc>
          <w:tcPr>
            <w:tcW w:w="4515" w:type="dxa"/>
            <w:tcBorders>
              <w:top w:val="nil"/>
              <w:left w:val="nil"/>
              <w:bottom w:val="nil"/>
              <w:right w:val="nil"/>
            </w:tcBorders>
            <w:shd w:val="clear" w:color="auto" w:fill="auto"/>
            <w:tcMar>
              <w:top w:w="80" w:type="dxa"/>
              <w:left w:w="80" w:type="dxa"/>
              <w:bottom w:w="80" w:type="dxa"/>
              <w:right w:w="80" w:type="dxa"/>
            </w:tcMar>
          </w:tcPr>
          <w:p w14:paraId="02A963B3" w14:textId="77777777" w:rsidR="00434596" w:rsidRDefault="00434596">
            <w:pPr>
              <w:rPr>
                <w:rFonts w:ascii="Calibri" w:hAnsi="Calibri" w:cs="Calibri"/>
                <w:color w:val="auto"/>
              </w:rPr>
            </w:pPr>
            <w:r>
              <w:rPr>
                <w:rFonts w:ascii="Calibri" w:hAnsi="Calibri" w:cs="Calibri"/>
                <w:color w:val="auto"/>
              </w:rPr>
              <w:t>V Praze:</w:t>
            </w:r>
          </w:p>
          <w:p w14:paraId="26942F28" w14:textId="579DF93C" w:rsidR="00AC27CA" w:rsidRPr="006304A7" w:rsidRDefault="00434596">
            <w:pPr>
              <w:rPr>
                <w:rFonts w:ascii="Calibri" w:hAnsi="Calibri" w:cs="Calibri"/>
                <w:color w:val="auto"/>
              </w:rPr>
            </w:pPr>
            <w:r>
              <w:rPr>
                <w:rFonts w:ascii="Calibri" w:hAnsi="Calibri" w:cs="Calibri"/>
                <w:color w:val="auto"/>
              </w:rPr>
              <w:t>Dne</w:t>
            </w:r>
            <w:r w:rsidR="00AE64A7" w:rsidRPr="006304A7">
              <w:rPr>
                <w:rFonts w:ascii="Calibri" w:hAnsi="Calibri" w:cs="Calibri"/>
                <w:color w:val="auto"/>
              </w:rPr>
              <w:t>:</w:t>
            </w:r>
          </w:p>
        </w:tc>
        <w:tc>
          <w:tcPr>
            <w:tcW w:w="4549" w:type="dxa"/>
            <w:tcBorders>
              <w:top w:val="nil"/>
              <w:left w:val="nil"/>
              <w:bottom w:val="nil"/>
              <w:right w:val="nil"/>
            </w:tcBorders>
            <w:shd w:val="clear" w:color="auto" w:fill="auto"/>
            <w:tcMar>
              <w:top w:w="80" w:type="dxa"/>
              <w:left w:w="80" w:type="dxa"/>
              <w:bottom w:w="80" w:type="dxa"/>
              <w:right w:w="80" w:type="dxa"/>
            </w:tcMar>
          </w:tcPr>
          <w:p w14:paraId="66907035" w14:textId="20FBD3CE" w:rsidR="00434596" w:rsidRDefault="00885953">
            <w:pPr>
              <w:rPr>
                <w:rFonts w:ascii="Calibri" w:hAnsi="Calibri" w:cs="Calibri"/>
                <w:color w:val="auto"/>
              </w:rPr>
            </w:pPr>
            <w:r>
              <w:rPr>
                <w:rFonts w:ascii="Calibri" w:hAnsi="Calibri" w:cs="Calibri"/>
                <w:color w:val="auto"/>
              </w:rPr>
              <w:t>V Praze:</w:t>
            </w:r>
          </w:p>
          <w:p w14:paraId="1DE1DFE9" w14:textId="6DB1D7BD" w:rsidR="00AC27CA" w:rsidRPr="006304A7" w:rsidRDefault="00434596" w:rsidP="00A57EA4">
            <w:pPr>
              <w:rPr>
                <w:rFonts w:ascii="Calibri" w:hAnsi="Calibri" w:cs="Calibri"/>
                <w:color w:val="auto"/>
              </w:rPr>
            </w:pPr>
            <w:r>
              <w:rPr>
                <w:rFonts w:ascii="Calibri" w:hAnsi="Calibri" w:cs="Calibri"/>
                <w:color w:val="auto"/>
              </w:rPr>
              <w:t>D</w:t>
            </w:r>
            <w:r w:rsidR="00AE64A7" w:rsidRPr="006304A7">
              <w:rPr>
                <w:rFonts w:ascii="Calibri" w:hAnsi="Calibri" w:cs="Calibri"/>
                <w:color w:val="auto"/>
              </w:rPr>
              <w:t xml:space="preserve">ne: </w:t>
            </w:r>
          </w:p>
        </w:tc>
      </w:tr>
      <w:tr w:rsidR="006304A7" w:rsidRPr="006304A7" w14:paraId="13145CF8" w14:textId="77777777" w:rsidTr="00D37B47">
        <w:trPr>
          <w:trHeight w:val="520"/>
          <w:jc w:val="center"/>
        </w:trPr>
        <w:tc>
          <w:tcPr>
            <w:tcW w:w="4515" w:type="dxa"/>
            <w:tcBorders>
              <w:top w:val="nil"/>
              <w:left w:val="nil"/>
              <w:bottom w:val="nil"/>
              <w:right w:val="nil"/>
            </w:tcBorders>
            <w:shd w:val="clear" w:color="auto" w:fill="auto"/>
            <w:tcMar>
              <w:top w:w="80" w:type="dxa"/>
              <w:left w:w="80" w:type="dxa"/>
              <w:bottom w:w="80" w:type="dxa"/>
              <w:right w:w="80" w:type="dxa"/>
            </w:tcMar>
          </w:tcPr>
          <w:p w14:paraId="25C73432" w14:textId="4E2D8FC6" w:rsidR="00AC27CA" w:rsidRPr="006304A7" w:rsidRDefault="00AC27CA">
            <w:pPr>
              <w:rPr>
                <w:rFonts w:ascii="Calibri" w:hAnsi="Calibri" w:cs="Calibri"/>
                <w:color w:val="auto"/>
              </w:rPr>
            </w:pPr>
          </w:p>
          <w:p w14:paraId="662A1D6E" w14:textId="77777777" w:rsidR="00AC27CA" w:rsidRPr="006304A7" w:rsidRDefault="00AE64A7">
            <w:pPr>
              <w:rPr>
                <w:rFonts w:ascii="Calibri" w:hAnsi="Calibri" w:cs="Calibri"/>
                <w:color w:val="auto"/>
              </w:rPr>
            </w:pPr>
            <w:r w:rsidRPr="006304A7">
              <w:rPr>
                <w:rFonts w:ascii="Calibri" w:hAnsi="Calibri" w:cs="Calibri"/>
                <w:color w:val="auto"/>
              </w:rPr>
              <w:t>_______________________________________</w:t>
            </w:r>
          </w:p>
        </w:tc>
        <w:tc>
          <w:tcPr>
            <w:tcW w:w="4549" w:type="dxa"/>
            <w:tcBorders>
              <w:top w:val="nil"/>
              <w:left w:val="nil"/>
              <w:bottom w:val="nil"/>
              <w:right w:val="nil"/>
            </w:tcBorders>
            <w:shd w:val="clear" w:color="auto" w:fill="auto"/>
            <w:tcMar>
              <w:top w:w="80" w:type="dxa"/>
              <w:left w:w="80" w:type="dxa"/>
              <w:bottom w:w="80" w:type="dxa"/>
              <w:right w:w="80" w:type="dxa"/>
            </w:tcMar>
          </w:tcPr>
          <w:p w14:paraId="78B7F8CC" w14:textId="77777777" w:rsidR="00AC27CA" w:rsidRPr="006304A7" w:rsidRDefault="00AC27CA">
            <w:pPr>
              <w:rPr>
                <w:rFonts w:ascii="Calibri" w:hAnsi="Calibri" w:cs="Calibri"/>
                <w:color w:val="auto"/>
              </w:rPr>
            </w:pPr>
          </w:p>
          <w:p w14:paraId="44D0A345" w14:textId="77777777" w:rsidR="00AC27CA" w:rsidRPr="006304A7" w:rsidRDefault="00AE64A7">
            <w:pPr>
              <w:rPr>
                <w:rFonts w:ascii="Calibri" w:hAnsi="Calibri" w:cs="Calibri"/>
                <w:color w:val="auto"/>
              </w:rPr>
            </w:pPr>
            <w:r w:rsidRPr="006304A7">
              <w:rPr>
                <w:rFonts w:ascii="Calibri" w:hAnsi="Calibri" w:cs="Calibri"/>
                <w:color w:val="auto"/>
              </w:rPr>
              <w:t>_______________________________________</w:t>
            </w:r>
          </w:p>
        </w:tc>
      </w:tr>
    </w:tbl>
    <w:p w14:paraId="7FCA1EE0" w14:textId="77777777" w:rsidR="00114239" w:rsidRPr="00A22FA2" w:rsidRDefault="00114239" w:rsidP="003353FC">
      <w:pPr>
        <w:rPr>
          <w:rFonts w:ascii="Calibri" w:hAnsi="Calibri" w:cs="Calibri"/>
          <w:color w:val="000000" w:themeColor="text1"/>
        </w:rPr>
      </w:pPr>
      <w:bookmarkStart w:id="2" w:name="_GoBack"/>
      <w:bookmarkEnd w:id="2"/>
    </w:p>
    <w:sectPr w:rsidR="00114239" w:rsidRPr="00A22FA2">
      <w:headerReference w:type="default" r:id="rId9"/>
      <w:footerReference w:type="default" r:id="rId10"/>
      <w:pgSz w:w="11900" w:h="16840"/>
      <w:pgMar w:top="1418" w:right="1418" w:bottom="1418" w:left="1418"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44867" w14:textId="77777777" w:rsidR="00C4147E" w:rsidRDefault="00C4147E">
      <w:pPr>
        <w:spacing w:before="0" w:after="0"/>
      </w:pPr>
      <w:r>
        <w:separator/>
      </w:r>
    </w:p>
  </w:endnote>
  <w:endnote w:type="continuationSeparator" w:id="0">
    <w:p w14:paraId="53A485AE" w14:textId="77777777" w:rsidR="00C4147E" w:rsidRDefault="00C4147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echnika">
    <w:altName w:val="Courier New"/>
    <w:charset w:val="EE"/>
    <w:family w:val="auto"/>
    <w:pitch w:val="variable"/>
    <w:sig w:usb0="00000087" w:usb1="00000001"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9DC5C" w14:textId="2ED46EBF" w:rsidR="007F08AA" w:rsidRDefault="007F08AA">
    <w:pPr>
      <w:pStyle w:val="Zpat"/>
      <w:tabs>
        <w:tab w:val="clear" w:pos="4703"/>
        <w:tab w:val="clear" w:pos="9406"/>
      </w:tabs>
      <w:jc w:val="right"/>
    </w:pPr>
    <w:r>
      <w:tab/>
    </w:r>
    <w:r>
      <w:tab/>
    </w:r>
    <w:r>
      <w:rPr>
        <w:rFonts w:ascii="Arial" w:eastAsia="Arial" w:hAnsi="Arial" w:cs="Arial"/>
        <w:b/>
        <w:bCs/>
        <w:sz w:val="15"/>
        <w:szCs w:val="15"/>
      </w:rPr>
      <w:fldChar w:fldCharType="begin"/>
    </w:r>
    <w:r>
      <w:rPr>
        <w:rFonts w:ascii="Arial" w:eastAsia="Arial" w:hAnsi="Arial" w:cs="Arial"/>
        <w:b/>
        <w:bCs/>
        <w:sz w:val="15"/>
        <w:szCs w:val="15"/>
      </w:rPr>
      <w:instrText xml:space="preserve"> PAGE </w:instrText>
    </w:r>
    <w:r>
      <w:rPr>
        <w:rFonts w:ascii="Arial" w:eastAsia="Arial" w:hAnsi="Arial" w:cs="Arial"/>
        <w:b/>
        <w:bCs/>
        <w:sz w:val="15"/>
        <w:szCs w:val="15"/>
      </w:rPr>
      <w:fldChar w:fldCharType="separate"/>
    </w:r>
    <w:r w:rsidR="00127E23">
      <w:rPr>
        <w:rFonts w:ascii="Arial" w:eastAsia="Arial" w:hAnsi="Arial" w:cs="Arial"/>
        <w:b/>
        <w:bCs/>
        <w:noProof/>
        <w:sz w:val="15"/>
        <w:szCs w:val="15"/>
      </w:rPr>
      <w:t>2</w:t>
    </w:r>
    <w:r>
      <w:rPr>
        <w:rFonts w:ascii="Arial" w:eastAsia="Arial" w:hAnsi="Arial" w:cs="Arial"/>
        <w:b/>
        <w:bCs/>
        <w:sz w:val="15"/>
        <w:szCs w:val="15"/>
      </w:rPr>
      <w:fldChar w:fldCharType="end"/>
    </w:r>
    <w:r>
      <w:rPr>
        <w:rFonts w:ascii="Arial" w:eastAsia="Arial" w:hAnsi="Arial" w:cs="Arial"/>
        <w:b/>
        <w:bCs/>
        <w:sz w:val="15"/>
        <w:szCs w:val="15"/>
      </w:rPr>
      <w:t xml:space="preserve"> / </w:t>
    </w:r>
    <w:r>
      <w:rPr>
        <w:rFonts w:ascii="Arial" w:eastAsia="Arial" w:hAnsi="Arial" w:cs="Arial"/>
        <w:b/>
        <w:bCs/>
        <w:sz w:val="15"/>
        <w:szCs w:val="15"/>
      </w:rPr>
      <w:fldChar w:fldCharType="begin"/>
    </w:r>
    <w:r>
      <w:rPr>
        <w:rFonts w:ascii="Arial" w:eastAsia="Arial" w:hAnsi="Arial" w:cs="Arial"/>
        <w:b/>
        <w:bCs/>
        <w:sz w:val="15"/>
        <w:szCs w:val="15"/>
      </w:rPr>
      <w:instrText xml:space="preserve"> NUMPAGES </w:instrText>
    </w:r>
    <w:r>
      <w:rPr>
        <w:rFonts w:ascii="Arial" w:eastAsia="Arial" w:hAnsi="Arial" w:cs="Arial"/>
        <w:b/>
        <w:bCs/>
        <w:sz w:val="15"/>
        <w:szCs w:val="15"/>
      </w:rPr>
      <w:fldChar w:fldCharType="separate"/>
    </w:r>
    <w:r w:rsidR="00127E23">
      <w:rPr>
        <w:rFonts w:ascii="Arial" w:eastAsia="Arial" w:hAnsi="Arial" w:cs="Arial"/>
        <w:b/>
        <w:bCs/>
        <w:noProof/>
        <w:sz w:val="15"/>
        <w:szCs w:val="15"/>
      </w:rPr>
      <w:t>6</w:t>
    </w:r>
    <w:r>
      <w:rPr>
        <w:rFonts w:ascii="Arial" w:eastAsia="Arial" w:hAnsi="Arial" w:cs="Arial"/>
        <w:b/>
        <w:bCs/>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87DD1" w14:textId="77777777" w:rsidR="00C4147E" w:rsidRDefault="00C4147E">
      <w:pPr>
        <w:spacing w:before="0" w:after="0"/>
      </w:pPr>
      <w:r>
        <w:separator/>
      </w:r>
    </w:p>
  </w:footnote>
  <w:footnote w:type="continuationSeparator" w:id="0">
    <w:p w14:paraId="59D27478" w14:textId="77777777" w:rsidR="00C4147E" w:rsidRDefault="00C4147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8361B" w14:textId="77777777" w:rsidR="007F08AA" w:rsidRDefault="007F08AA">
    <w:pPr>
      <w:pStyle w:val="Zhlav"/>
    </w:pPr>
    <w:r w:rsidRPr="00E62B93">
      <w:rPr>
        <w:rFonts w:ascii="Technika" w:hAnsi="Technika"/>
        <w:caps/>
        <w:noProof/>
        <w:spacing w:val="8"/>
        <w:kern w:val="20"/>
        <w:sz w:val="14"/>
        <w:szCs w:val="14"/>
      </w:rPr>
      <w:drawing>
        <wp:inline distT="0" distB="0" distL="0" distR="0" wp14:anchorId="165D5116" wp14:editId="14FC6654">
          <wp:extent cx="2004695" cy="719455"/>
          <wp:effectExtent l="0" t="0" r="0" b="4445"/>
          <wp:docPr id="4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CIIR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4695" cy="719455"/>
                  </a:xfrm>
                  <a:prstGeom prst="rect">
                    <a:avLst/>
                  </a:prstGeom>
                </pic:spPr>
              </pic:pic>
            </a:graphicData>
          </a:graphic>
        </wp:inline>
      </w:drawing>
    </w:r>
  </w:p>
  <w:p w14:paraId="10F06D9F" w14:textId="77777777" w:rsidR="007F08AA" w:rsidRDefault="007F08A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6C4DF32"/>
    <w:lvl w:ilvl="0">
      <w:start w:val="1"/>
      <w:numFmt w:val="decimal"/>
      <w:pStyle w:val="slovanseznam"/>
      <w:lvlText w:val="%1."/>
      <w:lvlJc w:val="left"/>
      <w:pPr>
        <w:tabs>
          <w:tab w:val="num" w:pos="360"/>
        </w:tabs>
        <w:ind w:left="360" w:hanging="360"/>
      </w:pPr>
    </w:lvl>
  </w:abstractNum>
  <w:abstractNum w:abstractNumId="1" w15:restartNumberingAfterBreak="0">
    <w:nsid w:val="027145B0"/>
    <w:multiLevelType w:val="multilevel"/>
    <w:tmpl w:val="A920A160"/>
    <w:styleLink w:val="Importovanstyl1"/>
    <w:lvl w:ilvl="0">
      <w:start w:val="1"/>
      <w:numFmt w:val="decimal"/>
      <w:lvlText w:val="%1."/>
      <w:lvlJc w:val="left"/>
      <w:pPr>
        <w:ind w:left="567" w:hanging="567"/>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992" w:hanging="425"/>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nothing"/>
      <w:lvlText w:val="%1.%2.(%3)(%4)"/>
      <w:lvlJc w:val="left"/>
      <w:pPr>
        <w:ind w:left="1419"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suff w:val="nothing"/>
      <w:lvlText w:val="%1.%2.(%3)(%4)(%5)"/>
      <w:lvlJc w:val="left"/>
      <w:pPr>
        <w:ind w:left="1750"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2081"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suff w:val="nothing"/>
      <w:lvlText w:val="%1.%2.(%3)(%4)(%5)(%6)(%7)"/>
      <w:lvlJc w:val="left"/>
      <w:pPr>
        <w:ind w:left="2412"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suff w:val="nothing"/>
      <w:lvlText w:val="%1.%2.(%3)(%4)(%5)(%6)(%7)(%8)"/>
      <w:lvlJc w:val="left"/>
      <w:pPr>
        <w:ind w:left="2743"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ind w:left="3074"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2B91912"/>
    <w:multiLevelType w:val="multilevel"/>
    <w:tmpl w:val="E20A53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792A40"/>
    <w:multiLevelType w:val="hybridMultilevel"/>
    <w:tmpl w:val="3910890A"/>
    <w:lvl w:ilvl="0" w:tplc="F2FC3B4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CF738D"/>
    <w:multiLevelType w:val="multilevel"/>
    <w:tmpl w:val="4CA6F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7B7299C"/>
    <w:multiLevelType w:val="hybridMultilevel"/>
    <w:tmpl w:val="1994B826"/>
    <w:lvl w:ilvl="0" w:tplc="69681AC8">
      <w:start w:val="1"/>
      <w:numFmt w:val="upperLetter"/>
      <w:lvlText w:val="(%1)"/>
      <w:lvlJc w:val="left"/>
      <w:pPr>
        <w:ind w:left="1287"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6" w15:restartNumberingAfterBreak="0">
    <w:nsid w:val="081544F4"/>
    <w:multiLevelType w:val="hybridMultilevel"/>
    <w:tmpl w:val="0750CC9A"/>
    <w:lvl w:ilvl="0" w:tplc="0405000F">
      <w:start w:val="1"/>
      <w:numFmt w:val="decimal"/>
      <w:lvlText w:val="%1."/>
      <w:lvlJc w:val="left"/>
      <w:pPr>
        <w:tabs>
          <w:tab w:val="num" w:pos="720"/>
        </w:tabs>
        <w:ind w:left="720" w:hanging="360"/>
      </w:pPr>
      <w:rPr>
        <w:b w:val="0"/>
      </w:rPr>
    </w:lvl>
    <w:lvl w:ilvl="1" w:tplc="00A4E8C0">
      <w:start w:val="1"/>
      <w:numFmt w:val="lowerLetter"/>
      <w:lvlText w:val="%2)"/>
      <w:lvlJc w:val="left"/>
      <w:pPr>
        <w:tabs>
          <w:tab w:val="num" w:pos="1440"/>
        </w:tabs>
        <w:ind w:left="1440" w:hanging="360"/>
      </w:pPr>
      <w:rPr>
        <w:b w:val="0"/>
      </w:rPr>
    </w:lvl>
    <w:lvl w:ilvl="2" w:tplc="0405000F">
      <w:start w:val="1"/>
      <w:numFmt w:val="decimal"/>
      <w:lvlText w:val="%3."/>
      <w:lvlJc w:val="left"/>
      <w:pPr>
        <w:tabs>
          <w:tab w:val="num" w:pos="2340"/>
        </w:tabs>
        <w:ind w:left="2340" w:hanging="360"/>
      </w:pPr>
    </w:lvl>
    <w:lvl w:ilvl="3" w:tplc="5D087872">
      <w:start w:val="2"/>
      <w:numFmt w:val="upperRoman"/>
      <w:lvlText w:val="%4."/>
      <w:lvlJc w:val="left"/>
      <w:pPr>
        <w:tabs>
          <w:tab w:val="num" w:pos="3240"/>
        </w:tabs>
        <w:ind w:left="3240" w:hanging="720"/>
      </w:pPr>
      <w:rPr>
        <w:u w:val="single"/>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15:restartNumberingAfterBreak="0">
    <w:nsid w:val="0A620D90"/>
    <w:multiLevelType w:val="hybridMultilevel"/>
    <w:tmpl w:val="31749808"/>
    <w:lvl w:ilvl="0" w:tplc="18804410">
      <w:start w:val="1"/>
      <w:numFmt w:val="lowerRoman"/>
      <w:lvlText w:val="(%1)"/>
      <w:lvlJc w:val="righ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8" w15:restartNumberingAfterBreak="0">
    <w:nsid w:val="0C7A645E"/>
    <w:multiLevelType w:val="hybridMultilevel"/>
    <w:tmpl w:val="F624856E"/>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9" w15:restartNumberingAfterBreak="0">
    <w:nsid w:val="0EDD7663"/>
    <w:multiLevelType w:val="hybridMultilevel"/>
    <w:tmpl w:val="FBF0E0EA"/>
    <w:numStyleLink w:val="Importovanstyl5"/>
  </w:abstractNum>
  <w:abstractNum w:abstractNumId="10" w15:restartNumberingAfterBreak="0">
    <w:nsid w:val="0F6D054D"/>
    <w:multiLevelType w:val="hybridMultilevel"/>
    <w:tmpl w:val="E19C9EB8"/>
    <w:lvl w:ilvl="0" w:tplc="68FAD1B0">
      <w:start w:val="1"/>
      <w:numFmt w:val="upperLetter"/>
      <w:lvlText w:val="%1."/>
      <w:lvlJc w:val="left"/>
      <w:pPr>
        <w:ind w:left="720" w:hanging="360"/>
      </w:pPr>
      <w:rPr>
        <w:rFonts w:cs="Times New Roman" w:hint="default"/>
        <w:b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2DD5C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4954568"/>
    <w:multiLevelType w:val="hybridMultilevel"/>
    <w:tmpl w:val="744AC7DC"/>
    <w:numStyleLink w:val="Importovanstyl6"/>
  </w:abstractNum>
  <w:abstractNum w:abstractNumId="13" w15:restartNumberingAfterBreak="0">
    <w:nsid w:val="15994C93"/>
    <w:multiLevelType w:val="multilevel"/>
    <w:tmpl w:val="4CA6FA6A"/>
    <w:lvl w:ilvl="0">
      <w:start w:val="1"/>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1800" w:hanging="1440"/>
      </w:pPr>
      <w:rPr>
        <w:rFonts w:hint="default"/>
      </w:rPr>
    </w:lvl>
  </w:abstractNum>
  <w:abstractNum w:abstractNumId="14" w15:restartNumberingAfterBreak="0">
    <w:nsid w:val="160B696C"/>
    <w:multiLevelType w:val="multilevel"/>
    <w:tmpl w:val="A69889AA"/>
    <w:lvl w:ilvl="0">
      <w:start w:val="1"/>
      <w:numFmt w:val="bullet"/>
      <w:lvlText w:val="o"/>
      <w:lvlJc w:val="left"/>
      <w:pPr>
        <w:ind w:left="1287" w:hanging="360"/>
      </w:pPr>
      <w:rPr>
        <w:rFonts w:ascii="Courier New" w:hAnsi="Courier New" w:cs="Courier New"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287" w:hanging="360"/>
      </w:pPr>
      <w:rPr>
        <w:rFonts w:ascii="Courier New" w:hAnsi="Courier New" w:cs="Courier New"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647" w:hanging="720"/>
      </w:pPr>
      <w:rPr>
        <w:rFonts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647" w:hanging="720"/>
      </w:pPr>
      <w:rPr>
        <w:rFonts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007" w:hanging="1080"/>
      </w:pPr>
      <w:rPr>
        <w:rFonts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007" w:hanging="1080"/>
      </w:pPr>
      <w:rPr>
        <w:rFonts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367" w:hanging="1440"/>
      </w:pPr>
      <w:rPr>
        <w:rFonts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367" w:hanging="1440"/>
      </w:pPr>
      <w:rPr>
        <w:rFonts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367" w:hanging="1440"/>
      </w:pPr>
      <w:rPr>
        <w:rFonts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8CC12A6"/>
    <w:multiLevelType w:val="hybridMultilevel"/>
    <w:tmpl w:val="1ED8C82A"/>
    <w:lvl w:ilvl="0" w:tplc="579A46B6">
      <w:start w:val="1"/>
      <w:numFmt w:val="lowerLetter"/>
      <w:lvlText w:val="%1)"/>
      <w:lvlJc w:val="left"/>
      <w:pPr>
        <w:ind w:left="860" w:hanging="360"/>
      </w:pPr>
      <w:rPr>
        <w:rFonts w:hint="default"/>
      </w:rPr>
    </w:lvl>
    <w:lvl w:ilvl="1" w:tplc="04050019" w:tentative="1">
      <w:start w:val="1"/>
      <w:numFmt w:val="lowerLetter"/>
      <w:lvlText w:val="%2."/>
      <w:lvlJc w:val="left"/>
      <w:pPr>
        <w:ind w:left="1580" w:hanging="360"/>
      </w:pPr>
    </w:lvl>
    <w:lvl w:ilvl="2" w:tplc="0405001B" w:tentative="1">
      <w:start w:val="1"/>
      <w:numFmt w:val="lowerRoman"/>
      <w:lvlText w:val="%3."/>
      <w:lvlJc w:val="right"/>
      <w:pPr>
        <w:ind w:left="2300" w:hanging="180"/>
      </w:pPr>
    </w:lvl>
    <w:lvl w:ilvl="3" w:tplc="0405000F" w:tentative="1">
      <w:start w:val="1"/>
      <w:numFmt w:val="decimal"/>
      <w:lvlText w:val="%4."/>
      <w:lvlJc w:val="left"/>
      <w:pPr>
        <w:ind w:left="3020" w:hanging="360"/>
      </w:pPr>
    </w:lvl>
    <w:lvl w:ilvl="4" w:tplc="04050019" w:tentative="1">
      <w:start w:val="1"/>
      <w:numFmt w:val="lowerLetter"/>
      <w:lvlText w:val="%5."/>
      <w:lvlJc w:val="left"/>
      <w:pPr>
        <w:ind w:left="3740" w:hanging="360"/>
      </w:pPr>
    </w:lvl>
    <w:lvl w:ilvl="5" w:tplc="0405001B" w:tentative="1">
      <w:start w:val="1"/>
      <w:numFmt w:val="lowerRoman"/>
      <w:lvlText w:val="%6."/>
      <w:lvlJc w:val="right"/>
      <w:pPr>
        <w:ind w:left="4460" w:hanging="180"/>
      </w:pPr>
    </w:lvl>
    <w:lvl w:ilvl="6" w:tplc="0405000F" w:tentative="1">
      <w:start w:val="1"/>
      <w:numFmt w:val="decimal"/>
      <w:lvlText w:val="%7."/>
      <w:lvlJc w:val="left"/>
      <w:pPr>
        <w:ind w:left="5180" w:hanging="360"/>
      </w:pPr>
    </w:lvl>
    <w:lvl w:ilvl="7" w:tplc="04050019" w:tentative="1">
      <w:start w:val="1"/>
      <w:numFmt w:val="lowerLetter"/>
      <w:lvlText w:val="%8."/>
      <w:lvlJc w:val="left"/>
      <w:pPr>
        <w:ind w:left="5900" w:hanging="360"/>
      </w:pPr>
    </w:lvl>
    <w:lvl w:ilvl="8" w:tplc="0405001B" w:tentative="1">
      <w:start w:val="1"/>
      <w:numFmt w:val="lowerRoman"/>
      <w:lvlText w:val="%9."/>
      <w:lvlJc w:val="right"/>
      <w:pPr>
        <w:ind w:left="6620" w:hanging="180"/>
      </w:pPr>
    </w:lvl>
  </w:abstractNum>
  <w:abstractNum w:abstractNumId="16" w15:restartNumberingAfterBreak="0">
    <w:nsid w:val="1AC22E9F"/>
    <w:multiLevelType w:val="hybridMultilevel"/>
    <w:tmpl w:val="8F4E205E"/>
    <w:lvl w:ilvl="0" w:tplc="0409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3D28B280">
      <w:start w:val="1"/>
      <w:numFmt w:val="lowerRoman"/>
      <w:lvlText w:val="%3."/>
      <w:lvlJc w:val="right"/>
      <w:pPr>
        <w:ind w:left="2160" w:hanging="360"/>
      </w:pPr>
      <w:rPr>
        <w:rFonts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56417F"/>
    <w:multiLevelType w:val="multilevel"/>
    <w:tmpl w:val="A920A160"/>
    <w:numStyleLink w:val="Importovanstyl1"/>
  </w:abstractNum>
  <w:abstractNum w:abstractNumId="18" w15:restartNumberingAfterBreak="0">
    <w:nsid w:val="1CD00D69"/>
    <w:multiLevelType w:val="hybridMultilevel"/>
    <w:tmpl w:val="0750CC9A"/>
    <w:lvl w:ilvl="0" w:tplc="0405000F">
      <w:start w:val="1"/>
      <w:numFmt w:val="decimal"/>
      <w:lvlText w:val="%1."/>
      <w:lvlJc w:val="left"/>
      <w:pPr>
        <w:tabs>
          <w:tab w:val="num" w:pos="720"/>
        </w:tabs>
        <w:ind w:left="720" w:hanging="360"/>
      </w:pPr>
      <w:rPr>
        <w:b w:val="0"/>
      </w:rPr>
    </w:lvl>
    <w:lvl w:ilvl="1" w:tplc="00A4E8C0">
      <w:start w:val="1"/>
      <w:numFmt w:val="lowerLetter"/>
      <w:lvlText w:val="%2)"/>
      <w:lvlJc w:val="left"/>
      <w:pPr>
        <w:tabs>
          <w:tab w:val="num" w:pos="1440"/>
        </w:tabs>
        <w:ind w:left="1440" w:hanging="360"/>
      </w:pPr>
      <w:rPr>
        <w:b w:val="0"/>
      </w:rPr>
    </w:lvl>
    <w:lvl w:ilvl="2" w:tplc="0405000F">
      <w:start w:val="1"/>
      <w:numFmt w:val="decimal"/>
      <w:lvlText w:val="%3."/>
      <w:lvlJc w:val="left"/>
      <w:pPr>
        <w:tabs>
          <w:tab w:val="num" w:pos="2340"/>
        </w:tabs>
        <w:ind w:left="2340" w:hanging="360"/>
      </w:pPr>
    </w:lvl>
    <w:lvl w:ilvl="3" w:tplc="5D087872">
      <w:start w:val="2"/>
      <w:numFmt w:val="upperRoman"/>
      <w:lvlText w:val="%4."/>
      <w:lvlJc w:val="left"/>
      <w:pPr>
        <w:tabs>
          <w:tab w:val="num" w:pos="3240"/>
        </w:tabs>
        <w:ind w:left="3240" w:hanging="720"/>
      </w:pPr>
      <w:rPr>
        <w:u w:val="single"/>
      </w:r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15:restartNumberingAfterBreak="0">
    <w:nsid w:val="1E892E2C"/>
    <w:multiLevelType w:val="hybridMultilevel"/>
    <w:tmpl w:val="63844B54"/>
    <w:lvl w:ilvl="0" w:tplc="365853B2">
      <w:start w:val="4"/>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20396F15"/>
    <w:multiLevelType w:val="multilevel"/>
    <w:tmpl w:val="A920A160"/>
    <w:numStyleLink w:val="Importovanstyl1"/>
  </w:abstractNum>
  <w:abstractNum w:abstractNumId="21" w15:restartNumberingAfterBreak="0">
    <w:nsid w:val="26611288"/>
    <w:multiLevelType w:val="multilevel"/>
    <w:tmpl w:val="4CA6F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A140F27"/>
    <w:multiLevelType w:val="multilevel"/>
    <w:tmpl w:val="32AC54F6"/>
    <w:lvl w:ilvl="0">
      <w:start w:val="1"/>
      <w:numFmt w:val="decimal"/>
      <w:lvlText w:val="%1."/>
      <w:lvlJc w:val="left"/>
      <w:pPr>
        <w:ind w:left="765" w:hanging="360"/>
      </w:pPr>
    </w:lvl>
    <w:lvl w:ilvl="1">
      <w:start w:val="1"/>
      <w:numFmt w:val="lowerLetter"/>
      <w:lvlText w:val="%2."/>
      <w:lvlJc w:val="left"/>
      <w:pPr>
        <w:ind w:left="1485" w:hanging="360"/>
      </w:pPr>
    </w:lvl>
    <w:lvl w:ilvl="2" w:tentative="1">
      <w:start w:val="1"/>
      <w:numFmt w:val="lowerRoman"/>
      <w:lvlText w:val="%3."/>
      <w:lvlJc w:val="right"/>
      <w:pPr>
        <w:ind w:left="2205" w:hanging="180"/>
      </w:pPr>
    </w:lvl>
    <w:lvl w:ilvl="3" w:tentative="1">
      <w:start w:val="1"/>
      <w:numFmt w:val="decimal"/>
      <w:lvlText w:val="%4."/>
      <w:lvlJc w:val="left"/>
      <w:pPr>
        <w:ind w:left="2925" w:hanging="360"/>
      </w:pPr>
    </w:lvl>
    <w:lvl w:ilvl="4" w:tentative="1">
      <w:start w:val="1"/>
      <w:numFmt w:val="lowerLetter"/>
      <w:lvlText w:val="%5."/>
      <w:lvlJc w:val="left"/>
      <w:pPr>
        <w:ind w:left="3645" w:hanging="360"/>
      </w:pPr>
    </w:lvl>
    <w:lvl w:ilvl="5" w:tentative="1">
      <w:start w:val="1"/>
      <w:numFmt w:val="lowerRoman"/>
      <w:lvlText w:val="%6."/>
      <w:lvlJc w:val="right"/>
      <w:pPr>
        <w:ind w:left="4365" w:hanging="180"/>
      </w:pPr>
    </w:lvl>
    <w:lvl w:ilvl="6" w:tentative="1">
      <w:start w:val="1"/>
      <w:numFmt w:val="decimal"/>
      <w:lvlText w:val="%7."/>
      <w:lvlJc w:val="left"/>
      <w:pPr>
        <w:ind w:left="5085" w:hanging="360"/>
      </w:pPr>
    </w:lvl>
    <w:lvl w:ilvl="7" w:tentative="1">
      <w:start w:val="1"/>
      <w:numFmt w:val="lowerLetter"/>
      <w:lvlText w:val="%8."/>
      <w:lvlJc w:val="left"/>
      <w:pPr>
        <w:ind w:left="5805" w:hanging="360"/>
      </w:pPr>
    </w:lvl>
    <w:lvl w:ilvl="8" w:tentative="1">
      <w:start w:val="1"/>
      <w:numFmt w:val="lowerRoman"/>
      <w:lvlText w:val="%9."/>
      <w:lvlJc w:val="right"/>
      <w:pPr>
        <w:ind w:left="6525" w:hanging="180"/>
      </w:pPr>
    </w:lvl>
  </w:abstractNum>
  <w:abstractNum w:abstractNumId="23" w15:restartNumberingAfterBreak="0">
    <w:nsid w:val="33515FD1"/>
    <w:multiLevelType w:val="multilevel"/>
    <w:tmpl w:val="A69889AA"/>
    <w:lvl w:ilvl="0">
      <w:start w:val="1"/>
      <w:numFmt w:val="bullet"/>
      <w:lvlText w:val="o"/>
      <w:lvlJc w:val="left"/>
      <w:pPr>
        <w:ind w:left="927" w:hanging="360"/>
      </w:pPr>
      <w:rPr>
        <w:rFonts w:ascii="Courier New" w:hAnsi="Courier New" w:cs="Courier New" w:hint="default"/>
      </w:rPr>
    </w:lvl>
    <w:lvl w:ilvl="1">
      <w:start w:val="1"/>
      <w:numFmt w:val="bullet"/>
      <w:lvlText w:val="o"/>
      <w:lvlJc w:val="left"/>
      <w:pPr>
        <w:ind w:left="927" w:hanging="360"/>
      </w:pPr>
      <w:rPr>
        <w:rFonts w:ascii="Courier New" w:hAnsi="Courier New" w:cs="Courier New" w:hint="default"/>
      </w:rPr>
    </w:lvl>
    <w:lvl w:ilvl="2">
      <w:start w:val="1"/>
      <w:numFmt w:val="decimal"/>
      <w:lvlText w:val="%1.%2.%3"/>
      <w:lvlJc w:val="left"/>
      <w:pPr>
        <w:ind w:left="1287"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647" w:hanging="1080"/>
      </w:pPr>
      <w:rPr>
        <w:rFonts w:hint="default"/>
      </w:rPr>
    </w:lvl>
    <w:lvl w:ilvl="5">
      <w:start w:val="1"/>
      <w:numFmt w:val="decimal"/>
      <w:lvlText w:val="%1.%2.%3.%4.%5.%6"/>
      <w:lvlJc w:val="left"/>
      <w:pPr>
        <w:ind w:left="1647" w:hanging="1080"/>
      </w:pPr>
      <w:rPr>
        <w:rFonts w:hint="default"/>
      </w:rPr>
    </w:lvl>
    <w:lvl w:ilvl="6">
      <w:start w:val="1"/>
      <w:numFmt w:val="decimal"/>
      <w:lvlText w:val="%1.%2.%3.%4.%5.%6.%7"/>
      <w:lvlJc w:val="left"/>
      <w:pPr>
        <w:ind w:left="2007" w:hanging="1440"/>
      </w:pPr>
      <w:rPr>
        <w:rFonts w:hint="default"/>
      </w:rPr>
    </w:lvl>
    <w:lvl w:ilvl="7">
      <w:start w:val="1"/>
      <w:numFmt w:val="decimal"/>
      <w:lvlText w:val="%1.%2.%3.%4.%5.%6.%7.%8"/>
      <w:lvlJc w:val="left"/>
      <w:pPr>
        <w:ind w:left="2007" w:hanging="1440"/>
      </w:pPr>
      <w:rPr>
        <w:rFonts w:hint="default"/>
      </w:rPr>
    </w:lvl>
    <w:lvl w:ilvl="8">
      <w:start w:val="1"/>
      <w:numFmt w:val="decimal"/>
      <w:lvlText w:val="%1.%2.%3.%4.%5.%6.%7.%8.%9"/>
      <w:lvlJc w:val="left"/>
      <w:pPr>
        <w:ind w:left="2007" w:hanging="1440"/>
      </w:pPr>
      <w:rPr>
        <w:rFonts w:hint="default"/>
      </w:rPr>
    </w:lvl>
  </w:abstractNum>
  <w:abstractNum w:abstractNumId="24" w15:restartNumberingAfterBreak="0">
    <w:nsid w:val="36D1271C"/>
    <w:multiLevelType w:val="hybridMultilevel"/>
    <w:tmpl w:val="5162A450"/>
    <w:lvl w:ilvl="0" w:tplc="0409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B74B69"/>
    <w:multiLevelType w:val="hybridMultilevel"/>
    <w:tmpl w:val="15363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E4192C"/>
    <w:multiLevelType w:val="hybridMultilevel"/>
    <w:tmpl w:val="F96686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5504D42"/>
    <w:multiLevelType w:val="hybridMultilevel"/>
    <w:tmpl w:val="32AC54F6"/>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8" w15:restartNumberingAfterBreak="0">
    <w:nsid w:val="4B3A2E10"/>
    <w:multiLevelType w:val="multilevel"/>
    <w:tmpl w:val="2A683DB0"/>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B69435A"/>
    <w:multiLevelType w:val="hybridMultilevel"/>
    <w:tmpl w:val="9B302486"/>
    <w:lvl w:ilvl="0" w:tplc="18804410">
      <w:start w:val="1"/>
      <w:numFmt w:val="lowerRoman"/>
      <w:lvlText w:val="(%1)"/>
      <w:lvlJc w:val="righ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0" w15:restartNumberingAfterBreak="0">
    <w:nsid w:val="50E659DB"/>
    <w:multiLevelType w:val="multilevel"/>
    <w:tmpl w:val="FD289202"/>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554034B0"/>
    <w:multiLevelType w:val="hybridMultilevel"/>
    <w:tmpl w:val="E0687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6787925"/>
    <w:multiLevelType w:val="hybridMultilevel"/>
    <w:tmpl w:val="2E003898"/>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3" w15:restartNumberingAfterBreak="0">
    <w:nsid w:val="59462786"/>
    <w:multiLevelType w:val="hybridMultilevel"/>
    <w:tmpl w:val="31749808"/>
    <w:lvl w:ilvl="0" w:tplc="18804410">
      <w:start w:val="1"/>
      <w:numFmt w:val="lowerRoman"/>
      <w:lvlText w:val="(%1)"/>
      <w:lvlJc w:val="righ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34" w15:restartNumberingAfterBreak="0">
    <w:nsid w:val="5C1F4AAB"/>
    <w:multiLevelType w:val="singleLevel"/>
    <w:tmpl w:val="58CAD436"/>
    <w:lvl w:ilvl="0">
      <w:start w:val="1"/>
      <w:numFmt w:val="lowerLetter"/>
      <w:lvlText w:val="(%1)"/>
      <w:lvlJc w:val="left"/>
      <w:pPr>
        <w:tabs>
          <w:tab w:val="num" w:pos="1140"/>
        </w:tabs>
        <w:ind w:left="1140" w:hanging="360"/>
      </w:pPr>
      <w:rPr>
        <w:rFonts w:cs="Times New Roman" w:hint="default"/>
      </w:rPr>
    </w:lvl>
  </w:abstractNum>
  <w:abstractNum w:abstractNumId="35" w15:restartNumberingAfterBreak="0">
    <w:nsid w:val="5D2C1E33"/>
    <w:multiLevelType w:val="hybridMultilevel"/>
    <w:tmpl w:val="744AC7DC"/>
    <w:styleLink w:val="Importovanstyl6"/>
    <w:lvl w:ilvl="0" w:tplc="BF747E76">
      <w:start w:val="1"/>
      <w:numFmt w:val="lowerLetter"/>
      <w:lvlText w:val="%1)"/>
      <w:lvlJc w:val="left"/>
      <w:pPr>
        <w:tabs>
          <w:tab w:val="left" w:pos="1065"/>
        </w:tabs>
        <w:ind w:left="99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204284">
      <w:start w:val="1"/>
      <w:numFmt w:val="lowerLetter"/>
      <w:lvlText w:val="%2."/>
      <w:lvlJc w:val="left"/>
      <w:pPr>
        <w:tabs>
          <w:tab w:val="left" w:pos="1065"/>
        </w:tabs>
        <w:ind w:left="171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E21DC2">
      <w:start w:val="1"/>
      <w:numFmt w:val="lowerRoman"/>
      <w:lvlText w:val="%3."/>
      <w:lvlJc w:val="left"/>
      <w:pPr>
        <w:tabs>
          <w:tab w:val="left" w:pos="1065"/>
        </w:tabs>
        <w:ind w:left="2433"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04761E">
      <w:start w:val="1"/>
      <w:numFmt w:val="decimal"/>
      <w:lvlText w:val="%4."/>
      <w:lvlJc w:val="left"/>
      <w:pPr>
        <w:tabs>
          <w:tab w:val="left" w:pos="1065"/>
        </w:tabs>
        <w:ind w:left="315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404E2E">
      <w:start w:val="1"/>
      <w:numFmt w:val="lowerLetter"/>
      <w:lvlText w:val="%5."/>
      <w:lvlJc w:val="left"/>
      <w:pPr>
        <w:tabs>
          <w:tab w:val="left" w:pos="1065"/>
        </w:tabs>
        <w:ind w:left="387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62D508">
      <w:start w:val="1"/>
      <w:numFmt w:val="lowerRoman"/>
      <w:lvlText w:val="%6."/>
      <w:lvlJc w:val="left"/>
      <w:pPr>
        <w:tabs>
          <w:tab w:val="left" w:pos="1065"/>
        </w:tabs>
        <w:ind w:left="4593"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C8802A">
      <w:start w:val="1"/>
      <w:numFmt w:val="decimal"/>
      <w:lvlText w:val="%7."/>
      <w:lvlJc w:val="left"/>
      <w:pPr>
        <w:tabs>
          <w:tab w:val="left" w:pos="1065"/>
        </w:tabs>
        <w:ind w:left="531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00448A">
      <w:start w:val="1"/>
      <w:numFmt w:val="lowerLetter"/>
      <w:lvlText w:val="%8."/>
      <w:lvlJc w:val="left"/>
      <w:pPr>
        <w:tabs>
          <w:tab w:val="left" w:pos="1065"/>
        </w:tabs>
        <w:ind w:left="6033"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74E0C8">
      <w:start w:val="1"/>
      <w:numFmt w:val="lowerRoman"/>
      <w:lvlText w:val="%9."/>
      <w:lvlJc w:val="left"/>
      <w:pPr>
        <w:tabs>
          <w:tab w:val="left" w:pos="1065"/>
        </w:tabs>
        <w:ind w:left="6753" w:hanging="35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5DEE4D47"/>
    <w:multiLevelType w:val="multilevel"/>
    <w:tmpl w:val="C3B21DE6"/>
    <w:lvl w:ilvl="0">
      <w:start w:val="1"/>
      <w:numFmt w:val="decimal"/>
      <w:lvlText w:val="%1."/>
      <w:lvlJc w:val="left"/>
      <w:pPr>
        <w:ind w:left="567" w:hanging="567"/>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Calibri" w:eastAsia="Times" w:hAnsi="Calibri" w:cs="Calibri"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992" w:hanging="425"/>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nothing"/>
      <w:lvlText w:val="%1.%2.(%3)(%4)"/>
      <w:lvlJc w:val="left"/>
      <w:pPr>
        <w:ind w:left="1419"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suff w:val="nothing"/>
      <w:lvlText w:val="%1.%2.(%3)(%4)(%5)"/>
      <w:lvlJc w:val="left"/>
      <w:pPr>
        <w:ind w:left="1750"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2081"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suff w:val="nothing"/>
      <w:lvlText w:val="%1.%2.(%3)(%4)(%5)(%6)(%7)"/>
      <w:lvlJc w:val="left"/>
      <w:pPr>
        <w:ind w:left="2412"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suff w:val="nothing"/>
      <w:lvlText w:val="%1.%2.(%3)(%4)(%5)(%6)(%7)(%8)"/>
      <w:lvlJc w:val="left"/>
      <w:pPr>
        <w:ind w:left="2743"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ind w:left="3074"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03765AA"/>
    <w:multiLevelType w:val="singleLevel"/>
    <w:tmpl w:val="58CAD436"/>
    <w:lvl w:ilvl="0">
      <w:start w:val="1"/>
      <w:numFmt w:val="lowerLetter"/>
      <w:lvlText w:val="(%1)"/>
      <w:lvlJc w:val="left"/>
      <w:pPr>
        <w:tabs>
          <w:tab w:val="num" w:pos="1140"/>
        </w:tabs>
        <w:ind w:left="1140" w:hanging="360"/>
      </w:pPr>
      <w:rPr>
        <w:rFonts w:cs="Times New Roman" w:hint="default"/>
      </w:rPr>
    </w:lvl>
  </w:abstractNum>
  <w:abstractNum w:abstractNumId="38" w15:restartNumberingAfterBreak="0">
    <w:nsid w:val="62AF21C5"/>
    <w:multiLevelType w:val="singleLevel"/>
    <w:tmpl w:val="58CAD436"/>
    <w:lvl w:ilvl="0">
      <w:start w:val="1"/>
      <w:numFmt w:val="lowerLetter"/>
      <w:lvlText w:val="(%1)"/>
      <w:lvlJc w:val="left"/>
      <w:pPr>
        <w:tabs>
          <w:tab w:val="num" w:pos="1140"/>
        </w:tabs>
        <w:ind w:left="1140" w:hanging="360"/>
      </w:pPr>
      <w:rPr>
        <w:rFonts w:cs="Times New Roman" w:hint="default"/>
      </w:rPr>
    </w:lvl>
  </w:abstractNum>
  <w:abstractNum w:abstractNumId="39" w15:restartNumberingAfterBreak="0">
    <w:nsid w:val="6AC00831"/>
    <w:multiLevelType w:val="multilevel"/>
    <w:tmpl w:val="FD289202"/>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0" w15:restartNumberingAfterBreak="0">
    <w:nsid w:val="6B7C3226"/>
    <w:multiLevelType w:val="multilevel"/>
    <w:tmpl w:val="4280796E"/>
    <w:lvl w:ilvl="0">
      <w:start w:val="1"/>
      <w:numFmt w:val="lowerRoman"/>
      <w:lvlText w:val="%1."/>
      <w:lvlJc w:val="right"/>
      <w:pPr>
        <w:ind w:left="1287" w:hanging="360"/>
      </w:pPr>
      <w:rPr>
        <w:rFonts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287" w:hanging="360"/>
      </w:pPr>
      <w:rPr>
        <w:rFonts w:ascii="Courier New" w:hAnsi="Courier New" w:cs="Courier New"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647" w:hanging="720"/>
      </w:pPr>
      <w:rPr>
        <w:rFonts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647" w:hanging="720"/>
      </w:pPr>
      <w:rPr>
        <w:rFonts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007" w:hanging="1080"/>
      </w:pPr>
      <w:rPr>
        <w:rFonts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007" w:hanging="1080"/>
      </w:pPr>
      <w:rPr>
        <w:rFonts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367" w:hanging="1440"/>
      </w:pPr>
      <w:rPr>
        <w:rFonts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2367" w:hanging="1440"/>
      </w:pPr>
      <w:rPr>
        <w:rFonts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367" w:hanging="1440"/>
      </w:pPr>
      <w:rPr>
        <w:rFonts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15:restartNumberingAfterBreak="0">
    <w:nsid w:val="6D7D18DA"/>
    <w:multiLevelType w:val="hybridMultilevel"/>
    <w:tmpl w:val="8892CA8C"/>
    <w:lvl w:ilvl="0" w:tplc="51AEDA0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0D20874"/>
    <w:multiLevelType w:val="hybridMultilevel"/>
    <w:tmpl w:val="AB8A4F3E"/>
    <w:lvl w:ilvl="0" w:tplc="69681AC8">
      <w:start w:val="1"/>
      <w:numFmt w:val="upperLetter"/>
      <w:lvlText w:val="(%1)"/>
      <w:lvlJc w:val="left"/>
      <w:pPr>
        <w:ind w:left="567"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1C2D44C">
      <w:start w:val="1"/>
      <w:numFmt w:val="lowerLetter"/>
      <w:lvlText w:val="%2."/>
      <w:lvlJc w:val="left"/>
      <w:pPr>
        <w:tabs>
          <w:tab w:val="num" w:pos="1287"/>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40E9E6">
      <w:start w:val="1"/>
      <w:numFmt w:val="lowerRoman"/>
      <w:lvlText w:val="%3."/>
      <w:lvlJc w:val="left"/>
      <w:pPr>
        <w:tabs>
          <w:tab w:val="num" w:pos="2007"/>
        </w:tabs>
        <w:ind w:left="2160" w:hanging="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5948C1E">
      <w:start w:val="1"/>
      <w:numFmt w:val="decimal"/>
      <w:lvlText w:val="%4."/>
      <w:lvlJc w:val="left"/>
      <w:pPr>
        <w:tabs>
          <w:tab w:val="num" w:pos="2727"/>
        </w:tabs>
        <w:ind w:left="288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7E4D9A">
      <w:start w:val="1"/>
      <w:numFmt w:val="lowerLetter"/>
      <w:lvlText w:val="%5."/>
      <w:lvlJc w:val="left"/>
      <w:pPr>
        <w:tabs>
          <w:tab w:val="num" w:pos="3447"/>
        </w:tabs>
        <w:ind w:left="360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7AD4EA">
      <w:start w:val="1"/>
      <w:numFmt w:val="lowerRoman"/>
      <w:lvlText w:val="%6."/>
      <w:lvlJc w:val="left"/>
      <w:pPr>
        <w:tabs>
          <w:tab w:val="num" w:pos="4167"/>
        </w:tabs>
        <w:ind w:left="4320" w:hanging="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78583E">
      <w:start w:val="1"/>
      <w:numFmt w:val="decimal"/>
      <w:lvlText w:val="%7."/>
      <w:lvlJc w:val="left"/>
      <w:pPr>
        <w:tabs>
          <w:tab w:val="num" w:pos="4887"/>
        </w:tabs>
        <w:ind w:left="50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50974C">
      <w:start w:val="1"/>
      <w:numFmt w:val="lowerLetter"/>
      <w:lvlText w:val="%8."/>
      <w:lvlJc w:val="left"/>
      <w:pPr>
        <w:tabs>
          <w:tab w:val="num" w:pos="5607"/>
        </w:tabs>
        <w:ind w:left="576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0C6754">
      <w:start w:val="1"/>
      <w:numFmt w:val="lowerRoman"/>
      <w:lvlText w:val="%9."/>
      <w:lvlJc w:val="left"/>
      <w:pPr>
        <w:tabs>
          <w:tab w:val="num" w:pos="6327"/>
        </w:tabs>
        <w:ind w:left="6480" w:hanging="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73B421ED"/>
    <w:multiLevelType w:val="hybridMultilevel"/>
    <w:tmpl w:val="50E25056"/>
    <w:lvl w:ilvl="0" w:tplc="3D28B280">
      <w:start w:val="1"/>
      <w:numFmt w:val="lowerRoman"/>
      <w:lvlText w:val="%1."/>
      <w:lvlJc w:val="right"/>
      <w:pPr>
        <w:ind w:left="216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E35DB5"/>
    <w:multiLevelType w:val="hybridMultilevel"/>
    <w:tmpl w:val="8806C466"/>
    <w:lvl w:ilvl="0" w:tplc="186C5DDE">
      <w:start w:val="1"/>
      <w:numFmt w:val="lowerLetter"/>
      <w:lvlText w:val="%1)"/>
      <w:lvlJc w:val="left"/>
      <w:pPr>
        <w:ind w:left="1429" w:hanging="360"/>
      </w:pPr>
      <w:rPr>
        <w:rFonts w:hint="default"/>
        <w:b w:val="0"/>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5" w15:restartNumberingAfterBreak="0">
    <w:nsid w:val="75EA6A51"/>
    <w:multiLevelType w:val="multilevel"/>
    <w:tmpl w:val="62B0580C"/>
    <w:lvl w:ilvl="0">
      <w:start w:val="1"/>
      <w:numFmt w:val="decimal"/>
      <w:lvlText w:val="%1."/>
      <w:lvlJc w:val="left"/>
      <w:pPr>
        <w:ind w:left="567" w:hanging="567"/>
      </w:pPr>
      <w:rPr>
        <w:rFonts w:ascii="Calibri" w:eastAsia="Times" w:hAnsi="Calibri" w:cs="Times" w:hint="default"/>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9" w:hanging="567"/>
      </w:pPr>
      <w:rPr>
        <w:rFonts w:ascii="Calibri" w:eastAsia="Times" w:hAnsi="Calibri" w:cs="Times" w:hint="default"/>
        <w:b/>
        <w:bCs/>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992" w:hanging="425"/>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nothing"/>
      <w:lvlText w:val="%1.%2.(%3)(%4)"/>
      <w:lvlJc w:val="left"/>
      <w:pPr>
        <w:ind w:left="1419"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suff w:val="nothing"/>
      <w:lvlText w:val="%1.%2.(%3)(%4)(%5)"/>
      <w:lvlJc w:val="left"/>
      <w:pPr>
        <w:ind w:left="1750"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2081"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suff w:val="nothing"/>
      <w:lvlText w:val="%1.%2.(%3)(%4)(%5)(%6)(%7)"/>
      <w:lvlJc w:val="left"/>
      <w:pPr>
        <w:ind w:left="2412"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suff w:val="nothing"/>
      <w:lvlText w:val="%1.%2.(%3)(%4)(%5)(%6)(%7)(%8)"/>
      <w:lvlJc w:val="left"/>
      <w:pPr>
        <w:ind w:left="2743"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1.%2.(%3)(%4)(%5)(%6)(%7)(%8)(%9)"/>
      <w:lvlJc w:val="left"/>
      <w:pPr>
        <w:ind w:left="3074"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9FF7437"/>
    <w:multiLevelType w:val="hybridMultilevel"/>
    <w:tmpl w:val="1820EB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7" w15:restartNumberingAfterBreak="0">
    <w:nsid w:val="7A501DD4"/>
    <w:multiLevelType w:val="hybridMultilevel"/>
    <w:tmpl w:val="1304E1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A670E15"/>
    <w:multiLevelType w:val="hybridMultilevel"/>
    <w:tmpl w:val="FBF0E0EA"/>
    <w:styleLink w:val="Importovanstyl5"/>
    <w:lvl w:ilvl="0" w:tplc="329C023A">
      <w:start w:val="1"/>
      <w:numFmt w:val="upperLetter"/>
      <w:suff w:val="nothing"/>
      <w:lvlText w:val="(%1)"/>
      <w:lvlJc w:val="left"/>
      <w:pPr>
        <w:ind w:left="5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C1CBF88">
      <w:start w:val="1"/>
      <w:numFmt w:val="lowerLetter"/>
      <w:lvlText w:val="%2."/>
      <w:lvlJc w:val="left"/>
      <w:pPr>
        <w:tabs>
          <w:tab w:val="num" w:pos="1287"/>
        </w:tabs>
        <w:ind w:left="14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280166">
      <w:start w:val="1"/>
      <w:numFmt w:val="lowerRoman"/>
      <w:lvlText w:val="%3."/>
      <w:lvlJc w:val="left"/>
      <w:pPr>
        <w:tabs>
          <w:tab w:val="num" w:pos="2007"/>
        </w:tabs>
        <w:ind w:left="2160" w:hanging="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420F8E">
      <w:start w:val="1"/>
      <w:numFmt w:val="decimal"/>
      <w:lvlText w:val="%4."/>
      <w:lvlJc w:val="left"/>
      <w:pPr>
        <w:tabs>
          <w:tab w:val="num" w:pos="2727"/>
        </w:tabs>
        <w:ind w:left="288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90E992">
      <w:start w:val="1"/>
      <w:numFmt w:val="lowerLetter"/>
      <w:lvlText w:val="%5."/>
      <w:lvlJc w:val="left"/>
      <w:pPr>
        <w:tabs>
          <w:tab w:val="num" w:pos="3447"/>
        </w:tabs>
        <w:ind w:left="360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1946F24">
      <w:start w:val="1"/>
      <w:numFmt w:val="lowerRoman"/>
      <w:lvlText w:val="%6."/>
      <w:lvlJc w:val="left"/>
      <w:pPr>
        <w:tabs>
          <w:tab w:val="num" w:pos="4167"/>
        </w:tabs>
        <w:ind w:left="4320" w:hanging="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269160">
      <w:start w:val="1"/>
      <w:numFmt w:val="decimal"/>
      <w:lvlText w:val="%7."/>
      <w:lvlJc w:val="left"/>
      <w:pPr>
        <w:tabs>
          <w:tab w:val="num" w:pos="4887"/>
        </w:tabs>
        <w:ind w:left="504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54AA36">
      <w:start w:val="1"/>
      <w:numFmt w:val="lowerLetter"/>
      <w:lvlText w:val="%8."/>
      <w:lvlJc w:val="left"/>
      <w:pPr>
        <w:tabs>
          <w:tab w:val="num" w:pos="5607"/>
        </w:tabs>
        <w:ind w:left="5760" w:hanging="5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8E87F4">
      <w:start w:val="1"/>
      <w:numFmt w:val="lowerRoman"/>
      <w:lvlText w:val="%9."/>
      <w:lvlJc w:val="left"/>
      <w:pPr>
        <w:tabs>
          <w:tab w:val="num" w:pos="6327"/>
        </w:tabs>
        <w:ind w:left="6480" w:hanging="4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8"/>
  </w:num>
  <w:num w:numId="2">
    <w:abstractNumId w:val="9"/>
  </w:num>
  <w:num w:numId="3">
    <w:abstractNumId w:val="1"/>
  </w:num>
  <w:num w:numId="4">
    <w:abstractNumId w:val="20"/>
    <w:lvlOverride w:ilvl="0">
      <w:lvl w:ilvl="0">
        <w:start w:val="1"/>
        <w:numFmt w:val="decimal"/>
        <w:lvlText w:val="%1."/>
        <w:lvlJc w:val="left"/>
        <w:pPr>
          <w:ind w:left="567" w:hanging="567"/>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lvlText w:val="%1.%2."/>
        <w:lvlJc w:val="left"/>
        <w:pPr>
          <w:ind w:left="567" w:hanging="567"/>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lowerLetter"/>
        <w:suff w:val="nothing"/>
        <w:lvlText w:val="%1.%2.(%3)"/>
        <w:lvlJc w:val="left"/>
        <w:pPr>
          <w:ind w:left="992" w:hanging="425"/>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lowerRoman"/>
        <w:suff w:val="nothing"/>
        <w:lvlText w:val="%1.%2.(%3)(%4)"/>
        <w:lvlJc w:val="left"/>
        <w:pPr>
          <w:ind w:left="1419"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4">
      <w:lvl w:ilvl="4">
        <w:start w:val="1"/>
        <w:numFmt w:val="lowerRoman"/>
        <w:suff w:val="nothing"/>
        <w:lvlText w:val="%1.%2.(%3)(%4)(%5)"/>
        <w:lvlJc w:val="left"/>
        <w:pPr>
          <w:ind w:left="1750"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lowerRoman"/>
        <w:suff w:val="nothing"/>
        <w:lvlText w:val="%1.%2.(%3)(%4)(%5)(%6)"/>
        <w:lvlJc w:val="left"/>
        <w:pPr>
          <w:ind w:left="2081"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lowerRoman"/>
        <w:suff w:val="nothing"/>
        <w:lvlText w:val="%1.%2.(%3)(%4)(%5)(%6)(%7)"/>
        <w:lvlJc w:val="left"/>
        <w:pPr>
          <w:ind w:left="2412"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lowerRoman"/>
        <w:suff w:val="nothing"/>
        <w:lvlText w:val="%1.%2.(%3)(%4)(%5)(%6)(%7)(%8)"/>
        <w:lvlJc w:val="left"/>
        <w:pPr>
          <w:ind w:left="2743"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8">
      <w:lvl w:ilvl="8">
        <w:start w:val="1"/>
        <w:numFmt w:val="lowerRoman"/>
        <w:suff w:val="nothing"/>
        <w:lvlText w:val="%1.%2.(%3)(%4)(%5)(%6)(%7)(%8)(%9)"/>
        <w:lvlJc w:val="left"/>
        <w:pPr>
          <w:ind w:left="3074" w:hanging="426"/>
        </w:pPr>
        <w:rPr>
          <w:rFonts w:ascii="Times" w:eastAsia="Times" w:hAnsi="Times" w:cs="Time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5">
    <w:abstractNumId w:val="35"/>
  </w:num>
  <w:num w:numId="6">
    <w:abstractNumId w:val="12"/>
  </w:num>
  <w:num w:numId="7">
    <w:abstractNumId w:val="12"/>
    <w:lvlOverride w:ilvl="0">
      <w:lvl w:ilvl="0" w:tplc="F3603E54">
        <w:start w:val="1"/>
        <w:numFmt w:val="lowerLetter"/>
        <w:lvlText w:val="%1)"/>
        <w:lvlJc w:val="left"/>
        <w:pPr>
          <w:tabs>
            <w:tab w:val="num" w:pos="993"/>
          </w:tabs>
          <w:ind w:left="1065" w:hanging="49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A8C5E68">
        <w:start w:val="1"/>
        <w:numFmt w:val="lowerLetter"/>
        <w:lvlText w:val="%2."/>
        <w:lvlJc w:val="left"/>
        <w:pPr>
          <w:tabs>
            <w:tab w:val="left" w:pos="993"/>
            <w:tab w:val="num" w:pos="1785"/>
          </w:tabs>
          <w:ind w:left="1857"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B0E54E8">
        <w:start w:val="1"/>
        <w:numFmt w:val="lowerRoman"/>
        <w:lvlText w:val="%3."/>
        <w:lvlJc w:val="left"/>
        <w:pPr>
          <w:tabs>
            <w:tab w:val="left" w:pos="993"/>
            <w:tab w:val="num" w:pos="2505"/>
          </w:tabs>
          <w:ind w:left="2577"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F365530">
        <w:start w:val="1"/>
        <w:numFmt w:val="decimal"/>
        <w:lvlText w:val="%4."/>
        <w:lvlJc w:val="left"/>
        <w:pPr>
          <w:tabs>
            <w:tab w:val="left" w:pos="993"/>
            <w:tab w:val="num" w:pos="3225"/>
          </w:tabs>
          <w:ind w:left="3297"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096BC8E">
        <w:start w:val="1"/>
        <w:numFmt w:val="lowerLetter"/>
        <w:lvlText w:val="%5."/>
        <w:lvlJc w:val="left"/>
        <w:pPr>
          <w:tabs>
            <w:tab w:val="left" w:pos="993"/>
            <w:tab w:val="num" w:pos="3945"/>
          </w:tabs>
          <w:ind w:left="4017"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A4A2FB6">
        <w:start w:val="1"/>
        <w:numFmt w:val="lowerRoman"/>
        <w:lvlText w:val="%6."/>
        <w:lvlJc w:val="left"/>
        <w:pPr>
          <w:tabs>
            <w:tab w:val="left" w:pos="993"/>
            <w:tab w:val="num" w:pos="4665"/>
          </w:tabs>
          <w:ind w:left="4737" w:hanging="5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E045F9A">
        <w:start w:val="1"/>
        <w:numFmt w:val="decimal"/>
        <w:lvlText w:val="%7."/>
        <w:lvlJc w:val="left"/>
        <w:pPr>
          <w:tabs>
            <w:tab w:val="left" w:pos="993"/>
            <w:tab w:val="num" w:pos="5385"/>
          </w:tabs>
          <w:ind w:left="5457"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6F8AB20">
        <w:start w:val="1"/>
        <w:numFmt w:val="lowerLetter"/>
        <w:lvlText w:val="%8."/>
        <w:lvlJc w:val="left"/>
        <w:pPr>
          <w:tabs>
            <w:tab w:val="left" w:pos="993"/>
            <w:tab w:val="num" w:pos="6105"/>
          </w:tabs>
          <w:ind w:left="6177" w:hanging="5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4EA4482">
        <w:start w:val="1"/>
        <w:numFmt w:val="lowerRoman"/>
        <w:lvlText w:val="%9."/>
        <w:lvlJc w:val="left"/>
        <w:pPr>
          <w:tabs>
            <w:tab w:val="left" w:pos="993"/>
            <w:tab w:val="num" w:pos="6825"/>
          </w:tabs>
          <w:ind w:left="6897" w:hanging="5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20"/>
    <w:lvlOverride w:ilvl="1">
      <w:startOverride w:val="1"/>
      <w:lvl w:ilvl="1">
        <w:start w:val="1"/>
        <w:numFmt w:val="decimal"/>
        <w:lvlText w:val="%1.%2."/>
        <w:lvlJc w:val="left"/>
        <w:pPr>
          <w:ind w:left="567" w:hanging="567"/>
        </w:pPr>
        <w:rPr>
          <w:rFonts w:ascii="Calibri" w:eastAsia="Time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20"/>
    <w:lvlOverride w:ilvl="0">
      <w:startOverride w:val="1"/>
      <w:lvl w:ilvl="0">
        <w:start w:val="1"/>
        <w:numFmt w:val="decimal"/>
        <w:lvlText w:val="%1."/>
        <w:lvlJc w:val="left"/>
        <w:pPr>
          <w:ind w:left="567" w:hanging="567"/>
        </w:pPr>
        <w:rPr>
          <w:rFonts w:ascii="Calibri" w:eastAsia="Times" w:hAnsi="Calibri" w:cs="Calibri" w:hint="default"/>
          <w:b/>
          <w:bCs/>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0"/>
    <w:lvlOverride w:ilvl="1">
      <w:startOverride w:val="4"/>
    </w:lvlOverride>
  </w:num>
  <w:num w:numId="11">
    <w:abstractNumId w:val="42"/>
  </w:num>
  <w:num w:numId="12">
    <w:abstractNumId w:val="36"/>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6"/>
  </w:num>
  <w:num w:numId="22">
    <w:abstractNumId w:val="5"/>
  </w:num>
  <w:num w:numId="23">
    <w:abstractNumId w:val="23"/>
  </w:num>
  <w:num w:numId="24">
    <w:abstractNumId w:val="14"/>
  </w:num>
  <w:num w:numId="25">
    <w:abstractNumId w:val="27"/>
  </w:num>
  <w:num w:numId="26">
    <w:abstractNumId w:val="20"/>
    <w:lvlOverride w:ilvl="0">
      <w:lvl w:ilvl="0">
        <w:start w:val="1"/>
        <w:numFmt w:val="decimal"/>
        <w:lvlText w:val="%1."/>
        <w:lvlJc w:val="left"/>
        <w:pPr>
          <w:ind w:left="567" w:hanging="567"/>
        </w:pPr>
        <w:rPr>
          <w:rFonts w:ascii="Calibri" w:eastAsia="Times" w:hAnsi="Calibri" w:cs="Calibri" w:hint="default"/>
          <w:b/>
          <w:bCs/>
          <w:i w:val="0"/>
          <w:iCs w:val="0"/>
          <w:caps w:val="0"/>
          <w:smallCaps w:val="0"/>
          <w:strike w:val="0"/>
          <w:dstrike w:val="0"/>
          <w:outline w:val="0"/>
          <w:emboss w:val="0"/>
          <w:imprint w:val="0"/>
          <w:spacing w:val="0"/>
          <w:w w:val="100"/>
          <w:kern w:val="0"/>
          <w:position w:val="0"/>
          <w:vertAlign w:val="baseline"/>
        </w:rPr>
      </w:lvl>
    </w:lvlOverride>
    <w:lvlOverride w:ilvl="1">
      <w:lvl w:ilvl="1">
        <w:start w:val="2"/>
        <w:numFmt w:val="decimal"/>
        <w:lvlText w:val="%1.%2."/>
        <w:lvlJc w:val="left"/>
        <w:pPr>
          <w:ind w:left="567" w:hanging="567"/>
        </w:pPr>
        <w:rPr>
          <w:rFonts w:ascii="Calibri" w:eastAsia="Times" w:hAnsi="Calibri" w:cs="Calibri" w:hint="default"/>
          <w:b/>
          <w:bCs/>
          <w:i w:val="0"/>
          <w:iCs w:val="0"/>
          <w:caps w:val="0"/>
          <w:smallCaps w:val="0"/>
          <w:strike w:val="0"/>
          <w:dstrike w:val="0"/>
          <w:outline w:val="0"/>
          <w:emboss w:val="0"/>
          <w:imprint w:val="0"/>
          <w:color w:val="auto"/>
          <w:spacing w:val="0"/>
          <w:w w:val="100"/>
          <w:kern w:val="0"/>
          <w:position w:val="0"/>
          <w:vertAlign w:val="baseline"/>
        </w:rPr>
      </w:lvl>
    </w:lvlOverride>
    <w:lvlOverride w:ilvl="2">
      <w:lvl w:ilvl="2">
        <w:start w:val="1"/>
        <w:numFmt w:val="lowerLetter"/>
        <w:suff w:val="nothing"/>
        <w:lvlText w:val="%1.%2.(%3)"/>
        <w:lvlJc w:val="left"/>
        <w:pPr>
          <w:ind w:left="992" w:hanging="425"/>
        </w:pPr>
        <w:rPr>
          <w:rFonts w:ascii="Times" w:eastAsia="Times" w:hAnsi="Times" w:cs="Times" w:hint="default"/>
          <w:b/>
          <w:bCs/>
          <w:i w:val="0"/>
          <w:iCs w:val="0"/>
          <w:caps w:val="0"/>
          <w:smallCaps w:val="0"/>
          <w:strike w:val="0"/>
          <w:dstrike w:val="0"/>
          <w:outline w:val="0"/>
          <w:emboss w:val="0"/>
          <w:imprint w:val="0"/>
          <w:spacing w:val="0"/>
          <w:w w:val="100"/>
          <w:kern w:val="0"/>
          <w:position w:val="0"/>
          <w:vertAlign w:val="baseline"/>
        </w:rPr>
      </w:lvl>
    </w:lvlOverride>
    <w:lvlOverride w:ilvl="3">
      <w:lvl w:ilvl="3">
        <w:start w:val="1"/>
        <w:numFmt w:val="lowerRoman"/>
        <w:suff w:val="nothing"/>
        <w:lvlText w:val="%1.%2.(%3)(%4)"/>
        <w:lvlJc w:val="left"/>
        <w:pPr>
          <w:ind w:left="1419" w:hanging="426"/>
        </w:pPr>
        <w:rPr>
          <w:rFonts w:ascii="Times" w:eastAsia="Times" w:hAnsi="Times" w:cs="Times" w:hint="default"/>
          <w:b/>
          <w:bCs/>
          <w:i w:val="0"/>
          <w:iCs w:val="0"/>
          <w:caps w:val="0"/>
          <w:smallCaps w:val="0"/>
          <w:strike w:val="0"/>
          <w:dstrike w:val="0"/>
          <w:outline w:val="0"/>
          <w:emboss w:val="0"/>
          <w:imprint w:val="0"/>
          <w:spacing w:val="0"/>
          <w:w w:val="100"/>
          <w:kern w:val="0"/>
          <w:position w:val="0"/>
          <w:vertAlign w:val="baseline"/>
        </w:rPr>
      </w:lvl>
    </w:lvlOverride>
    <w:lvlOverride w:ilvl="4">
      <w:lvl w:ilvl="4">
        <w:start w:val="1"/>
        <w:numFmt w:val="lowerRoman"/>
        <w:suff w:val="nothing"/>
        <w:lvlText w:val="%1.%2.(%3)(%4)(%5)"/>
        <w:lvlJc w:val="left"/>
        <w:pPr>
          <w:ind w:left="1750" w:hanging="426"/>
        </w:pPr>
        <w:rPr>
          <w:rFonts w:ascii="Times" w:eastAsia="Times" w:hAnsi="Times" w:cs="Times" w:hint="default"/>
          <w:b/>
          <w:bCs/>
          <w:i w:val="0"/>
          <w:iCs w:val="0"/>
          <w:caps w:val="0"/>
          <w:smallCaps w:val="0"/>
          <w:strike w:val="0"/>
          <w:dstrike w:val="0"/>
          <w:outline w:val="0"/>
          <w:emboss w:val="0"/>
          <w:imprint w:val="0"/>
          <w:spacing w:val="0"/>
          <w:w w:val="100"/>
          <w:kern w:val="0"/>
          <w:position w:val="0"/>
          <w:vertAlign w:val="baseline"/>
        </w:rPr>
      </w:lvl>
    </w:lvlOverride>
    <w:lvlOverride w:ilvl="5">
      <w:lvl w:ilvl="5">
        <w:start w:val="1"/>
        <w:numFmt w:val="lowerRoman"/>
        <w:suff w:val="nothing"/>
        <w:lvlText w:val="%1.%2.(%3)(%4)(%5)(%6)"/>
        <w:lvlJc w:val="left"/>
        <w:pPr>
          <w:ind w:left="2081" w:hanging="426"/>
        </w:pPr>
        <w:rPr>
          <w:rFonts w:ascii="Times" w:eastAsia="Times" w:hAnsi="Times" w:cs="Times" w:hint="default"/>
          <w:b/>
          <w:bCs/>
          <w:i w:val="0"/>
          <w:iCs w:val="0"/>
          <w:caps w:val="0"/>
          <w:smallCaps w:val="0"/>
          <w:strike w:val="0"/>
          <w:dstrike w:val="0"/>
          <w:outline w:val="0"/>
          <w:emboss w:val="0"/>
          <w:imprint w:val="0"/>
          <w:spacing w:val="0"/>
          <w:w w:val="100"/>
          <w:kern w:val="0"/>
          <w:position w:val="0"/>
          <w:vertAlign w:val="baseline"/>
        </w:rPr>
      </w:lvl>
    </w:lvlOverride>
    <w:lvlOverride w:ilvl="6">
      <w:lvl w:ilvl="6">
        <w:start w:val="1"/>
        <w:numFmt w:val="lowerRoman"/>
        <w:suff w:val="nothing"/>
        <w:lvlText w:val="%1.%2.(%3)(%4)(%5)(%6)(%7)"/>
        <w:lvlJc w:val="left"/>
        <w:pPr>
          <w:ind w:left="2412" w:hanging="426"/>
        </w:pPr>
        <w:rPr>
          <w:rFonts w:ascii="Times" w:eastAsia="Times" w:hAnsi="Times" w:cs="Times" w:hint="default"/>
          <w:b/>
          <w:bCs/>
          <w:i w:val="0"/>
          <w:iCs w:val="0"/>
          <w:caps w:val="0"/>
          <w:smallCaps w:val="0"/>
          <w:strike w:val="0"/>
          <w:dstrike w:val="0"/>
          <w:outline w:val="0"/>
          <w:emboss w:val="0"/>
          <w:imprint w:val="0"/>
          <w:spacing w:val="0"/>
          <w:w w:val="100"/>
          <w:kern w:val="0"/>
          <w:position w:val="0"/>
          <w:vertAlign w:val="baseline"/>
        </w:rPr>
      </w:lvl>
    </w:lvlOverride>
    <w:lvlOverride w:ilvl="7">
      <w:lvl w:ilvl="7">
        <w:start w:val="1"/>
        <w:numFmt w:val="lowerRoman"/>
        <w:suff w:val="nothing"/>
        <w:lvlText w:val="%1.%2.(%3)(%4)(%5)(%6)(%7)(%8)"/>
        <w:lvlJc w:val="left"/>
        <w:pPr>
          <w:ind w:left="2743" w:hanging="426"/>
        </w:pPr>
        <w:rPr>
          <w:rFonts w:ascii="Times" w:eastAsia="Times" w:hAnsi="Times" w:cs="Times" w:hint="default"/>
          <w:b/>
          <w:bCs/>
          <w:i w:val="0"/>
          <w:iCs w:val="0"/>
          <w:caps w:val="0"/>
          <w:smallCaps w:val="0"/>
          <w:strike w:val="0"/>
          <w:dstrike w:val="0"/>
          <w:outline w:val="0"/>
          <w:emboss w:val="0"/>
          <w:imprint w:val="0"/>
          <w:spacing w:val="0"/>
          <w:w w:val="100"/>
          <w:kern w:val="0"/>
          <w:position w:val="0"/>
          <w:vertAlign w:val="baseline"/>
        </w:rPr>
      </w:lvl>
    </w:lvlOverride>
    <w:lvlOverride w:ilvl="8">
      <w:lvl w:ilvl="8">
        <w:start w:val="1"/>
        <w:numFmt w:val="lowerRoman"/>
        <w:suff w:val="nothing"/>
        <w:lvlText w:val="%1.%2.(%3)(%4)(%5)(%6)(%7)(%8)(%9)"/>
        <w:lvlJc w:val="left"/>
        <w:pPr>
          <w:ind w:left="3074" w:hanging="426"/>
        </w:pPr>
        <w:rPr>
          <w:rFonts w:ascii="Times" w:eastAsia="Times" w:hAnsi="Times" w:cs="Times" w:hint="default"/>
          <w:b/>
          <w:bCs/>
          <w:i w:val="0"/>
          <w:iCs w:val="0"/>
          <w:caps w:val="0"/>
          <w:smallCaps w:val="0"/>
          <w:strike w:val="0"/>
          <w:dstrike w:val="0"/>
          <w:outline w:val="0"/>
          <w:emboss w:val="0"/>
          <w:imprint w:val="0"/>
          <w:spacing w:val="0"/>
          <w:w w:val="100"/>
          <w:kern w:val="0"/>
          <w:position w:val="0"/>
          <w:vertAlign w:val="baseline"/>
        </w:rPr>
      </w:lvl>
    </w:lvlOverride>
  </w:num>
  <w:num w:numId="27">
    <w:abstractNumId w:val="22"/>
  </w:num>
  <w:num w:numId="28">
    <w:abstractNumId w:val="21"/>
  </w:num>
  <w:num w:numId="29">
    <w:abstractNumId w:val="13"/>
  </w:num>
  <w:num w:numId="30">
    <w:abstractNumId w:val="2"/>
  </w:num>
  <w:num w:numId="31">
    <w:abstractNumId w:val="47"/>
  </w:num>
  <w:num w:numId="32">
    <w:abstractNumId w:val="25"/>
  </w:num>
  <w:num w:numId="33">
    <w:abstractNumId w:val="4"/>
  </w:num>
  <w:num w:numId="34">
    <w:abstractNumId w:val="11"/>
  </w:num>
  <w:num w:numId="35">
    <w:abstractNumId w:val="31"/>
  </w:num>
  <w:num w:numId="36">
    <w:abstractNumId w:val="17"/>
  </w:num>
  <w:num w:numId="37">
    <w:abstractNumId w:val="30"/>
  </w:num>
  <w:num w:numId="38">
    <w:abstractNumId w:val="39"/>
  </w:num>
  <w:num w:numId="39">
    <w:abstractNumId w:val="28"/>
  </w:num>
  <w:num w:numId="40">
    <w:abstractNumId w:val="44"/>
  </w:num>
  <w:num w:numId="41">
    <w:abstractNumId w:val="45"/>
  </w:num>
  <w:num w:numId="42">
    <w:abstractNumId w:val="24"/>
  </w:num>
  <w:num w:numId="43">
    <w:abstractNumId w:val="16"/>
  </w:num>
  <w:num w:numId="44">
    <w:abstractNumId w:val="40"/>
  </w:num>
  <w:num w:numId="45">
    <w:abstractNumId w:val="43"/>
  </w:num>
  <w:num w:numId="46">
    <w:abstractNumId w:val="41"/>
  </w:num>
  <w:num w:numId="47">
    <w:abstractNumId w:val="38"/>
  </w:num>
  <w:num w:numId="48">
    <w:abstractNumId w:val="34"/>
  </w:num>
  <w:num w:numId="49">
    <w:abstractNumId w:val="10"/>
  </w:num>
  <w:num w:numId="50">
    <w:abstractNumId w:val="37"/>
  </w:num>
  <w:num w:numId="51">
    <w:abstractNumId w:val="15"/>
  </w:num>
  <w:num w:numId="52">
    <w:abstractNumId w:val="32"/>
  </w:num>
  <w:num w:numId="53">
    <w:abstractNumId w:val="0"/>
  </w:num>
  <w:num w:numId="54">
    <w:abstractNumId w:val="19"/>
  </w:num>
  <w:num w:numId="55">
    <w:abstractNumId w:val="26"/>
  </w:num>
  <w:num w:numId="56">
    <w:abstractNumId w:val="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zMjM0sjAxNQUyLZR0lIJTi4sz8/NACgxrAfBb8iosAAAA"/>
  </w:docVars>
  <w:rsids>
    <w:rsidRoot w:val="00AC27CA"/>
    <w:rsid w:val="000145BC"/>
    <w:rsid w:val="00020FA0"/>
    <w:rsid w:val="00021F28"/>
    <w:rsid w:val="00035981"/>
    <w:rsid w:val="00037DC3"/>
    <w:rsid w:val="00040177"/>
    <w:rsid w:val="00040FBF"/>
    <w:rsid w:val="0007134B"/>
    <w:rsid w:val="00072F4C"/>
    <w:rsid w:val="000C006B"/>
    <w:rsid w:val="000C75C7"/>
    <w:rsid w:val="000F0B23"/>
    <w:rsid w:val="000F0C0B"/>
    <w:rsid w:val="000F0D8F"/>
    <w:rsid w:val="00114239"/>
    <w:rsid w:val="00127E23"/>
    <w:rsid w:val="00147974"/>
    <w:rsid w:val="00160C88"/>
    <w:rsid w:val="001626E8"/>
    <w:rsid w:val="001746CA"/>
    <w:rsid w:val="001A7573"/>
    <w:rsid w:val="001E239C"/>
    <w:rsid w:val="001E46F8"/>
    <w:rsid w:val="001E7D6A"/>
    <w:rsid w:val="001F1838"/>
    <w:rsid w:val="00201072"/>
    <w:rsid w:val="002014EC"/>
    <w:rsid w:val="00211E50"/>
    <w:rsid w:val="00221D08"/>
    <w:rsid w:val="002337CE"/>
    <w:rsid w:val="00243BA9"/>
    <w:rsid w:val="00280AF8"/>
    <w:rsid w:val="002A4570"/>
    <w:rsid w:val="002B3C40"/>
    <w:rsid w:val="002D32F4"/>
    <w:rsid w:val="002F35F6"/>
    <w:rsid w:val="002F4097"/>
    <w:rsid w:val="003009E2"/>
    <w:rsid w:val="00306176"/>
    <w:rsid w:val="00310431"/>
    <w:rsid w:val="003150C4"/>
    <w:rsid w:val="00317941"/>
    <w:rsid w:val="00322B44"/>
    <w:rsid w:val="00333C23"/>
    <w:rsid w:val="003353FC"/>
    <w:rsid w:val="00336735"/>
    <w:rsid w:val="00345B45"/>
    <w:rsid w:val="00370A76"/>
    <w:rsid w:val="0037275A"/>
    <w:rsid w:val="00377DF6"/>
    <w:rsid w:val="00381441"/>
    <w:rsid w:val="00383B44"/>
    <w:rsid w:val="00391DB0"/>
    <w:rsid w:val="003949DC"/>
    <w:rsid w:val="003B1161"/>
    <w:rsid w:val="003B2679"/>
    <w:rsid w:val="003D36F6"/>
    <w:rsid w:val="003E04AD"/>
    <w:rsid w:val="003F0AD6"/>
    <w:rsid w:val="003F29C6"/>
    <w:rsid w:val="003F5DB0"/>
    <w:rsid w:val="00403C50"/>
    <w:rsid w:val="00420B5E"/>
    <w:rsid w:val="00427DBD"/>
    <w:rsid w:val="00434596"/>
    <w:rsid w:val="00444B83"/>
    <w:rsid w:val="00453215"/>
    <w:rsid w:val="00465C84"/>
    <w:rsid w:val="0046719E"/>
    <w:rsid w:val="00471655"/>
    <w:rsid w:val="004825C0"/>
    <w:rsid w:val="00485B5D"/>
    <w:rsid w:val="004A0E08"/>
    <w:rsid w:val="004A1024"/>
    <w:rsid w:val="004A765E"/>
    <w:rsid w:val="004B0682"/>
    <w:rsid w:val="004B51AF"/>
    <w:rsid w:val="004C2CFA"/>
    <w:rsid w:val="004C329D"/>
    <w:rsid w:val="004D6119"/>
    <w:rsid w:val="004E789E"/>
    <w:rsid w:val="00500505"/>
    <w:rsid w:val="00513FFC"/>
    <w:rsid w:val="0053519C"/>
    <w:rsid w:val="0054068D"/>
    <w:rsid w:val="00545A20"/>
    <w:rsid w:val="00552D1F"/>
    <w:rsid w:val="00564AD0"/>
    <w:rsid w:val="00590100"/>
    <w:rsid w:val="00595872"/>
    <w:rsid w:val="005A15F0"/>
    <w:rsid w:val="005A3CDE"/>
    <w:rsid w:val="005A6D40"/>
    <w:rsid w:val="005B23D4"/>
    <w:rsid w:val="005D3355"/>
    <w:rsid w:val="005D350A"/>
    <w:rsid w:val="005E0F92"/>
    <w:rsid w:val="005F6A86"/>
    <w:rsid w:val="00602156"/>
    <w:rsid w:val="006039B4"/>
    <w:rsid w:val="006304A7"/>
    <w:rsid w:val="00630A64"/>
    <w:rsid w:val="0063393A"/>
    <w:rsid w:val="00633A34"/>
    <w:rsid w:val="00644C99"/>
    <w:rsid w:val="006510AD"/>
    <w:rsid w:val="006556CD"/>
    <w:rsid w:val="00657ED6"/>
    <w:rsid w:val="006949D6"/>
    <w:rsid w:val="006F481B"/>
    <w:rsid w:val="00723DB5"/>
    <w:rsid w:val="00730ADD"/>
    <w:rsid w:val="00755BD5"/>
    <w:rsid w:val="00757D97"/>
    <w:rsid w:val="00765744"/>
    <w:rsid w:val="007719C8"/>
    <w:rsid w:val="007A1673"/>
    <w:rsid w:val="007B1391"/>
    <w:rsid w:val="007E0134"/>
    <w:rsid w:val="007F08AA"/>
    <w:rsid w:val="007F3DAA"/>
    <w:rsid w:val="0081697C"/>
    <w:rsid w:val="008252EC"/>
    <w:rsid w:val="0083042A"/>
    <w:rsid w:val="00831200"/>
    <w:rsid w:val="0083300C"/>
    <w:rsid w:val="008332ED"/>
    <w:rsid w:val="00840D25"/>
    <w:rsid w:val="00841175"/>
    <w:rsid w:val="00847F8D"/>
    <w:rsid w:val="0085173D"/>
    <w:rsid w:val="008547DB"/>
    <w:rsid w:val="008671FB"/>
    <w:rsid w:val="00885953"/>
    <w:rsid w:val="00887E6A"/>
    <w:rsid w:val="008B719C"/>
    <w:rsid w:val="008C0208"/>
    <w:rsid w:val="008D0681"/>
    <w:rsid w:val="008D4CE9"/>
    <w:rsid w:val="008F5735"/>
    <w:rsid w:val="009353F6"/>
    <w:rsid w:val="009455E9"/>
    <w:rsid w:val="00947BDA"/>
    <w:rsid w:val="009661FD"/>
    <w:rsid w:val="00975B82"/>
    <w:rsid w:val="00984350"/>
    <w:rsid w:val="009C393A"/>
    <w:rsid w:val="009C73D4"/>
    <w:rsid w:val="009E12A3"/>
    <w:rsid w:val="009E13BB"/>
    <w:rsid w:val="009F0116"/>
    <w:rsid w:val="00A01E42"/>
    <w:rsid w:val="00A12E89"/>
    <w:rsid w:val="00A130D1"/>
    <w:rsid w:val="00A13E1D"/>
    <w:rsid w:val="00A1544C"/>
    <w:rsid w:val="00A22FA2"/>
    <w:rsid w:val="00A457BC"/>
    <w:rsid w:val="00A57EA4"/>
    <w:rsid w:val="00A60C40"/>
    <w:rsid w:val="00A70D9B"/>
    <w:rsid w:val="00A70EDD"/>
    <w:rsid w:val="00A75E4F"/>
    <w:rsid w:val="00A930AA"/>
    <w:rsid w:val="00AA5350"/>
    <w:rsid w:val="00AA562E"/>
    <w:rsid w:val="00AB4B77"/>
    <w:rsid w:val="00AC27CA"/>
    <w:rsid w:val="00AC6E56"/>
    <w:rsid w:val="00AE53A5"/>
    <w:rsid w:val="00AE64A7"/>
    <w:rsid w:val="00B219C0"/>
    <w:rsid w:val="00B2450D"/>
    <w:rsid w:val="00B43331"/>
    <w:rsid w:val="00B433C9"/>
    <w:rsid w:val="00B47813"/>
    <w:rsid w:val="00B56B41"/>
    <w:rsid w:val="00B66DE8"/>
    <w:rsid w:val="00B708EA"/>
    <w:rsid w:val="00B87499"/>
    <w:rsid w:val="00BA0091"/>
    <w:rsid w:val="00BA2A60"/>
    <w:rsid w:val="00BA4BEF"/>
    <w:rsid w:val="00BA76A3"/>
    <w:rsid w:val="00BA7FB0"/>
    <w:rsid w:val="00BC4FDE"/>
    <w:rsid w:val="00BD7CDA"/>
    <w:rsid w:val="00BE0AB6"/>
    <w:rsid w:val="00BF4B6E"/>
    <w:rsid w:val="00BF5E4D"/>
    <w:rsid w:val="00C065A9"/>
    <w:rsid w:val="00C4147E"/>
    <w:rsid w:val="00C44744"/>
    <w:rsid w:val="00C82264"/>
    <w:rsid w:val="00CB55BD"/>
    <w:rsid w:val="00CE58DE"/>
    <w:rsid w:val="00D20232"/>
    <w:rsid w:val="00D2791E"/>
    <w:rsid w:val="00D3086C"/>
    <w:rsid w:val="00D3202A"/>
    <w:rsid w:val="00D37B47"/>
    <w:rsid w:val="00D4289C"/>
    <w:rsid w:val="00D67CAA"/>
    <w:rsid w:val="00D73F4D"/>
    <w:rsid w:val="00D87D13"/>
    <w:rsid w:val="00DB6C37"/>
    <w:rsid w:val="00DD2FEE"/>
    <w:rsid w:val="00E27539"/>
    <w:rsid w:val="00E34EC9"/>
    <w:rsid w:val="00E5279D"/>
    <w:rsid w:val="00E63D95"/>
    <w:rsid w:val="00E64353"/>
    <w:rsid w:val="00E72A06"/>
    <w:rsid w:val="00EA25B7"/>
    <w:rsid w:val="00EA3B88"/>
    <w:rsid w:val="00EA6980"/>
    <w:rsid w:val="00EB06FA"/>
    <w:rsid w:val="00EB64CF"/>
    <w:rsid w:val="00EF1472"/>
    <w:rsid w:val="00EF50C3"/>
    <w:rsid w:val="00F0458A"/>
    <w:rsid w:val="00F07474"/>
    <w:rsid w:val="00F1125F"/>
    <w:rsid w:val="00F260EE"/>
    <w:rsid w:val="00F37054"/>
    <w:rsid w:val="00F5300E"/>
    <w:rsid w:val="00F970CE"/>
    <w:rsid w:val="00FA6A63"/>
    <w:rsid w:val="00FB393C"/>
    <w:rsid w:val="00FE61AF"/>
    <w:rsid w:val="00FF4F9E"/>
    <w:rsid w:val="00FF74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4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pacing w:before="120" w:after="120"/>
      <w:jc w:val="both"/>
    </w:pPr>
    <w:rPr>
      <w:rFonts w:eastAsia="Times New Roman"/>
      <w:color w:val="000000"/>
      <w:sz w:val="22"/>
      <w:szCs w:val="22"/>
      <w:u w:color="000000"/>
    </w:rPr>
  </w:style>
  <w:style w:type="paragraph" w:styleId="Nadpis1">
    <w:name w:val="heading 1"/>
    <w:next w:val="Clanek11"/>
    <w:pPr>
      <w:keepNext/>
      <w:tabs>
        <w:tab w:val="left" w:pos="567"/>
      </w:tabs>
      <w:spacing w:before="240"/>
      <w:jc w:val="both"/>
      <w:outlineLvl w:val="0"/>
    </w:pPr>
    <w:rPr>
      <w:rFonts w:eastAsia="Times New Roman"/>
      <w:b/>
      <w:bCs/>
      <w:caps/>
      <w:color w:val="000000"/>
      <w:kern w:val="32"/>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rPr>
  </w:style>
  <w:style w:type="paragraph" w:styleId="Zpat">
    <w:name w:val="footer"/>
    <w:pPr>
      <w:tabs>
        <w:tab w:val="center" w:pos="4703"/>
        <w:tab w:val="right" w:pos="9406"/>
      </w:tabs>
      <w:spacing w:before="120" w:after="120"/>
      <w:jc w:val="both"/>
    </w:pPr>
    <w:rPr>
      <w:rFonts w:eastAsia="Times New Roman"/>
      <w:color w:val="000000"/>
      <w:u w:color="000000"/>
    </w:rPr>
  </w:style>
  <w:style w:type="paragraph" w:customStyle="1" w:styleId="HHTitle2">
    <w:name w:val="HH Title 2"/>
    <w:pPr>
      <w:spacing w:before="240" w:after="120"/>
      <w:jc w:val="center"/>
      <w:outlineLvl w:val="0"/>
    </w:pPr>
    <w:rPr>
      <w:rFonts w:eastAsia="Times New Roman"/>
      <w:b/>
      <w:bCs/>
      <w:caps/>
      <w:color w:val="000000"/>
      <w:kern w:val="28"/>
      <w:sz w:val="22"/>
      <w:szCs w:val="22"/>
      <w:u w:color="000000"/>
    </w:rPr>
  </w:style>
  <w:style w:type="paragraph" w:customStyle="1" w:styleId="Smluvnistranypreambule">
    <w:name w:val="Smluvni_strany_preambule"/>
    <w:next w:val="Normln"/>
    <w:pPr>
      <w:spacing w:before="480" w:after="240"/>
      <w:jc w:val="both"/>
    </w:pPr>
    <w:rPr>
      <w:rFonts w:eastAsia="Times New Roman"/>
      <w:b/>
      <w:bCs/>
      <w:caps/>
      <w:color w:val="000000"/>
      <w:sz w:val="22"/>
      <w:szCs w:val="22"/>
      <w:u w:color="000000"/>
    </w:rPr>
  </w:style>
  <w:style w:type="paragraph" w:customStyle="1" w:styleId="Text11">
    <w:name w:val="Text 1.1"/>
    <w:pPr>
      <w:keepNext/>
      <w:spacing w:before="120" w:after="120"/>
      <w:ind w:left="561"/>
      <w:jc w:val="both"/>
    </w:pPr>
    <w:rPr>
      <w:rFonts w:eastAsia="Times New Roman"/>
      <w:color w:val="000000"/>
      <w:sz w:val="22"/>
      <w:szCs w:val="22"/>
      <w:u w:color="000000"/>
    </w:rPr>
  </w:style>
  <w:style w:type="paragraph" w:customStyle="1" w:styleId="Smluvstranya">
    <w:name w:val="Smluv.strany_&quot;a&quot;"/>
    <w:pPr>
      <w:keepNext/>
      <w:spacing w:before="360" w:after="360"/>
      <w:ind w:left="567"/>
    </w:pPr>
    <w:rPr>
      <w:rFonts w:eastAsia="Times New Roman"/>
      <w:color w:val="000000"/>
      <w:sz w:val="22"/>
      <w:szCs w:val="22"/>
      <w:u w:color="000000"/>
    </w:rPr>
  </w:style>
  <w:style w:type="paragraph" w:customStyle="1" w:styleId="Preambule">
    <w:name w:val="Preambule"/>
    <w:pPr>
      <w:widowControl w:val="0"/>
      <w:tabs>
        <w:tab w:val="left" w:pos="414"/>
      </w:tabs>
      <w:spacing w:before="120" w:after="120"/>
      <w:jc w:val="both"/>
    </w:pPr>
    <w:rPr>
      <w:rFonts w:eastAsia="Times New Roman"/>
      <w:color w:val="000000"/>
      <w:sz w:val="22"/>
      <w:szCs w:val="22"/>
      <w:u w:color="000000"/>
    </w:rPr>
  </w:style>
  <w:style w:type="numbering" w:customStyle="1" w:styleId="Importovanstyl5">
    <w:name w:val="Importovaný styl 5"/>
    <w:pPr>
      <w:numPr>
        <w:numId w:val="1"/>
      </w:numPr>
    </w:pPr>
  </w:style>
  <w:style w:type="paragraph" w:customStyle="1" w:styleId="Clanek11">
    <w:name w:val="Clanek 1.1"/>
    <w:pPr>
      <w:widowControl w:val="0"/>
      <w:tabs>
        <w:tab w:val="left" w:pos="567"/>
      </w:tabs>
      <w:spacing w:before="120" w:after="120"/>
      <w:jc w:val="both"/>
      <w:outlineLvl w:val="1"/>
    </w:pPr>
    <w:rPr>
      <w:rFonts w:eastAsia="Times New Roman"/>
      <w:color w:val="000000"/>
      <w:sz w:val="22"/>
      <w:szCs w:val="22"/>
      <w:u w:color="000000"/>
    </w:rPr>
  </w:style>
  <w:style w:type="numbering" w:customStyle="1" w:styleId="Importovanstyl1">
    <w:name w:val="Importovaný styl 1"/>
    <w:pPr>
      <w:numPr>
        <w:numId w:val="3"/>
      </w:numPr>
    </w:pPr>
  </w:style>
  <w:style w:type="numbering" w:customStyle="1" w:styleId="Importovanstyl6">
    <w:name w:val="Importovaný styl 6"/>
    <w:pPr>
      <w:numPr>
        <w:numId w:val="5"/>
      </w:numPr>
    </w:pPr>
  </w:style>
  <w:style w:type="paragraph" w:styleId="Odstavecseseznamem">
    <w:name w:val="List Paragraph"/>
    <w:aliases w:val="Bullet 1,Use Case List Paragraph,b1,Bullet for no #'s,B1,List Paragraph1"/>
    <w:basedOn w:val="Normln"/>
    <w:link w:val="OdstavecseseznamemChar"/>
    <w:uiPriority w:val="34"/>
    <w:qFormat/>
    <w:rsid w:val="003F0AD6"/>
    <w:pPr>
      <w:ind w:left="720"/>
      <w:contextualSpacing/>
    </w:pPr>
  </w:style>
  <w:style w:type="paragraph" w:styleId="Zhlav">
    <w:name w:val="header"/>
    <w:basedOn w:val="Normln"/>
    <w:link w:val="ZhlavChar"/>
    <w:uiPriority w:val="99"/>
    <w:unhideWhenUsed/>
    <w:rsid w:val="005A3CDE"/>
    <w:pPr>
      <w:tabs>
        <w:tab w:val="center" w:pos="4536"/>
        <w:tab w:val="right" w:pos="9072"/>
      </w:tabs>
      <w:spacing w:before="0" w:after="0"/>
    </w:pPr>
  </w:style>
  <w:style w:type="character" w:customStyle="1" w:styleId="ZhlavChar">
    <w:name w:val="Záhlaví Char"/>
    <w:basedOn w:val="Standardnpsmoodstavce"/>
    <w:link w:val="Zhlav"/>
    <w:uiPriority w:val="99"/>
    <w:rsid w:val="005A3CDE"/>
    <w:rPr>
      <w:rFonts w:eastAsia="Times New Roman"/>
      <w:color w:val="000000"/>
      <w:sz w:val="22"/>
      <w:szCs w:val="22"/>
      <w:u w:color="000000"/>
    </w:rPr>
  </w:style>
  <w:style w:type="paragraph" w:styleId="Textbubliny">
    <w:name w:val="Balloon Text"/>
    <w:basedOn w:val="Normln"/>
    <w:link w:val="TextbublinyChar"/>
    <w:uiPriority w:val="99"/>
    <w:semiHidden/>
    <w:unhideWhenUsed/>
    <w:rsid w:val="00CE58DE"/>
    <w:pPr>
      <w:spacing w:before="0"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E58DE"/>
    <w:rPr>
      <w:rFonts w:ascii="Segoe UI" w:eastAsia="Times New Roman" w:hAnsi="Segoe UI" w:cs="Segoe UI"/>
      <w:color w:val="000000"/>
      <w:sz w:val="18"/>
      <w:szCs w:val="18"/>
      <w:u w:color="000000"/>
    </w:rPr>
  </w:style>
  <w:style w:type="character" w:styleId="Odkaznakoment">
    <w:name w:val="annotation reference"/>
    <w:basedOn w:val="Standardnpsmoodstavce"/>
    <w:uiPriority w:val="99"/>
    <w:semiHidden/>
    <w:unhideWhenUsed/>
    <w:rsid w:val="00B219C0"/>
    <w:rPr>
      <w:sz w:val="16"/>
      <w:szCs w:val="16"/>
    </w:rPr>
  </w:style>
  <w:style w:type="paragraph" w:styleId="Textkomente">
    <w:name w:val="annotation text"/>
    <w:basedOn w:val="Normln"/>
    <w:link w:val="TextkomenteChar"/>
    <w:uiPriority w:val="99"/>
    <w:semiHidden/>
    <w:unhideWhenUsed/>
    <w:rsid w:val="00B219C0"/>
    <w:rPr>
      <w:sz w:val="20"/>
      <w:szCs w:val="20"/>
    </w:rPr>
  </w:style>
  <w:style w:type="character" w:customStyle="1" w:styleId="TextkomenteChar">
    <w:name w:val="Text komentáře Char"/>
    <w:basedOn w:val="Standardnpsmoodstavce"/>
    <w:link w:val="Textkomente"/>
    <w:uiPriority w:val="99"/>
    <w:rsid w:val="00B219C0"/>
    <w:rPr>
      <w:rFonts w:eastAsia="Times New Roman"/>
      <w:color w:val="000000"/>
      <w:u w:color="000000"/>
    </w:rPr>
  </w:style>
  <w:style w:type="paragraph" w:styleId="Pedmtkomente">
    <w:name w:val="annotation subject"/>
    <w:basedOn w:val="Textkomente"/>
    <w:next w:val="Textkomente"/>
    <w:link w:val="PedmtkomenteChar"/>
    <w:uiPriority w:val="99"/>
    <w:semiHidden/>
    <w:unhideWhenUsed/>
    <w:rsid w:val="00B219C0"/>
    <w:rPr>
      <w:b/>
      <w:bCs/>
    </w:rPr>
  </w:style>
  <w:style w:type="character" w:customStyle="1" w:styleId="PedmtkomenteChar">
    <w:name w:val="Předmět komentáře Char"/>
    <w:basedOn w:val="TextkomenteChar"/>
    <w:link w:val="Pedmtkomente"/>
    <w:uiPriority w:val="99"/>
    <w:semiHidden/>
    <w:rsid w:val="00B219C0"/>
    <w:rPr>
      <w:rFonts w:eastAsia="Times New Roman"/>
      <w:b/>
      <w:bCs/>
      <w:color w:val="000000"/>
      <w:u w:color="000000"/>
    </w:rPr>
  </w:style>
  <w:style w:type="paragraph" w:styleId="Revize">
    <w:name w:val="Revision"/>
    <w:hidden/>
    <w:uiPriority w:val="99"/>
    <w:semiHidden/>
    <w:rsid w:val="005D335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2"/>
      <w:szCs w:val="22"/>
      <w:u w:color="000000"/>
    </w:rPr>
  </w:style>
  <w:style w:type="paragraph" w:styleId="Podnadpis">
    <w:name w:val="Subtitle"/>
    <w:basedOn w:val="Normln"/>
    <w:next w:val="Normln"/>
    <w:link w:val="PodnadpisChar"/>
    <w:uiPriority w:val="11"/>
    <w:qFormat/>
    <w:rsid w:val="00035981"/>
    <w:pPr>
      <w:pBdr>
        <w:top w:val="none" w:sz="0" w:space="0" w:color="auto"/>
        <w:left w:val="none" w:sz="0" w:space="0" w:color="auto"/>
        <w:bottom w:val="none" w:sz="0" w:space="0" w:color="auto"/>
        <w:right w:val="none" w:sz="0" w:space="0" w:color="auto"/>
        <w:between w:val="none" w:sz="0" w:space="0" w:color="auto"/>
        <w:bar w:val="none" w:sz="0" w:color="auto"/>
      </w:pBdr>
      <w:spacing w:after="160"/>
      <w:jc w:val="left"/>
    </w:pPr>
    <w:rPr>
      <w:rFonts w:ascii="Cambria" w:eastAsiaTheme="minorEastAsia" w:hAnsi="Cambria" w:cstheme="minorBidi"/>
      <w:b/>
      <w:color w:val="auto"/>
      <w:spacing w:val="15"/>
      <w:bdr w:val="none" w:sz="0" w:space="0" w:color="auto"/>
    </w:rPr>
  </w:style>
  <w:style w:type="character" w:customStyle="1" w:styleId="PodnadpisChar">
    <w:name w:val="Podnadpis Char"/>
    <w:basedOn w:val="Standardnpsmoodstavce"/>
    <w:link w:val="Podnadpis"/>
    <w:uiPriority w:val="11"/>
    <w:rsid w:val="00035981"/>
    <w:rPr>
      <w:rFonts w:ascii="Cambria" w:eastAsiaTheme="minorEastAsia" w:hAnsi="Cambria" w:cstheme="minorBidi"/>
      <w:b/>
      <w:spacing w:val="15"/>
      <w:sz w:val="22"/>
      <w:szCs w:val="22"/>
      <w:u w:color="000000"/>
      <w:bdr w:val="none" w:sz="0" w:space="0" w:color="auto"/>
    </w:rPr>
  </w:style>
  <w:style w:type="character" w:customStyle="1" w:styleId="platne1">
    <w:name w:val="platne1"/>
    <w:basedOn w:val="Standardnpsmoodstavce"/>
    <w:rsid w:val="00317941"/>
  </w:style>
  <w:style w:type="character" w:styleId="Zstupntext">
    <w:name w:val="Placeholder Text"/>
    <w:uiPriority w:val="99"/>
    <w:semiHidden/>
    <w:rsid w:val="00DD2FEE"/>
    <w:rPr>
      <w:color w:val="808080"/>
    </w:rPr>
  </w:style>
  <w:style w:type="character" w:customStyle="1" w:styleId="OdstavecseseznamemChar">
    <w:name w:val="Odstavec se seznamem Char"/>
    <w:aliases w:val="Bullet 1 Char,Use Case List Paragraph Char,b1 Char,Bullet for no #'s Char,B1 Char,List Paragraph1 Char"/>
    <w:link w:val="Odstavecseseznamem"/>
    <w:uiPriority w:val="34"/>
    <w:locked/>
    <w:rsid w:val="00DD2FEE"/>
    <w:rPr>
      <w:rFonts w:eastAsia="Times New Roman"/>
      <w:color w:val="000000"/>
      <w:sz w:val="22"/>
      <w:szCs w:val="22"/>
      <w:u w:color="000000"/>
    </w:rPr>
  </w:style>
  <w:style w:type="paragraph" w:styleId="slovanseznam">
    <w:name w:val="List Number"/>
    <w:basedOn w:val="Normln"/>
    <w:uiPriority w:val="99"/>
    <w:qFormat/>
    <w:rsid w:val="009C73D4"/>
    <w:pPr>
      <w:numPr>
        <w:numId w:val="5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0" w:after="0"/>
      <w:ind w:left="284" w:hanging="284"/>
      <w:contextualSpacing/>
    </w:pPr>
    <w:rPr>
      <w:rFonts w:eastAsia="SimSun"/>
      <w:color w:val="auto"/>
      <w:sz w:val="24"/>
      <w:szCs w:val="24"/>
      <w:bdr w:val="none" w:sz="0" w:space="0" w:color="auto"/>
      <w:lang w:val="en-GB" w:eastAsia="zh-CN" w:bidi="ar-A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64447">
      <w:bodyDiv w:val="1"/>
      <w:marLeft w:val="0"/>
      <w:marRight w:val="0"/>
      <w:marTop w:val="0"/>
      <w:marBottom w:val="0"/>
      <w:divBdr>
        <w:top w:val="none" w:sz="0" w:space="0" w:color="auto"/>
        <w:left w:val="none" w:sz="0" w:space="0" w:color="auto"/>
        <w:bottom w:val="none" w:sz="0" w:space="0" w:color="auto"/>
        <w:right w:val="none" w:sz="0" w:space="0" w:color="auto"/>
      </w:divBdr>
    </w:div>
    <w:div w:id="481195083">
      <w:bodyDiv w:val="1"/>
      <w:marLeft w:val="0"/>
      <w:marRight w:val="0"/>
      <w:marTop w:val="0"/>
      <w:marBottom w:val="0"/>
      <w:divBdr>
        <w:top w:val="none" w:sz="0" w:space="0" w:color="auto"/>
        <w:left w:val="none" w:sz="0" w:space="0" w:color="auto"/>
        <w:bottom w:val="none" w:sz="0" w:space="0" w:color="auto"/>
        <w:right w:val="none" w:sz="0" w:space="0" w:color="auto"/>
      </w:divBdr>
      <w:divsChild>
        <w:div w:id="559678132">
          <w:marLeft w:val="0"/>
          <w:marRight w:val="0"/>
          <w:marTop w:val="0"/>
          <w:marBottom w:val="0"/>
          <w:divBdr>
            <w:top w:val="none" w:sz="0" w:space="0" w:color="auto"/>
            <w:left w:val="none" w:sz="0" w:space="0" w:color="auto"/>
            <w:bottom w:val="none" w:sz="0" w:space="0" w:color="auto"/>
            <w:right w:val="none" w:sz="0" w:space="0" w:color="auto"/>
          </w:divBdr>
        </w:div>
      </w:divsChild>
    </w:div>
    <w:div w:id="1419473793">
      <w:bodyDiv w:val="1"/>
      <w:marLeft w:val="0"/>
      <w:marRight w:val="0"/>
      <w:marTop w:val="0"/>
      <w:marBottom w:val="0"/>
      <w:divBdr>
        <w:top w:val="none" w:sz="0" w:space="0" w:color="auto"/>
        <w:left w:val="none" w:sz="0" w:space="0" w:color="auto"/>
        <w:bottom w:val="none" w:sz="0" w:space="0" w:color="auto"/>
        <w:right w:val="none" w:sz="0" w:space="0" w:color="auto"/>
      </w:divBdr>
    </w:div>
    <w:div w:id="1980458693">
      <w:bodyDiv w:val="1"/>
      <w:marLeft w:val="0"/>
      <w:marRight w:val="0"/>
      <w:marTop w:val="0"/>
      <w:marBottom w:val="0"/>
      <w:divBdr>
        <w:top w:val="none" w:sz="0" w:space="0" w:color="auto"/>
        <w:left w:val="none" w:sz="0" w:space="0" w:color="auto"/>
        <w:bottom w:val="none" w:sz="0" w:space="0" w:color="auto"/>
        <w:right w:val="none" w:sz="0" w:space="0" w:color="auto"/>
      </w:divBdr>
    </w:div>
    <w:div w:id="213898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deloitte.com/cz/cs/pages/about-deloitte/articles/supplier-code-of-conduc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Motiv systém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iv systému Office">
      <a:majorFont>
        <a:latin typeface="Helvetica Neue"/>
        <a:ea typeface="Helvetica Neue"/>
        <a:cs typeface="Helvetica Neue"/>
      </a:majorFont>
      <a:minorFont>
        <a:latin typeface="Helvetica Neue"/>
        <a:ea typeface="Helvetica Neue"/>
        <a:cs typeface="Helvetica Neue"/>
      </a:minorFont>
    </a:fontScheme>
    <a:fmtScheme name="Motiv systém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59553-98BF-48CD-B1DA-8BE246ED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2708</Words>
  <Characters>14543</Characters>
  <Application>Microsoft Office Word</Application>
  <DocSecurity>0</DocSecurity>
  <Lines>372</Lines>
  <Paragraphs>135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2020-08-24T10:39:00Z</dcterms:created>
  <dcterms:modified xsi:type="dcterms:W3CDTF">2020-09-29T13:28:00Z</dcterms:modified>
</cp:coreProperties>
</file>