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7"/>
        <w:tabs>
          <w:tab w:leader="none" w:pos="662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6.5pt;margin-top:-23.5pt;width:49.9pt;height:41.05pt;z-index:-125829376;mso-wrap-distance-left:5.pt;mso-wrap-distance-right:17.3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)VÝ ÚŘAD BLIKY</w:t>
                  </w:r>
                </w:p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 xml:space="preserve">vý úrad </w:t>
                  </w:r>
                  <w:r>
                    <w:rPr>
                      <w:rStyle w:val="CharStyle6"/>
                    </w:rPr>
                    <w:t>n.rai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^</w:t>
        <w:tab/>
        <w:t>SPU 547392/2018/33/Schn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Česká republika - Státní pozemkový úřad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sídlo; Husinecká 1024/11a, 130 00 Praha 3 - Žižkov 3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01312774</w:t>
      </w:r>
    </w:p>
    <w:p>
      <w:pPr>
        <w:pStyle w:val="Style12"/>
        <w:tabs>
          <w:tab w:leader="none" w:pos="559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 CZ 01312774</w:t>
        <w:tab/>
        <w:t>^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který právně jedná Ing. Josef Jakeš vedoucí pobočky Český Krumlov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adresa; 5. května 287, Plešivec, 381 01 Český Krumlov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základě oprávnění vyplývajícího z platného Podpisového řádu Státního pozemkového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úřadu účinného ke dni právního jednání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 Česká národní banka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účtu: 50016-3723001/0710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83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„propachtovatel") - na straně jedné -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310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Šumavská zemědělská společnost s.r.o. </w:t>
      </w:r>
      <w:r>
        <w:rPr>
          <w:rStyle w:val="CharStyle16"/>
          <w:b w:val="0"/>
          <w:bCs w:val="0"/>
        </w:rPr>
        <w:t xml:space="preserve">sídlo </w:t>
      </w:r>
      <w:r>
        <w:rPr>
          <w:rStyle w:val="CharStyle17"/>
          <w:b/>
          <w:bCs/>
        </w:rPr>
        <w:t xml:space="preserve">Hněvanov 24, 382 41 Kaplice </w:t>
      </w:r>
      <w:r>
        <w:rPr>
          <w:rStyle w:val="CharStyle16"/>
          <w:b w:val="0"/>
          <w:bCs w:val="0"/>
        </w:rPr>
        <w:t xml:space="preserve">IČO: </w:t>
      </w:r>
      <w:r>
        <w:rPr>
          <w:rStyle w:val="CharStyle18"/>
          <w:b/>
          <w:bCs/>
        </w:rPr>
        <w:t>49017497</w:t>
      </w:r>
      <w:bookmarkEnd w:id="0"/>
    </w:p>
    <w:p>
      <w:pPr>
        <w:pStyle w:val="Style7"/>
        <w:tabs>
          <w:tab w:leader="none" w:pos="37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4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zapsáno v obchodním rejstříku vedeném Krajským soudem v Č.Budějovicích, oddíl C, vložka 2909 osoba oprávněná jednat za právnickou osobu Ing, Ferdinand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Ritter,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ing. Josef Fatura-jednatelé (dále jen „pachtýř")</w:t>
        <w:tab/>
        <w:t>•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273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- na straně druhé -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30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podle ustanovení § 2332 a násl. zákona č. 89/2012 Sb., občanský zákoník, ve znění pozdějších předpisů (dále jen ,,NOZ“), tuto</w:t>
      </w:r>
    </w:p>
    <w:p>
      <w:pPr>
        <w:pStyle w:val="Style19"/>
        <w:widowControl w:val="0"/>
        <w:keepNext/>
        <w:keepLines/>
        <w:shd w:val="clear" w:color="auto" w:fill="auto"/>
        <w:bidi w:val="0"/>
        <w:spacing w:before="0" w:after="503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PACHTOVNÍ SMLOUVU</w:t>
        <w:br/>
        <w:t>č. 144N18/33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center"/>
        <w:spacing w:before="0" w:after="513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Cl. I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527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Propachtovatel je ve smyslu zákona č. 503/2012 Sb., o Státním pozemkovém úřadu a o změně některých souvisejících zákonů, ve znění pozdějších předpisů, příslušný hospodařit se zemědělskými pozemky specifikovanými v příloze č. 1 této smlouvy vedenými u Katastrálního úřadu pro Jihočeský kraj Katastrálního pracoviště Český Krumlov Příloha č. 1 je nedílnou součástí této smlouvy.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center"/>
        <w:spacing w:before="0" w:after="281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Cl. II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276" w:line="24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Propachtovatel přenechává pachtýři pozemky uvedené v čl. I této smlouvy do užívání za účelem;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provozování zemědělské výroby. Dřeviny lze kácet jen s písemným souhlasem Státního pozemkového úřadu.</w:t>
      </w:r>
      <w:r>
        <w:br w:type="page"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center"/>
        <w:spacing w:before="0" w:after="260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Cl.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Ill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257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Pachtýř je povinen;</w:t>
      </w:r>
    </w:p>
    <w:p>
      <w:pPr>
        <w:pStyle w:val="Style12"/>
        <w:numPr>
          <w:ilvl w:val="0"/>
          <w:numId w:val="1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513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užívat pozemky řádně v souladu s jejich účelovým určením, hospodařit na něm(nich) způsobem založeným na střídání plodin a hnojení organickou hmotou ve dvou až čtyřletých cyklech podle fyzikálních vlastností půdy, způsobu hospodaření a nároků pěstovaných rostlin,</w:t>
      </w:r>
    </w:p>
    <w:p>
      <w:pPr>
        <w:pStyle w:val="Style12"/>
        <w:numPr>
          <w:ilvl w:val="0"/>
          <w:numId w:val="1"/>
        </w:numPr>
        <w:tabs>
          <w:tab w:leader="none" w:pos="369" w:val="left"/>
        </w:tabs>
        <w:widowControl w:val="0"/>
        <w:keepNext w:val="0"/>
        <w:keepLines w:val="0"/>
        <w:shd w:val="clear" w:color="auto" w:fill="auto"/>
        <w:bidi w:val="0"/>
        <w:spacing w:before="0" w:after="264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dodržovat povinnosti vyplývající ze zákona č. 326/2004 Sb., o rostlinolékařské pěči a o změně některých souvisejících zákonů, ve znění pozdějších předpisů,</w:t>
      </w:r>
    </w:p>
    <w:p>
      <w:pPr>
        <w:pStyle w:val="Style12"/>
        <w:numPr>
          <w:ilvl w:val="0"/>
          <w:numId w:val="1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spacing w:before="0" w:after="267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dodržovat zákaz hospodářské činnosti vyvolávající erozi a další degradaci půdy a používání toxických a jiných škodlivých látek s dlouhodobým reziduálním účinkem, dodržovat ustanovení § 3 odst. 1 zákona č. 334/1992 Sb., o ochraně zemědělského půdního fondu, ve znění pozdějších předpisů,</w:t>
      </w:r>
    </w:p>
    <w:p>
      <w:pPr>
        <w:pStyle w:val="Style12"/>
        <w:numPr>
          <w:ilvl w:val="0"/>
          <w:numId w:val="1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57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umožnit propachtovateli provádění kontroly k bodům a) až c) a vstupem na pozemky,</w:t>
      </w:r>
    </w:p>
    <w:p>
      <w:pPr>
        <w:pStyle w:val="Style12"/>
        <w:numPr>
          <w:ilvl w:val="0"/>
          <w:numId w:val="1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63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dodržovat povinnosti vyplývající ze zákona č. 449/2001 Sb., o myslivosti, ve znění pozdějších předpisů,</w:t>
      </w:r>
    </w:p>
    <w:p>
      <w:pPr>
        <w:pStyle w:val="Style12"/>
        <w:numPr>
          <w:ilvl w:val="0"/>
          <w:numId w:val="1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53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provádět podle podmínek sběr kamene,</w:t>
      </w:r>
    </w:p>
    <w:p>
      <w:pPr>
        <w:pStyle w:val="Style12"/>
        <w:numPr>
          <w:ilvl w:val="0"/>
          <w:numId w:val="1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spacing w:before="0" w:after="267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vyžádat si souhlas propachtovatele při realizaci zúrodňovacích opatření a zakládání trvalých porostů na pozemcích nebo při provádění změny druhu pozemku,</w:t>
      </w:r>
    </w:p>
    <w:p>
      <w:pPr>
        <w:pStyle w:val="Style12"/>
        <w:numPr>
          <w:ilvl w:val="0"/>
          <w:numId w:val="1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57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trpět věcná břemena, resp. služebnosti spojené s pozemky, jež jsou předmětem pachtu,</w:t>
      </w:r>
    </w:p>
    <w:p>
      <w:pPr>
        <w:pStyle w:val="Style12"/>
        <w:numPr>
          <w:ilvl w:val="0"/>
          <w:numId w:val="1"/>
        </w:numPr>
        <w:tabs>
          <w:tab w:leader="none" w:pos="379" w:val="left"/>
        </w:tabs>
        <w:widowControl w:val="0"/>
        <w:keepNext w:val="0"/>
        <w:keepLines w:val="0"/>
        <w:shd w:val="clear" w:color="auto" w:fill="auto"/>
        <w:bidi w:val="0"/>
        <w:spacing w:before="0" w:after="569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platit v souladu se zákonnou úpravou daň z nemovitých věcí za propachtované pozemky, jež jsou předmětem pachtu.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center"/>
        <w:spacing w:before="0" w:after="0" w:line="51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Cl. IV</w:t>
      </w:r>
    </w:p>
    <w:p>
      <w:pPr>
        <w:pStyle w:val="Style12"/>
        <w:numPr>
          <w:ilvl w:val="0"/>
          <w:numId w:val="3"/>
        </w:numPr>
        <w:tabs>
          <w:tab w:leader="none" w:pos="341" w:val="left"/>
        </w:tabs>
        <w:widowControl w:val="0"/>
        <w:keepNext w:val="0"/>
        <w:keepLines w:val="0"/>
        <w:shd w:val="clear" w:color="auto" w:fill="auto"/>
        <w:bidi w:val="0"/>
        <w:spacing w:before="0" w:after="0" w:line="51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Tato smlouva se uzavírá od </w:t>
      </w:r>
      <w:r>
        <w:rPr>
          <w:rStyle w:val="CharStyle24"/>
        </w:rPr>
        <w:t xml:space="preserve">20. 12. 2018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na dobu neurčitou.</w:t>
      </w:r>
    </w:p>
    <w:p>
      <w:pPr>
        <w:pStyle w:val="Style12"/>
        <w:numPr>
          <w:ilvl w:val="0"/>
          <w:numId w:val="3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0" w:line="51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Právní vztah založený touto smlouvou lze ukončit dohodou nebo písemnou výpovědí.</w:t>
      </w:r>
    </w:p>
    <w:p>
      <w:pPr>
        <w:pStyle w:val="Style12"/>
        <w:numPr>
          <w:ilvl w:val="0"/>
          <w:numId w:val="3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spacing w:before="0" w:after="256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Pacht lze v souladu s ustanovením § 2347 NOZ vypovědět v dvanáctiměsíční výpovědní době, a to vždy jen k 1. říjnu běžného roku.</w:t>
      </w:r>
    </w:p>
    <w:p>
      <w:pPr>
        <w:pStyle w:val="Style12"/>
        <w:numPr>
          <w:ilvl w:val="0"/>
          <w:numId w:val="3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spacing w:before="0" w:after="26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Stane-li se pachtýř ze zdravotních důvodů nezpůsobilý na pozemku hospodařit, má dle ustanovení § 2348 NOZ právo vypovědět pacht v tříměsíční výpovědní době.</w:t>
      </w:r>
    </w:p>
    <w:p>
      <w:pPr>
        <w:pStyle w:val="Style12"/>
        <w:numPr>
          <w:ilvl w:val="0"/>
          <w:numId w:val="3"/>
        </w:numPr>
        <w:tabs>
          <w:tab w:leader="none" w:pos="369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Propachtovatel může v souladu s ustanovením § 2334 NOZ vypovědět pacht bez výpovědní doby, jestliže pachtýř propachtuje propachtované pozemky jinému, přenechá-li je k užívání nebo změní-li hospodářské určení pozemků, anebo způsob jejich užívání nebo požívání bez propachtovatelova předchozího souhlasu.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Cl. v</w:t>
      </w:r>
    </w:p>
    <w:p>
      <w:pPr>
        <w:pStyle w:val="Style12"/>
        <w:numPr>
          <w:ilvl w:val="0"/>
          <w:numId w:val="5"/>
        </w:numPr>
        <w:tabs>
          <w:tab w:leader="none" w:pos="574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Pachtýř je povinen platit propachtovateli pachtovné.</w:t>
      </w:r>
    </w:p>
    <w:p>
      <w:pPr>
        <w:pStyle w:val="Style12"/>
        <w:numPr>
          <w:ilvl w:val="0"/>
          <w:numId w:val="5"/>
        </w:numPr>
        <w:tabs>
          <w:tab w:leader="none" w:pos="574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Pachtovné se platí </w:t>
      </w:r>
      <w:r>
        <w:rPr>
          <w:rStyle w:val="CharStyle27"/>
        </w:rPr>
        <w:t>ročně pozadu</w:t>
      </w:r>
      <w:r>
        <w:rPr>
          <w:rStyle w:val="CharStyle24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vždy k 1. 10. běžného roku.</w:t>
      </w:r>
    </w:p>
    <w:p>
      <w:pPr>
        <w:pStyle w:val="Style12"/>
        <w:numPr>
          <w:ilvl w:val="0"/>
          <w:numId w:val="5"/>
        </w:numPr>
        <w:tabs>
          <w:tab w:leader="none" w:pos="3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0"/>
        <w:ind w:left="0" w:right="34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Roční pachtovné se stanovuje dohodou ve výši </w:t>
      </w:r>
      <w:r>
        <w:rPr>
          <w:rStyle w:val="CharStyle24"/>
        </w:rPr>
        <w:t xml:space="preserve">500,- Kč </w:t>
      </w:r>
      <w:r>
        <w:rPr>
          <w:lang w:val="cs-CZ" w:eastAsia="cs-CZ" w:bidi="cs-CZ"/>
          <w:w w:val="100"/>
          <w:spacing w:val="0"/>
          <w:color w:val="000000"/>
          <w:position w:val="0"/>
        </w:rPr>
        <w:t>(slovy; pětsetkorun českých).</w:t>
      </w:r>
    </w:p>
    <w:p>
      <w:pPr>
        <w:pStyle w:val="Style12"/>
        <w:numPr>
          <w:ilvl w:val="0"/>
          <w:numId w:val="5"/>
        </w:numPr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spacing w:before="0" w:after="25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Pachtovné za období od účinnosti smlouvy do 30. 9. 2019 včetně činí 390,-Kč (slovy: třistadevadesátkorun českých) a bude uhrazeno k 1. 10. 2019</w:t>
      </w:r>
    </w:p>
    <w:p>
      <w:pPr>
        <w:pStyle w:val="Style12"/>
        <w:numPr>
          <w:ilvl w:val="0"/>
          <w:numId w:val="5"/>
        </w:numPr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Pachtovné bude hrazeno převodem na účet propachtovatele vedený u České národní banky, </w:t>
      </w:r>
      <w:r>
        <w:rPr>
          <w:rStyle w:val="CharStyle24"/>
        </w:rPr>
        <w:t>číslo účtu 50016-3723001/0710, variabilní symbol 14411833.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64" w:line="259" w:lineRule="exact"/>
        <w:ind w:left="9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Zaplacením se rozumí připsání placené částky na účet propachtovatele.</w:t>
      </w:r>
    </w:p>
    <w:p>
      <w:pPr>
        <w:pStyle w:val="Style12"/>
        <w:numPr>
          <w:ilvl w:val="0"/>
          <w:numId w:val="5"/>
        </w:numPr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spacing w:before="0" w:after="26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Nedodrží-li pachtýř lhůtu pro úhradu pachtovného, je povinen podle ustanovení § 1970 NOZ zaplatit propachtovateli úrok z prodlení, a to na účet propachtovatele vedený u České národní banky, číslo účtu 180013-3723001/0710, variabilní symbol 14411833.</w:t>
      </w:r>
    </w:p>
    <w:p>
      <w:pPr>
        <w:pStyle w:val="Style12"/>
        <w:numPr>
          <w:ilvl w:val="0"/>
          <w:numId w:val="5"/>
        </w:numPr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spacing w:before="0" w:after="26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Prodlení pachtýře s úhradou pachtovného delší než 60 dnů se považuje za porušení smlouvy, které zakládá právo propachtovatele smlouvu vypovědět bez výpovědní doby (ustanovení § 2228 odst. 4 NOZ).</w:t>
      </w:r>
    </w:p>
    <w:p>
      <w:pPr>
        <w:pStyle w:val="Style12"/>
        <w:numPr>
          <w:ilvl w:val="0"/>
          <w:numId w:val="5"/>
        </w:numPr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propachtovatel je oprávněn vždy k 1. 10. běžného roku jednostranně zvýšit pachtovné o míru inflace vyjádřenou přírůstkem průměrného ročního indexu spotřebitelských cen vyhlášenou Českým statistickým úřadem za předcházející běžný rok.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120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Zvýšené pachtovné bude uplatněno písemným oznámením ze strany propachtovatele nejpozději do 1. 9. běžného roku, a to bez nutnosti uzavírat dodatek a pachtýř bude povinen novou výši pachtovného platit s účinností od nejbližší platby pachtovného.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116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Základem pro výpočet zvýšeného pachtovného bude pachtovné sjednané před tímto zvýšením.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527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57" w:line="246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Cl. </w:t>
      </w:r>
      <w:r>
        <w:rPr>
          <w:rStyle w:val="CharStyle28"/>
          <w:b/>
          <w:bCs/>
        </w:rPr>
        <w:t>VI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123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jsou na propachtovaných pozemcích zřízena meliorační zařízení, pachtýř se zavazuje;</w:t>
      </w:r>
    </w:p>
    <w:p>
      <w:pPr>
        <w:pStyle w:val="Style12"/>
        <w:numPr>
          <w:ilvl w:val="0"/>
          <w:numId w:val="7"/>
        </w:numPr>
        <w:tabs>
          <w:tab w:leader="none" w:pos="14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0" w:line="246" w:lineRule="exact"/>
        <w:ind w:left="9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 melioračních zařízení umístěných pod povrchem půdy zajistit jejich údržbu,</w:t>
      </w:r>
    </w:p>
    <w:p>
      <w:pPr>
        <w:pStyle w:val="Style12"/>
        <w:numPr>
          <w:ilvl w:val="0"/>
          <w:numId w:val="7"/>
        </w:numPr>
        <w:tabs>
          <w:tab w:leader="none" w:pos="14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20" w:line="246" w:lineRule="exact"/>
        <w:ind w:left="9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hlavním melioračním zařízením umožnit přístup za účelem provedení údržby.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center"/>
        <w:spacing w:before="0" w:after="253" w:line="246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Cl. VII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1) Pachtýř bere na vědomí a je srozuměn s tím, že pozemky, které jsou předmětem pachtu dle této smlouvy, mohou být propachtovatelem převedeny na třetí osoby v souladu s jeho dispozičním oprávněním. V případě změny vlastnictví platí ustanovení § 2221 a § 2222 NOZ.</w:t>
      </w:r>
      <w:r>
        <w:br w:type="page"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center"/>
        <w:spacing w:before="0" w:after="250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Cl. Vlil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271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Pachtýř je oprávněn propachtované pozemky, některé z nich nebo jejich části propachtovat nebo dát do užívání třetí osobě jen s předchozím písemným souhlasem propachtovatele.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center"/>
        <w:spacing w:before="0" w:after="253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Čl. IX</w:t>
      </w:r>
    </w:p>
    <w:p>
      <w:pPr>
        <w:pStyle w:val="Style12"/>
        <w:numPr>
          <w:ilvl w:val="0"/>
          <w:numId w:val="9"/>
        </w:numPr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spacing w:before="0" w:after="26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jakékoliv změny a doplňky této smlouvy jsou možné pouze písemnou formou dodatku ktéto smlouvě, a to na základě dohody smluvních stran, není-li touto smlouvou stanoveno jinak.</w:t>
      </w:r>
    </w:p>
    <w:p>
      <w:pPr>
        <w:pStyle w:val="Style12"/>
        <w:numPr>
          <w:ilvl w:val="0"/>
          <w:numId w:val="9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spacing w:before="0" w:after="263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jsou povinny se vzájemně informovat o jakékoli změně údajů týkajících se jejich specifikace jako smluvní strany této smlouvy, a to nejpozději do 30 dnů ode dne změny.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center"/>
        <w:spacing w:before="0" w:after="253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Čl. X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507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je vyhotovena v dvou stejnopisech, z nichž každý má platnost originálu. Jeden stejnopis přebírá pachtýř a jeden je určen pro propachtovatele.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center"/>
        <w:spacing w:before="0" w:after="257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Cl. XI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263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nabývá platnosti dnem podpisu smluvními stranami a účinnosti dnem uvedeným v Čl. IV této smlouvy.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center"/>
        <w:spacing w:before="0" w:after="257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Čl. XII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763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po přečtení této smlouvy prohlašují, že s jejím obsahem souhlasí a že tato smlouva je shodným projevem jejich vážné a svobodné vůle, a na důkaz toho připojují své podpisy.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1736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Českém Krumlově dne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81" w:line="226" w:lineRule="exact"/>
        <w:ind w:left="260" w:right="0"/>
      </w:pPr>
      <w:r>
        <w:pict>
          <v:shape id="_x0000_s1027" type="#_x0000_t202" style="position:absolute;margin-left:2.9pt;margin-top:1.pt;width:152.15pt;height:49.55pt;z-index:-125829375;mso-wrap-distance-left:5.pt;mso-wrap-distance-right:126.2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Ing.Josef Jakeš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461" w:lineRule="exact"/>
                    <w:ind w:left="80" w:right="0" w:firstLine="0"/>
                  </w:pPr>
                  <w:r>
                    <w:rPr>
                      <w:rStyle w:val="CharStyle8"/>
                    </w:rPr>
                    <w:t>vedoucí pobočky Čěský Krumlov</w:t>
                    <w:br/>
                    <w:t>propachtovatel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Šumavská zemědělská společnost s.r.o. zast.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1774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pachtýř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správnost; Božena Schnelzerová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840" w:right="0" w:firstLine="0"/>
        <w:sectPr>
          <w:footerReference w:type="default" r:id="rId5"/>
          <w:titlePg/>
          <w:footnotePr>
            <w:pos w:val="pageBottom"/>
            <w:numFmt w:val="decimal"/>
            <w:numRestart w:val="continuous"/>
          </w:footnotePr>
          <w:pgSz w:w="12082" w:h="16958"/>
          <w:pgMar w:top="945" w:left="1438" w:right="1371" w:bottom="1689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podpis</w:t>
      </w:r>
    </w:p>
    <w:tbl>
      <w:tblPr>
        <w:tblOverlap w:val="never"/>
        <w:tblLayout w:type="fixed"/>
        <w:jc w:val="center"/>
      </w:tblPr>
      <w:tblGrid>
        <w:gridCol w:w="1891"/>
        <w:gridCol w:w="802"/>
        <w:gridCol w:w="600"/>
        <w:gridCol w:w="806"/>
        <w:gridCol w:w="1733"/>
        <w:gridCol w:w="1502"/>
        <w:gridCol w:w="1118"/>
        <w:gridCol w:w="859"/>
        <w:gridCol w:w="1138"/>
      </w:tblGrid>
      <w:tr>
        <w:trPr>
          <w:trHeight w:val="518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160" w:right="0" w:firstLine="0"/>
            </w:pPr>
            <w:r>
              <w:rPr>
                <w:rStyle w:val="CharStyle32"/>
              </w:rPr>
              <w:t>Příloha pachtovní smlouvy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32"/>
              </w:rPr>
              <w:t>č. 144N18/33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33"/>
              </w:rPr>
              <w:t>Variabilní symbol:</w:t>
            </w:r>
          </w:p>
        </w:tc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33"/>
              </w:rPr>
              <w:t>14411833</w:t>
            </w:r>
          </w:p>
        </w:tc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33"/>
              </w:rPr>
              <w:t>Uzavřeno: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33"/>
              </w:rPr>
              <w:t>Roční pacht: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34"/>
              </w:rPr>
              <w:t>500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33"/>
              </w:rPr>
              <w:t>Datum tisku;</w:t>
            </w:r>
          </w:p>
        </w:tc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33"/>
              </w:rPr>
              <w:t>31.10.2018</w:t>
            </w:r>
          </w:p>
        </w:tc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33"/>
              </w:rPr>
              <w:t>Účinná od: 20.12.2018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34"/>
              </w:rPr>
              <w:t>Pachtýři: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34"/>
              </w:rPr>
              <w:t>Název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180" w:right="0" w:firstLine="0"/>
            </w:pPr>
            <w:r>
              <w:rPr>
                <w:rStyle w:val="CharStyle34"/>
              </w:rPr>
              <w:t>Adresa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5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33"/>
              </w:rPr>
              <w:t>Šumavská zemědělská společnost s.r.o.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33"/>
              </w:rPr>
              <w:t>Hněvanov 24,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38241 Kaplice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34"/>
              </w:rPr>
              <w:t>Nemovitosti: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34"/>
              </w:rPr>
              <w:t>Pozn. Parcela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34"/>
              </w:rPr>
              <w:t>/ Dii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34"/>
              </w:rPr>
              <w:t>Skp.</w:t>
            </w: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560" w:right="0" w:hanging="1560"/>
            </w:pPr>
            <w:r>
              <w:rPr>
                <w:rStyle w:val="CharStyle34"/>
              </w:rPr>
              <w:t>Kult. Číslo LV Typ sazby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6" w:lineRule="exact"/>
              <w:ind w:left="0" w:right="0" w:firstLine="0"/>
            </w:pPr>
            <w:r>
              <w:rPr>
                <w:rStyle w:val="CharStyle34"/>
              </w:rPr>
              <w:t>Cena</w:t>
            </w:r>
          </w:p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6" w:lineRule="exact"/>
              <w:ind w:left="0" w:right="0" w:firstLine="0"/>
            </w:pPr>
            <w:r>
              <w:rPr>
                <w:rStyle w:val="CharStyle34"/>
              </w:rPr>
              <w:t>[Kč]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200" w:firstLine="0"/>
            </w:pPr>
            <w:r>
              <w:rPr>
                <w:rStyle w:val="CharStyle34"/>
              </w:rPr>
              <w:t>Výměra</w:t>
            </w:r>
          </w:p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200" w:firstLine="0"/>
            </w:pPr>
            <w:r>
              <w:rPr>
                <w:rStyle w:val="CharStyle34"/>
              </w:rPr>
              <w:t>[ml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34"/>
              </w:rPr>
              <w:t>Pacht</w:t>
            </w:r>
          </w:p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34"/>
              </w:rPr>
              <w:t>[Kč]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gridSpan w:val="9"/>
            <w:tcBorders>
              <w:top w:val="single" w:sz="4"/>
            </w:tcBorders>
            <w:vAlign w:val="top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34"/>
              </w:rPr>
              <w:t>Katastr: Hněvanov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33"/>
              </w:rPr>
              <w:t>1258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33"/>
              </w:rPr>
              <w:t>10002 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33 000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33"/>
              </w:rPr>
              <w:t>126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2,2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9,15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tabs>
                <w:tab w:leader="none" w:pos="126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část</w:t>
              <w:tab/>
              <w:t>2324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33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33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33 000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33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0,22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33"/>
              </w:rPr>
              <w:t>3000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33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33 000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33"/>
              </w:rPr>
              <w:t>12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0,87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tabs>
                <w:tab w:leader="none" w:pos="126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část</w:t>
              <w:tab/>
              <w:t>3012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33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33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33 000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33"/>
              </w:rPr>
              <w:t>160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11,62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33"/>
              </w:rPr>
              <w:t>Celkem za katastr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33"/>
              </w:rPr>
              <w:t>301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21,85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200" w:firstLine="0"/>
            </w:pPr>
            <w:r>
              <w:rPr>
                <w:rStyle w:val="CharStyle34"/>
              </w:rPr>
              <w:t>Katastr: Hrud kov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tabs>
                <w:tab w:leader="none" w:pos="127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část</w:t>
              <w:tab/>
              <w:t>1849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14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33"/>
              </w:rPr>
              <w:t>10002 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26 100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33"/>
              </w:rPr>
              <w:t>461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2,2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26,47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33"/>
              </w:rPr>
              <w:t>Celkem za katastr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33"/>
              </w:rPr>
              <w:t>461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26,47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34"/>
              </w:rPr>
              <w:t>Katastr: Ostrov na Šumavě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tabs>
                <w:tab w:leader="none" w:pos="125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část</w:t>
              <w:tab/>
              <w:t>2228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33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33"/>
              </w:rPr>
              <w:t>10002 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22 100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33"/>
              </w:rPr>
              <w:t>215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2,2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10,45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Celkem za katastr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33"/>
              </w:rPr>
              <w:t>215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10,45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gridSpan w:val="3"/>
            <w:tcBorders/>
            <w:vAlign w:val="top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34"/>
              </w:rPr>
              <w:t>Katastr: Rožmitál na Šumavě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0" w:firstLine="0"/>
            </w:pPr>
            <w:r>
              <w:rPr>
                <w:rStyle w:val="CharStyle33"/>
              </w:rPr>
              <w:t>1277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33"/>
              </w:rPr>
              <w:t>13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33"/>
              </w:rPr>
              <w:t>10002 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28 900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33"/>
              </w:rPr>
              <w:t>72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2,2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4,58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tabs>
                <w:tab w:leader="none" w:pos="127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část</w:t>
              <w:tab/>
              <w:t>1321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33"/>
              </w:rPr>
              <w:t>12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33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28 900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33"/>
              </w:rPr>
              <w:t>1 559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99,12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0" w:firstLine="0"/>
            </w:pPr>
            <w:r>
              <w:rPr>
                <w:rStyle w:val="CharStyle33"/>
              </w:rPr>
              <w:t>1321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33"/>
              </w:rPr>
              <w:t>13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33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28 900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33"/>
              </w:rPr>
              <w:t>63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4,01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0" w:firstLine="0"/>
            </w:pPr>
            <w:r>
              <w:rPr>
                <w:rStyle w:val="CharStyle33"/>
              </w:rPr>
              <w:t>1321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33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33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28 900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33"/>
              </w:rPr>
              <w:t>1 067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67,84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tabs>
                <w:tab w:leader="none" w:pos="127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část</w:t>
              <w:tab/>
              <w:t>1321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33"/>
              </w:rPr>
              <w:t>15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33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28 900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33"/>
              </w:rPr>
              <w:t>31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1,97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0" w:firstLine="0"/>
            </w:pPr>
            <w:r>
              <w:rPr>
                <w:rStyle w:val="CharStyle33"/>
              </w:rPr>
              <w:t>1350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33"/>
              </w:rPr>
              <w:t>12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33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28 900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33"/>
              </w:rPr>
              <w:t>147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9,35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0" w:firstLine="0"/>
            </w:pPr>
            <w:r>
              <w:rPr>
                <w:rStyle w:val="CharStyle33"/>
              </w:rPr>
              <w:t>Celkem za katastr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33"/>
              </w:rPr>
              <w:t>2 939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186,86</w:t>
            </w:r>
          </w:p>
        </w:tc>
      </w:tr>
    </w:tbl>
    <w:p>
      <w:pPr>
        <w:framePr w:w="104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pict>
          <v:shape id="_x0000_s1029" type="#_x0000_t202" style="position:absolute;margin-left:0.5pt;margin-top:575.5pt;width:133.9pt;height:34.65pt;z-index:-1258293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0" w:line="246" w:lineRule="exact"/>
                    <w:ind w:left="0" w:right="0" w:firstLine="0"/>
                  </w:pPr>
                  <w:r>
                    <w:rPr>
                      <w:rStyle w:val="CharStyle31"/>
                      <w:b/>
                      <w:bCs/>
                    </w:rPr>
                    <w:t>Celkem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6" w:lineRule="exact"/>
                    <w:ind w:left="0" w:right="0" w:firstLine="0"/>
                  </w:pPr>
                  <w:r>
                    <w:rPr>
                      <w:rStyle w:val="CharStyle31"/>
                      <w:b/>
                      <w:bCs/>
                    </w:rPr>
                    <w:t>Minimální roční pachtovné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0" type="#_x0000_t202" style="position:absolute;margin-left:385.45pt;margin-top:576.pt;width:31.7pt;height:14.45pt;z-index:-125829373;mso-wrap-distance-left:5.pt;mso-wrap-distance-top:0.25pt;mso-wrap-distance-right:83.5pt;mso-wrap-distance-bottom:19.15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6" w:lineRule="exact"/>
                    <w:ind w:left="0" w:right="0" w:firstLine="0"/>
                  </w:pPr>
                  <w:r>
                    <w:rPr>
                      <w:rStyle w:val="CharStyle31"/>
                      <w:b/>
                      <w:bCs/>
                    </w:rPr>
                    <w:t>3 916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1" type="#_x0000_t202" style="position:absolute;margin-left:500.65pt;margin-top:575.75pt;width:23.05pt;height:14.7pt;z-index:-125829372;mso-wrap-distance-left:5.pt;mso-wrap-distance-right:5.pt;mso-wrap-distance-bottom:19.15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6" w:lineRule="exact"/>
                    <w:ind w:left="0" w:right="0" w:firstLine="0"/>
                  </w:pPr>
                  <w:r>
                    <w:rPr>
                      <w:rStyle w:val="CharStyle31"/>
                      <w:b/>
                      <w:bCs/>
                    </w:rPr>
                    <w:t>246</w:t>
                  </w:r>
                </w:p>
              </w:txbxContent>
            </v:textbox>
            <w10:wrap type="square" anchorx="margin"/>
          </v:shape>
        </w:pict>
      </w:r>
    </w:p>
    <w:p>
      <w:pPr>
        <w:widowControl w:val="0"/>
        <w:rPr>
          <w:sz w:val="2"/>
          <w:szCs w:val="2"/>
        </w:rPr>
        <w:sectPr>
          <w:footerReference w:type="default" r:id="rId6"/>
          <w:pgSz w:w="12010" w:h="16906"/>
          <w:pgMar w:top="711" w:left="545" w:right="1015" w:bottom="231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76" w:after="7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010" w:h="16906"/>
          <w:pgMar w:top="756" w:left="0" w:right="0" w:bottom="756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Vysvětlivky k typu sazby: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74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ha...za hektar jdn...za jednotku pc/ha...prCiměrná cena za hektar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m^...za m'"</w:t>
      </w:r>
    </w:p>
    <w:sectPr>
      <w:type w:val="continuous"/>
      <w:pgSz w:w="12010" w:h="16906"/>
      <w:pgMar w:top="756" w:left="545" w:right="1015" w:bottom="75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506.5pt;margin-top:799.65pt;width:12.95pt;height:7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3"/>
                      <w:b/>
                      <w:bCs/>
                    </w:rPr>
                    <w:t>#</w:t>
                  </w:r>
                </w:fldSimple>
                <w:r>
                  <w:rPr>
                    <w:rStyle w:val="CharStyle23"/>
                    <w:b/>
                    <w:bCs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531.75pt;margin-top:637.35pt;width:15.6pt;height:7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3"/>
                    <w:b/>
                    <w:bCs/>
                  </w:rPr>
                  <w:t>500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 Exact"/>
    <w:basedOn w:val="DefaultParagraphFont"/>
    <w:link w:val="Style2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5">
    <w:name w:val="Char Style 5 Exact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  <w:spacing w:val="10"/>
    </w:rPr>
  </w:style>
  <w:style w:type="character" w:customStyle="1" w:styleId="CharStyle6">
    <w:name w:val="Char Style 6 Exact"/>
    <w:basedOn w:val="CharStyle5"/>
    <w:rPr>
      <w:lang w:val="cs-CZ" w:eastAsia="cs-CZ" w:bidi="cs-CZ"/>
      <w:sz w:val="14"/>
      <w:szCs w:val="14"/>
      <w:w w:val="100"/>
      <w:spacing w:val="0"/>
      <w:color w:val="000000"/>
      <w:position w:val="0"/>
    </w:rPr>
  </w:style>
  <w:style w:type="character" w:customStyle="1" w:styleId="CharStyle8">
    <w:name w:val="Char Style 8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9">
    <w:name w:val="Char Style 9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1">
    <w:name w:val="Char Style 11"/>
    <w:basedOn w:val="DefaultParagraphFont"/>
    <w:link w:val="Style10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5">
    <w:name w:val="Char Style 15"/>
    <w:basedOn w:val="DefaultParagraphFont"/>
    <w:link w:val="Style14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16">
    <w:name w:val="Char Style 16"/>
    <w:basedOn w:val="CharStyle15"/>
    <w:rPr>
      <w:lang w:val="cs-CZ" w:eastAsia="cs-CZ" w:bidi="cs-CZ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7">
    <w:name w:val="Char Style 17"/>
    <w:basedOn w:val="CharStyle15"/>
    <w:rPr>
      <w:lang w:val="cs-CZ" w:eastAsia="cs-CZ" w:bidi="cs-CZ"/>
      <w:sz w:val="28"/>
      <w:szCs w:val="28"/>
      <w:w w:val="100"/>
      <w:spacing w:val="0"/>
      <w:color w:val="000000"/>
      <w:position w:val="0"/>
    </w:rPr>
  </w:style>
  <w:style w:type="character" w:customStyle="1" w:styleId="CharStyle18">
    <w:name w:val="Char Style 18"/>
    <w:basedOn w:val="CharStyle15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20">
    <w:name w:val="Char Style 20"/>
    <w:basedOn w:val="DefaultParagraphFont"/>
    <w:link w:val="Style19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22">
    <w:name w:val="Char Style 22"/>
    <w:basedOn w:val="DefaultParagraphFont"/>
    <w:link w:val="Style21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3">
    <w:name w:val="Char Style 23"/>
    <w:basedOn w:val="CharStyle22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4">
    <w:name w:val="Char Style 24"/>
    <w:basedOn w:val="CharStyle1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6">
    <w:name w:val="Char Style 26"/>
    <w:basedOn w:val="DefaultParagraphFont"/>
    <w:link w:val="Style25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7">
    <w:name w:val="Char Style 27"/>
    <w:basedOn w:val="CharStyle13"/>
    <w:rPr>
      <w:lang w:val="cs-CZ" w:eastAsia="cs-CZ" w:bidi="cs-CZ"/>
      <w:b/>
      <w:bCs/>
      <w:u w:val="single"/>
      <w:w w:val="100"/>
      <w:spacing w:val="0"/>
      <w:color w:val="000000"/>
      <w:position w:val="0"/>
    </w:rPr>
  </w:style>
  <w:style w:type="character" w:customStyle="1" w:styleId="CharStyle28">
    <w:name w:val="Char Style 28"/>
    <w:basedOn w:val="CharStyle26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30">
    <w:name w:val="Char Style 30"/>
    <w:basedOn w:val="DefaultParagraphFont"/>
    <w:link w:val="Style29"/>
    <w:rPr>
      <w:b w:val="0"/>
      <w:bCs w:val="0"/>
      <w:i/>
      <w:iCs/>
      <w:u w:val="none"/>
      <w:strike w:val="0"/>
      <w:smallCaps w:val="0"/>
      <w:sz w:val="8"/>
      <w:szCs w:val="8"/>
      <w:rFonts w:ascii="Arial" w:eastAsia="Arial" w:hAnsi="Arial" w:cs="Arial"/>
    </w:rPr>
  </w:style>
  <w:style w:type="character" w:customStyle="1" w:styleId="CharStyle31">
    <w:name w:val="Char Style 31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32">
    <w:name w:val="Char Style 32"/>
    <w:basedOn w:val="CharStyle13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3">
    <w:name w:val="Char Style 33"/>
    <w:basedOn w:val="CharStyle13"/>
    <w:rPr>
      <w:lang w:val="cs-CZ" w:eastAsia="cs-CZ" w:bidi="cs-CZ"/>
      <w:sz w:val="18"/>
      <w:szCs w:val="18"/>
      <w:w w:val="100"/>
      <w:spacing w:val="0"/>
      <w:color w:val="000000"/>
      <w:position w:val="0"/>
    </w:rPr>
  </w:style>
  <w:style w:type="character" w:customStyle="1" w:styleId="CharStyle34">
    <w:name w:val="Char Style 34"/>
    <w:basedOn w:val="CharStyle13"/>
    <w:rPr>
      <w:lang w:val="cs-CZ" w:eastAsia="cs-CZ" w:bidi="cs-CZ"/>
      <w:b/>
      <w:bCs/>
      <w:w w:val="100"/>
      <w:spacing w:val="0"/>
      <w:color w:val="000000"/>
      <w:position w:val="0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11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line="168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  <w:spacing w:val="10"/>
    </w:rPr>
  </w:style>
  <w:style w:type="paragraph" w:customStyle="1" w:styleId="Style7">
    <w:name w:val="Style 7"/>
    <w:basedOn w:val="Normal"/>
    <w:link w:val="CharStyle9"/>
    <w:pPr>
      <w:widowControl w:val="0"/>
      <w:shd w:val="clear" w:color="auto" w:fill="FFFFFF"/>
      <w:jc w:val="both"/>
      <w:spacing w:line="200" w:lineRule="exact"/>
      <w:ind w:hanging="26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jc w:val="both"/>
      <w:spacing w:line="25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jc w:val="both"/>
      <w:spacing w:line="25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outlineLvl w:val="1"/>
      <w:spacing w:before="880" w:line="312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jc w:val="center"/>
      <w:outlineLvl w:val="0"/>
      <w:spacing w:before="400" w:after="400" w:line="374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  <w:spacing w:line="21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5">
    <w:name w:val="Style 25"/>
    <w:basedOn w:val="Normal"/>
    <w:link w:val="CharStyle26"/>
    <w:pPr>
      <w:widowControl w:val="0"/>
      <w:shd w:val="clear" w:color="auto" w:fill="FFFFFF"/>
      <w:jc w:val="center"/>
      <w:spacing w:line="518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9">
    <w:name w:val="Style 29"/>
    <w:basedOn w:val="Normal"/>
    <w:link w:val="CharStyle30"/>
    <w:pPr>
      <w:widowControl w:val="0"/>
      <w:shd w:val="clear" w:color="auto" w:fill="FFFFFF"/>
      <w:spacing w:line="283" w:lineRule="exact"/>
    </w:pPr>
    <w:rPr>
      <w:b w:val="0"/>
      <w:bCs w:val="0"/>
      <w:i/>
      <w:iCs/>
      <w:u w:val="none"/>
      <w:strike w:val="0"/>
      <w:smallCaps w:val="0"/>
      <w:sz w:val="8"/>
      <w:szCs w:val="8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