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tabs>
          <w:tab w:leader="none" w:pos="66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6.5pt;margin-top:-23.5pt;width:49.9pt;height:41.05pt;z-index:-125829376;mso-wrap-distance-left:5.pt;mso-wrap-distance-right:17.3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)VÝ ÚŘAD BLIKY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 xml:space="preserve">vý úrad </w:t>
                  </w:r>
                  <w:r>
                    <w:rPr>
                      <w:rStyle w:val="CharStyle6"/>
                    </w:rPr>
                    <w:t>n.rai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^</w:t>
        <w:tab/>
        <w:t>SPU 547392/2018/33/Schn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Státní pozemkový úřad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sídlo; Husinecká 1024/11a, 130 00 Praha 3 - Žižkov 3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01312774</w:t>
      </w:r>
    </w:p>
    <w:p>
      <w:pPr>
        <w:pStyle w:val="Style12"/>
        <w:tabs>
          <w:tab w:leader="none" w:pos="55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 01312774</w:t>
        <w:tab/>
        <w:t>^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který právně jedná Ing. Josef Jakeš vedoucí pobočky Český Krumlov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adresa; 5. května 287, Plešivec, 381 01 Český Krumlov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oprávnění vyplývajícího z platného Podpisového řádu Státního pozemkového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úřadu účinného ke dni právního jednání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Česká národní banka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 50016-3723001/0710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83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„propachtovatel") - na straně jedné -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310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Šumavská zemědělská společnost s.r.o. </w:t>
      </w:r>
      <w:r>
        <w:rPr>
          <w:rStyle w:val="CharStyle16"/>
          <w:b w:val="0"/>
          <w:bCs w:val="0"/>
        </w:rPr>
        <w:t xml:space="preserve">sídlo </w:t>
      </w:r>
      <w:r>
        <w:rPr>
          <w:rStyle w:val="CharStyle17"/>
          <w:b/>
          <w:bCs/>
        </w:rPr>
        <w:t xml:space="preserve">Hněvanov 24, 382 41 Kaplice </w:t>
      </w:r>
      <w:r>
        <w:rPr>
          <w:rStyle w:val="CharStyle16"/>
          <w:b w:val="0"/>
          <w:bCs w:val="0"/>
        </w:rPr>
        <w:t xml:space="preserve">IČO: </w:t>
      </w:r>
      <w:r>
        <w:rPr>
          <w:rStyle w:val="CharStyle18"/>
          <w:b/>
          <w:bCs/>
        </w:rPr>
        <w:t>49017497</w:t>
      </w:r>
      <w:bookmarkEnd w:id="0"/>
    </w:p>
    <w:p>
      <w:pPr>
        <w:pStyle w:val="Style7"/>
        <w:tabs>
          <w:tab w:leader="none" w:pos="37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4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zapsáno v obchodním rejstříku vedeném Krajským soudem v Č.Budějovicích, oddíl C, vložka 2909 osoba oprávněná jednat za právnickou osobu Ing, Ferdinand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Ritter,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Josef Fatura-jednatelé (dále jen „pachtýř")</w:t>
        <w:tab/>
        <w:t>•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73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na straně druhé -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30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podle ustanovení § 2332 a násl. zákona č. 89/2012 Sb., občanský zákoník, ve znění pozdějších předpisů (dále jen ,,NOZ“), tuto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503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PACHTOVNÍ SMLOUVU</w:t>
        <w:br/>
        <w:t>č. 144N18/33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513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52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je ve smyslu zákona č. 503/2012 Sb., o Státním pozemkovém úřadu a o změně některých souvisejících zákonů, ve znění pozdějších předpisů, příslušný hospodařit se zemědělskými pozemky specifikovanými v příloze č. 1 této smlouvy vedenými u Katastrálního úřadu pro Jihočeský kraj Katastrálního pracoviště Český Krumlov Příloha č. 1 je nedílnou součástí této smlouvy.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81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II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76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přenechává pachtýři pozemky uvedené v čl. I této smlouvy do užívání za účelem;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provozování zemědělské výroby. Dřeviny lze kácet jen s písemným souhlasem Státního pozemkového úřadu.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60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Cl.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Ill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57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povinen;</w:t>
      </w:r>
    </w:p>
    <w:p>
      <w:pPr>
        <w:pStyle w:val="Style12"/>
        <w:numPr>
          <w:ilvl w:val="0"/>
          <w:numId w:val="1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51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užívat pozemky řádně v souladu s jejich účelovým určením, hospodařit na něm(nich) způsobem založeným na střídání plodin a hnojení organickou hmotou ve dvou až čtyřletých cyklech podle fyzikálních vlastností půdy, způsobu hospodaření a nároků pěstovaných rostlin,</w:t>
      </w:r>
    </w:p>
    <w:p>
      <w:pPr>
        <w:pStyle w:val="Style12"/>
        <w:numPr>
          <w:ilvl w:val="0"/>
          <w:numId w:val="1"/>
        </w:numPr>
        <w:tabs>
          <w:tab w:leader="none" w:pos="369" w:val="left"/>
        </w:tabs>
        <w:widowControl w:val="0"/>
        <w:keepNext w:val="0"/>
        <w:keepLines w:val="0"/>
        <w:shd w:val="clear" w:color="auto" w:fill="auto"/>
        <w:bidi w:val="0"/>
        <w:spacing w:before="0" w:after="264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povinnosti vyplývající ze zákona č. 326/2004 Sb., o rostlinolékařské pěči a o změně některých souvisejících zákonů, ve znění pozdějších předpisů,</w:t>
      </w:r>
    </w:p>
    <w:p>
      <w:pPr>
        <w:pStyle w:val="Style12"/>
        <w:numPr>
          <w:ilvl w:val="0"/>
          <w:numId w:val="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12"/>
        <w:numPr>
          <w:ilvl w:val="0"/>
          <w:numId w:val="1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257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umožnit propachtovateli provádění kontroly k bodům a) až c) a vstupem na pozemky,</w:t>
      </w:r>
    </w:p>
    <w:p>
      <w:pPr>
        <w:pStyle w:val="Style12"/>
        <w:numPr>
          <w:ilvl w:val="0"/>
          <w:numId w:val="1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26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povinnosti vyplývající ze zákona č. 449/2001 Sb., o myslivosti, ve znění pozdějších předpisů,</w:t>
      </w:r>
    </w:p>
    <w:p>
      <w:pPr>
        <w:pStyle w:val="Style12"/>
        <w:numPr>
          <w:ilvl w:val="0"/>
          <w:numId w:val="1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253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12"/>
        <w:numPr>
          <w:ilvl w:val="0"/>
          <w:numId w:val="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12"/>
        <w:numPr>
          <w:ilvl w:val="0"/>
          <w:numId w:val="1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257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trpět věcná břemena, resp. služebnosti spojené s pozemky, jež jsou předmětem pachtu,</w:t>
      </w:r>
    </w:p>
    <w:p>
      <w:pPr>
        <w:pStyle w:val="Style12"/>
        <w:numPr>
          <w:ilvl w:val="0"/>
          <w:numId w:val="1"/>
        </w:numPr>
        <w:tabs>
          <w:tab w:leader="none" w:pos="379" w:val="left"/>
        </w:tabs>
        <w:widowControl w:val="0"/>
        <w:keepNext w:val="0"/>
        <w:keepLines w:val="0"/>
        <w:shd w:val="clear" w:color="auto" w:fill="auto"/>
        <w:bidi w:val="0"/>
        <w:spacing w:before="0" w:after="569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platit v souladu se zákonnou úpravou daň z nemovitých věcí za propachtované pozemky, jež jsou předmětem pachtu.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 w:line="5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IV</w:t>
      </w:r>
    </w:p>
    <w:p>
      <w:pPr>
        <w:pStyle w:val="Style12"/>
        <w:numPr>
          <w:ilvl w:val="0"/>
          <w:numId w:val="3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spacing w:before="0" w:after="0" w:line="5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Tato smlouva se uzavírá od </w:t>
      </w:r>
      <w:r>
        <w:rPr>
          <w:rStyle w:val="CharStyle24"/>
        </w:rPr>
        <w:t xml:space="preserve">20. 12. 2018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dobu neurčitou.</w:t>
      </w:r>
    </w:p>
    <w:p>
      <w:pPr>
        <w:pStyle w:val="Style12"/>
        <w:numPr>
          <w:ilvl w:val="0"/>
          <w:numId w:val="3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0" w:line="51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 vztah založený touto smlouvou lze ukončit dohodou nebo písemnou výpovědí.</w:t>
      </w:r>
    </w:p>
    <w:p>
      <w:pPr>
        <w:pStyle w:val="Style12"/>
        <w:numPr>
          <w:ilvl w:val="0"/>
          <w:numId w:val="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5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 lze v souladu s ustanovením § 2347 NOZ vypovědět v dvanáctiměsíční výpovědní době, a to vždy jen k 1. říjnu běžného roku.</w:t>
      </w:r>
    </w:p>
    <w:p>
      <w:pPr>
        <w:pStyle w:val="Style12"/>
        <w:numPr>
          <w:ilvl w:val="0"/>
          <w:numId w:val="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Stane-li se pachtýř ze zdravotních důvodů nezpůsobilý na pozemku hospodařit, má dle ustanovení § 2348 NOZ právo vypovědět pacht v tříměsíční výpovědní době.</w:t>
      </w:r>
    </w:p>
    <w:p>
      <w:pPr>
        <w:pStyle w:val="Style12"/>
        <w:numPr>
          <w:ilvl w:val="0"/>
          <w:numId w:val="3"/>
        </w:numPr>
        <w:tabs>
          <w:tab w:leader="none" w:pos="369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</w:t>
      </w:r>
    </w:p>
    <w:p>
      <w:pPr>
        <w:pStyle w:val="Style12"/>
        <w:numPr>
          <w:ilvl w:val="0"/>
          <w:numId w:val="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0" w:line="51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12"/>
        <w:numPr>
          <w:ilvl w:val="0"/>
          <w:numId w:val="5"/>
        </w:numPr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spacing w:before="0" w:after="0" w:line="51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27"/>
        </w:rPr>
        <w:t>ročně pozadu</w:t>
      </w:r>
      <w:r>
        <w:rPr>
          <w:rStyle w:val="CharStyle24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vždy k 1. 10. běžného roku.</w:t>
      </w:r>
    </w:p>
    <w:p>
      <w:pPr>
        <w:pStyle w:val="Style12"/>
        <w:numPr>
          <w:ilvl w:val="0"/>
          <w:numId w:val="5"/>
        </w:numPr>
        <w:tabs>
          <w:tab w:leader="none" w:pos="3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0"/>
        <w:ind w:left="0" w:right="34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Roční pachtovné se stanovuje dohodou ve výši </w:t>
      </w:r>
      <w:r>
        <w:rPr>
          <w:rStyle w:val="CharStyle24"/>
        </w:rPr>
        <w:t xml:space="preserve">500,- Kč </w:t>
      </w:r>
      <w:r>
        <w:rPr>
          <w:lang w:val="cs-CZ" w:eastAsia="cs-CZ" w:bidi="cs-CZ"/>
          <w:w w:val="100"/>
          <w:spacing w:val="0"/>
          <w:color w:val="000000"/>
          <w:position w:val="0"/>
        </w:rPr>
        <w:t>(slovy; pětsetkorun českých).</w:t>
      </w:r>
    </w:p>
    <w:p>
      <w:pPr>
        <w:pStyle w:val="Style12"/>
        <w:numPr>
          <w:ilvl w:val="0"/>
          <w:numId w:val="5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25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Pachtovné za období od účinnosti smlouvy do 30. 9. 2019 včetně činí 390,-Kč (slovy: třistadevadesátkorun českých) a bude uhrazeno k 1. 10. 2019</w:t>
      </w:r>
    </w:p>
    <w:p>
      <w:pPr>
        <w:pStyle w:val="Style12"/>
        <w:numPr>
          <w:ilvl w:val="0"/>
          <w:numId w:val="5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Pachtovné bude hrazeno převodem na účet propachtovatele vedený u České národní banky, </w:t>
      </w:r>
      <w:r>
        <w:rPr>
          <w:rStyle w:val="CharStyle24"/>
        </w:rPr>
        <w:t>číslo účtu 50016-3723001/0710, variabilní symbol 14411833.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64" w:line="259" w:lineRule="exact"/>
        <w:ind w:left="9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12"/>
        <w:numPr>
          <w:ilvl w:val="0"/>
          <w:numId w:val="5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2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Nedodrží-li pachtýř lhůtu pro úhradu pachtovného, je povinen podle ustanovení § 1970 NOZ zaplatit propachtovateli úrok z prodlení, a to na účet propachtovatele vedený u České národní banky, číslo účtu 180013-3723001/0710, variabilní symbol 14411833.</w:t>
      </w:r>
    </w:p>
    <w:p>
      <w:pPr>
        <w:pStyle w:val="Style12"/>
        <w:numPr>
          <w:ilvl w:val="0"/>
          <w:numId w:val="5"/>
        </w:numPr>
        <w:tabs>
          <w:tab w:leader="none" w:pos="364" w:val="left"/>
        </w:tabs>
        <w:widowControl w:val="0"/>
        <w:keepNext w:val="0"/>
        <w:keepLines w:val="0"/>
        <w:shd w:val="clear" w:color="auto" w:fill="auto"/>
        <w:bidi w:val="0"/>
        <w:spacing w:before="0" w:after="2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>
      <w:pPr>
        <w:pStyle w:val="Style12"/>
        <w:numPr>
          <w:ilvl w:val="0"/>
          <w:numId w:val="5"/>
        </w:numPr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spacing w:before="0" w:after="12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2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1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Základem pro výpočet zvýšeného pachtovného bude pachtovné sjednané před tímto zvýšením.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52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257" w:line="246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Cl. </w:t>
      </w:r>
      <w:r>
        <w:rPr>
          <w:rStyle w:val="CharStyle28"/>
          <w:b/>
          <w:bCs/>
        </w:rPr>
        <w:t>VI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2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jsou na propachtovaných pozemcích zřízena meliorační zařízení, pachtýř se zavazuje;</w:t>
      </w:r>
    </w:p>
    <w:p>
      <w:pPr>
        <w:pStyle w:val="Style12"/>
        <w:numPr>
          <w:ilvl w:val="0"/>
          <w:numId w:val="7"/>
        </w:numPr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46" w:lineRule="exact"/>
        <w:ind w:left="9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12"/>
        <w:numPr>
          <w:ilvl w:val="0"/>
          <w:numId w:val="7"/>
        </w:numPr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0" w:line="246" w:lineRule="exact"/>
        <w:ind w:left="9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53" w:line="246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VII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1) 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50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Vlil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71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oprávněn propachtované pozemky, některé z nich nebo jejich části propachtovat nebo dát do užívání třetí osobě jen s předchozím písemným souhlasem propachtovatele.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53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IX</w:t>
      </w:r>
    </w:p>
    <w:p>
      <w:pPr>
        <w:pStyle w:val="Style12"/>
        <w:numPr>
          <w:ilvl w:val="0"/>
          <w:numId w:val="9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2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ktéto smlouvě, a to na základě dohody smluvních stran, není-li touto smlouvou stanoveno jinak.</w:t>
      </w:r>
    </w:p>
    <w:p>
      <w:pPr>
        <w:pStyle w:val="Style12"/>
        <w:numPr>
          <w:ilvl w:val="0"/>
          <w:numId w:val="9"/>
        </w:numPr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spacing w:before="0" w:after="26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53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X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50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 dvou stejnopisech, z nichž každý má platnost originálu. Jeden stejnopis přebírá pachtýř a jeden je určen pro propachtovatele.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57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XI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6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smluvními stranami a účinnosti dnem uvedeným v Čl. IV této smlouvy.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257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XII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76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736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Českém Krumlově dne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81" w:line="226" w:lineRule="exact"/>
        <w:ind w:left="260" w:right="0"/>
      </w:pPr>
      <w:r>
        <w:pict>
          <v:shape id="_x0000_s1027" type="#_x0000_t202" style="position:absolute;margin-left:2.9pt;margin-top:1.pt;width:152.15pt;height:49.55pt;z-index:-125829375;mso-wrap-distance-left:5.pt;mso-wrap-distance-right:126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Ing.Josef Jakeš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461" w:lineRule="exact"/>
                    <w:ind w:left="80" w:right="0" w:firstLine="0"/>
                  </w:pPr>
                  <w:r>
                    <w:rPr>
                      <w:rStyle w:val="CharStyle8"/>
                    </w:rPr>
                    <w:t>vedoucí pobočky Čěský Krumlov</w:t>
                    <w:br/>
                    <w:t>propachtovatel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Šumavská zemědělská společnost s.r.o. zast.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1774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správnost; Božena Schnelzerová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840" w:right="0" w:firstLine="0"/>
        <w:sectPr>
          <w:footerReference w:type="default" r:id="rId5"/>
          <w:titlePg/>
          <w:footnotePr>
            <w:pos w:val="pageBottom"/>
            <w:numFmt w:val="decimal"/>
            <w:numRestart w:val="continuous"/>
          </w:footnotePr>
          <w:pgSz w:w="12082" w:h="16958"/>
          <w:pgMar w:top="945" w:left="1438" w:right="1371" w:bottom="168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</w:t>
      </w:r>
    </w:p>
    <w:tbl>
      <w:tblPr>
        <w:tblOverlap w:val="never"/>
        <w:tblLayout w:type="fixed"/>
        <w:jc w:val="center"/>
      </w:tblPr>
      <w:tblGrid>
        <w:gridCol w:w="1891"/>
        <w:gridCol w:w="802"/>
        <w:gridCol w:w="600"/>
        <w:gridCol w:w="806"/>
        <w:gridCol w:w="1733"/>
        <w:gridCol w:w="1502"/>
        <w:gridCol w:w="1118"/>
        <w:gridCol w:w="859"/>
        <w:gridCol w:w="1138"/>
      </w:tblGrid>
      <w:tr>
        <w:trPr>
          <w:trHeight w:val="518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60" w:right="0" w:firstLine="0"/>
            </w:pPr>
            <w:r>
              <w:rPr>
                <w:rStyle w:val="CharStyle32"/>
              </w:rPr>
              <w:t>Příloha pachtovní smlouvy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2"/>
              </w:rPr>
              <w:t>č. 144N18/33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Variabilní symbol: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33"/>
              </w:rPr>
              <w:t>14411833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3"/>
              </w:rPr>
              <w:t>Uzavřeno: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3"/>
              </w:rPr>
              <w:t>Roční pacht: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500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Datum tisku;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33"/>
              </w:rPr>
              <w:t>31.10.2018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3"/>
              </w:rPr>
              <w:t>Účinná od: 20.12.2018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Pachtýři: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Název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80" w:right="0" w:firstLine="0"/>
            </w:pPr>
            <w:r>
              <w:rPr>
                <w:rStyle w:val="CharStyle34"/>
              </w:rPr>
              <w:t>Adresa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33"/>
              </w:rPr>
              <w:t>Šumavská zemědělská společnost s.r.o.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33"/>
              </w:rPr>
              <w:t>Hněvanov 24,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38241 Kaplice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Nemovitosti: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Pozn. Parcela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/ Dii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Skp.</w:t>
            </w: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560" w:right="0" w:hanging="1560"/>
            </w:pPr>
            <w:r>
              <w:rPr>
                <w:rStyle w:val="CharStyle34"/>
              </w:rPr>
              <w:t>Kult. Číslo LV Typ sazby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Cena</w:t>
            </w:r>
          </w:p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[Kč]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200" w:firstLine="0"/>
            </w:pPr>
            <w:r>
              <w:rPr>
                <w:rStyle w:val="CharStyle34"/>
              </w:rPr>
              <w:t>Výměra</w:t>
            </w:r>
          </w:p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200" w:firstLine="0"/>
            </w:pPr>
            <w:r>
              <w:rPr>
                <w:rStyle w:val="CharStyle34"/>
              </w:rPr>
              <w:t>[ml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Pacht</w:t>
            </w:r>
          </w:p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[Kč]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9"/>
            <w:tcBorders>
              <w:top w:val="single" w:sz="4"/>
            </w:tcBorders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Katastr: Hněvanov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1258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33 000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9,15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tabs>
                <w:tab w:leader="none" w:pos="126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část</w:t>
              <w:tab/>
              <w:t>2324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33 000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0,22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3000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33 000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0,87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tabs>
                <w:tab w:leader="none" w:pos="126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část</w:t>
              <w:tab/>
              <w:t>3012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33 000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11,62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301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21,85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200" w:firstLine="0"/>
            </w:pPr>
            <w:r>
              <w:rPr>
                <w:rStyle w:val="CharStyle34"/>
              </w:rPr>
              <w:t>Katastr: Hrud kov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tabs>
                <w:tab w:leader="none" w:pos="127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část</w:t>
              <w:tab/>
              <w:t>1849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26 100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461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26,47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461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26,47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Katastr: Ostrov na Šumavě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tabs>
                <w:tab w:leader="none" w:pos="125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část</w:t>
              <w:tab/>
              <w:t>2228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22 100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215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10,45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215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10,45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34"/>
              </w:rPr>
              <w:t>Katastr: Rožmitál na Šumavě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80" w:firstLine="0"/>
            </w:pPr>
            <w:r>
              <w:rPr>
                <w:rStyle w:val="CharStyle33"/>
              </w:rPr>
              <w:t>1277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</w:rPr>
              <w:t>13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28 900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72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4,58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tabs>
                <w:tab w:leader="none" w:pos="127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část</w:t>
              <w:tab/>
              <w:t>1321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28 900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1 559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99,12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80" w:firstLine="0"/>
            </w:pPr>
            <w:r>
              <w:rPr>
                <w:rStyle w:val="CharStyle33"/>
              </w:rPr>
              <w:t>1321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</w:rPr>
              <w:t>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28 900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4,01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80" w:firstLine="0"/>
            </w:pPr>
            <w:r>
              <w:rPr>
                <w:rStyle w:val="CharStyle33"/>
              </w:rPr>
              <w:t>1321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28 900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1 067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67,84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tabs>
                <w:tab w:leader="none" w:pos="127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část</w:t>
              <w:tab/>
              <w:t>1321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</w:rPr>
              <w:t>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28 900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1,97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80" w:firstLine="0"/>
            </w:pPr>
            <w:r>
              <w:rPr>
                <w:rStyle w:val="CharStyle33"/>
              </w:rPr>
              <w:t>1350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28 900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147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9,35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80" w:firstLine="0"/>
            </w:pPr>
            <w:r>
              <w:rPr>
                <w:rStyle w:val="CharStyle33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33"/>
              </w:rPr>
              <w:t>2 939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104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186,86</w:t>
            </w:r>
          </w:p>
        </w:tc>
      </w:tr>
    </w:tbl>
    <w:p>
      <w:pPr>
        <w:framePr w:w="1045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pict>
          <v:shape id="_x0000_s1029" type="#_x0000_t202" style="position:absolute;margin-left:0.5pt;margin-top:575.5pt;width:133.9pt;height:34.6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40" w:line="246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Celkem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6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Minimální roční pachtovné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385.45pt;margin-top:576.pt;width:31.7pt;height:14.45pt;z-index:-125829373;mso-wrap-distance-left:5.pt;mso-wrap-distance-top:0.25pt;mso-wrap-distance-right:83.5pt;mso-wrap-distance-bottom:19.1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6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3 916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1" type="#_x0000_t202" style="position:absolute;margin-left:500.65pt;margin-top:575.75pt;width:23.05pt;height:14.7pt;z-index:-125829372;mso-wrap-distance-left:5.pt;mso-wrap-distance-right:5.pt;mso-wrap-distance-bottom:19.1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6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246</w:t>
                  </w:r>
                </w:p>
              </w:txbxContent>
            </v:textbox>
            <w10:wrap type="square" anchorx="margin"/>
          </v:shape>
        </w:pict>
      </w:r>
    </w:p>
    <w:p>
      <w:pPr>
        <w:widowControl w:val="0"/>
        <w:rPr>
          <w:sz w:val="2"/>
          <w:szCs w:val="2"/>
        </w:rPr>
        <w:sectPr>
          <w:footerReference w:type="default" r:id="rId6"/>
          <w:pgSz w:w="12010" w:h="16906"/>
          <w:pgMar w:top="711" w:left="545" w:right="1015" w:bottom="231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76" w:after="7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10" w:h="16906"/>
          <w:pgMar w:top="756" w:left="0" w:right="0" w:bottom="75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Vysvětlivky k typu sazby: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7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ha...za hektar jdn...za jednotku pc/ha...prCiměrná cena za hektar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m^...za m'"</w:t>
      </w:r>
    </w:p>
    <w:sectPr>
      <w:type w:val="continuous"/>
      <w:pgSz w:w="12010" w:h="16906"/>
      <w:pgMar w:top="756" w:left="545" w:right="1015" w:bottom="756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506.5pt;margin-top:799.65pt;width:12.95pt;height:7.4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"/>
                      <w:b/>
                      <w:bCs/>
                    </w:rPr>
                    <w:t>#</w:t>
                  </w:r>
                </w:fldSimple>
                <w:r>
                  <w:rPr>
                    <w:rStyle w:val="CharStyle23"/>
                    <w:b/>
                    <w:bCs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31.75pt;margin-top:637.35pt;width:15.6pt;height:7.4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500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0"/>
    </w:rPr>
  </w:style>
  <w:style w:type="character" w:customStyle="1" w:styleId="CharStyle6">
    <w:name w:val="Char Style 6 Exact"/>
    <w:basedOn w:val="CharStyle5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8">
    <w:name w:val="Char Style 8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9">
    <w:name w:val="Char Style 9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6">
    <w:name w:val="Char Style 16"/>
    <w:basedOn w:val="CharStyle15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7">
    <w:name w:val="Char Style 17"/>
    <w:basedOn w:val="CharStyle15"/>
    <w:rPr>
      <w:lang w:val="cs-CZ" w:eastAsia="cs-CZ" w:bidi="cs-CZ"/>
      <w:sz w:val="28"/>
      <w:szCs w:val="28"/>
      <w:w w:val="100"/>
      <w:spacing w:val="0"/>
      <w:color w:val="000000"/>
      <w:position w:val="0"/>
    </w:rPr>
  </w:style>
  <w:style w:type="character" w:customStyle="1" w:styleId="CharStyle18">
    <w:name w:val="Char Style 18"/>
    <w:basedOn w:val="CharStyle15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22">
    <w:name w:val="Char Style 22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3">
    <w:name w:val="Char Style 23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4">
    <w:name w:val="Char Style 24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6">
    <w:name w:val="Char Style 26"/>
    <w:basedOn w:val="DefaultParagraphFont"/>
    <w:link w:val="Style2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7">
    <w:name w:val="Char Style 27"/>
    <w:basedOn w:val="CharStyle13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character" w:customStyle="1" w:styleId="CharStyle28">
    <w:name w:val="Char Style 28"/>
    <w:basedOn w:val="CharStyle26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/>
      <w:iCs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31">
    <w:name w:val="Char Style 31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2">
    <w:name w:val="Char Style 32"/>
    <w:basedOn w:val="CharStyle13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3">
    <w:name w:val="Char Style 33"/>
    <w:basedOn w:val="CharStyle13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34">
    <w:name w:val="Char Style 34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11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0"/>
    </w:rPr>
  </w:style>
  <w:style w:type="paragraph" w:customStyle="1" w:styleId="Style7">
    <w:name w:val="Style 7"/>
    <w:basedOn w:val="Normal"/>
    <w:link w:val="CharStyle9"/>
    <w:pPr>
      <w:widowControl w:val="0"/>
      <w:shd w:val="clear" w:color="auto" w:fill="FFFFFF"/>
      <w:jc w:val="both"/>
      <w:spacing w:line="200" w:lineRule="exact"/>
      <w:ind w:hanging="26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jc w:val="both"/>
      <w:spacing w:line="25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both"/>
      <w:spacing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outlineLvl w:val="1"/>
      <w:spacing w:before="880" w:line="312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center"/>
      <w:outlineLvl w:val="0"/>
      <w:spacing w:before="400" w:after="400" w:line="374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jc w:val="center"/>
      <w:spacing w:line="51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line="283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