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014B4F">
        <w:rPr>
          <w:sz w:val="24"/>
          <w:szCs w:val="24"/>
        </w:rPr>
        <w:t xml:space="preserve"> </w:t>
      </w:r>
      <w:r w:rsidR="002D030C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75124F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75124F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DF36D1">
        <w:rPr>
          <w:b/>
          <w:sz w:val="24"/>
          <w:szCs w:val="24"/>
        </w:rPr>
        <w:t xml:space="preserve">provozní výdaje (na </w:t>
      </w:r>
      <w:r w:rsidR="007E532C">
        <w:rPr>
          <w:b/>
          <w:sz w:val="24"/>
          <w:szCs w:val="24"/>
        </w:rPr>
        <w:t>č</w:t>
      </w:r>
      <w:r w:rsidR="00A03B91">
        <w:rPr>
          <w:b/>
          <w:sz w:val="24"/>
          <w:szCs w:val="24"/>
        </w:rPr>
        <w:t>innost</w:t>
      </w:r>
      <w:r w:rsidR="00DF36D1">
        <w:rPr>
          <w:b/>
          <w:sz w:val="24"/>
          <w:szCs w:val="24"/>
        </w:rPr>
        <w:t>)</w:t>
      </w:r>
      <w:r w:rsidR="00A03B91">
        <w:rPr>
          <w:b/>
          <w:sz w:val="24"/>
          <w:szCs w:val="24"/>
        </w:rPr>
        <w:t xml:space="preserve"> 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16214A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F85F67" w:rsidP="0064272D">
      <w:pPr>
        <w:rPr>
          <w:b/>
        </w:rPr>
      </w:pPr>
      <w:r>
        <w:rPr>
          <w:b/>
        </w:rPr>
        <w:t>Kultura města Mladá Boleslav a.s.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F85F67">
        <w:t>akciová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F85F67">
        <w:t>Dukelská 1093</w:t>
      </w:r>
      <w:r w:rsidRPr="00AE73BE">
        <w:t xml:space="preserve">, </w:t>
      </w:r>
      <w:r w:rsidR="00F85F67">
        <w:t xml:space="preserve">Mladá Boleslav, </w:t>
      </w:r>
      <w:r w:rsidRPr="00AE73BE">
        <w:t xml:space="preserve">PSČ </w:t>
      </w:r>
      <w:r w:rsidR="00F85F67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F85F67">
        <w:t>28166426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0658D4" w:rsidRDefault="0064272D" w:rsidP="0064272D">
      <w:pPr>
        <w:pStyle w:val="Zkladntext"/>
        <w:spacing w:after="0"/>
      </w:pPr>
      <w:r>
        <w:t>Zastoupen</w:t>
      </w:r>
      <w:r w:rsidR="00F85F67">
        <w:t>á</w:t>
      </w:r>
      <w:r>
        <w:t xml:space="preserve">: </w:t>
      </w:r>
      <w:r w:rsidR="00F85F67">
        <w:t>Milanem Prunerem</w:t>
      </w:r>
      <w:r w:rsidR="001C07F5">
        <w:t>, předsedou představenstva</w:t>
      </w:r>
    </w:p>
    <w:p w:rsidR="0064272D" w:rsidRDefault="000658D4" w:rsidP="0064272D">
      <w:pPr>
        <w:pStyle w:val="Zkladntext"/>
        <w:spacing w:after="0"/>
      </w:pPr>
      <w:r>
        <w:t xml:space="preserve">                     </w:t>
      </w:r>
      <w:r w:rsidR="00DF36D1">
        <w:t>Davidem Ciglerem</w:t>
      </w:r>
      <w:r w:rsidR="001C07F5">
        <w:t>, členem představenstva</w:t>
      </w:r>
      <w:r w:rsidR="0064272D">
        <w:tab/>
      </w:r>
      <w:r w:rsidR="0064272D">
        <w:tab/>
      </w:r>
      <w:r w:rsidR="0064272D">
        <w:tab/>
      </w:r>
      <w:r w:rsidR="0064272D">
        <w:tab/>
      </w:r>
      <w:r w:rsidR="0064272D"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F85F67">
        <w:t xml:space="preserve"> </w:t>
      </w:r>
      <w:r w:rsidR="0016214A">
        <w:t>xxxxx</w:t>
      </w:r>
      <w:r>
        <w:t xml:space="preserve"> 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16214A">
        <w:t>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16214A">
        <w:t>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</w:t>
      </w:r>
      <w:r w:rsidR="0051427C">
        <w:t>jiné provozováním kulturních a kulturně – vzdělávacích akcí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51427C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51427C">
        <w:rPr>
          <w:sz w:val="18"/>
          <w:szCs w:val="18"/>
        </w:rPr>
        <w:t>2, písm. b)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75124F">
        <w:t>7</w:t>
      </w:r>
      <w:r>
        <w:t xml:space="preserve"> finanční prostředky ve výši </w:t>
      </w:r>
      <w:r w:rsidR="0051427C" w:rsidRPr="0051427C">
        <w:rPr>
          <w:b/>
        </w:rPr>
        <w:t>10.</w:t>
      </w:r>
      <w:r w:rsidR="00072AA8">
        <w:rPr>
          <w:b/>
        </w:rPr>
        <w:t>35</w:t>
      </w:r>
      <w:r w:rsidR="00014B4F">
        <w:rPr>
          <w:b/>
        </w:rPr>
        <w:t>0</w:t>
      </w:r>
      <w:r w:rsidR="0051427C" w:rsidRPr="0051427C">
        <w:rPr>
          <w:b/>
        </w:rPr>
        <w:t>.</w:t>
      </w:r>
      <w:r w:rsidR="00014B4F">
        <w:rPr>
          <w:b/>
        </w:rPr>
        <w:t>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51427C">
        <w:t>deset milionů</w:t>
      </w:r>
      <w:r>
        <w:t xml:space="preserve"> </w:t>
      </w:r>
      <w:r w:rsidR="00295E96">
        <w:t xml:space="preserve"> </w:t>
      </w:r>
      <w:r w:rsidR="00072AA8">
        <w:t xml:space="preserve">tři sta padesát tisíc </w:t>
      </w:r>
      <w:r>
        <w:t>korun českých) jako neinvestiční dotaci pro rok 201</w:t>
      </w:r>
      <w:r w:rsidR="0075124F">
        <w:t>7</w:t>
      </w:r>
      <w:r>
        <w:t xml:space="preserve"> </w:t>
      </w:r>
      <w:r w:rsidRPr="003446F7">
        <w:rPr>
          <w:b/>
        </w:rPr>
        <w:t xml:space="preserve">na </w:t>
      </w:r>
      <w:r w:rsidR="00DF36D1">
        <w:rPr>
          <w:b/>
        </w:rPr>
        <w:t xml:space="preserve">provozní výdaje (na </w:t>
      </w:r>
      <w:r w:rsidR="00245BE7">
        <w:rPr>
          <w:b/>
        </w:rPr>
        <w:t>činnost</w:t>
      </w:r>
      <w:r w:rsidR="00DF36D1">
        <w:rPr>
          <w:b/>
        </w:rPr>
        <w:t>)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Dotaci  nelze  použít  na  úhradu  investičních  výdajů,  </w:t>
      </w:r>
      <w:r w:rsidRPr="00B66AB8">
        <w:t xml:space="preserve">pohoštění, stravné, peněžní dary,  pořízení </w:t>
      </w:r>
      <w:r w:rsidR="0075124F">
        <w:t xml:space="preserve">                </w:t>
      </w:r>
      <w:r w:rsidRPr="00B66AB8">
        <w:t>a</w:t>
      </w:r>
      <w:r>
        <w:t xml:space="preserve">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725438">
        <w:t>je poskytována</w:t>
      </w:r>
      <w:r>
        <w:t xml:space="preserve"> na období kalendářního roku </w:t>
      </w:r>
      <w:r w:rsidR="00725438">
        <w:t>201</w:t>
      </w:r>
      <w:r w:rsidR="0075124F">
        <w:t>7</w:t>
      </w:r>
      <w:r w:rsidR="00725438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3A5FF5">
        <w:rPr>
          <w:b/>
        </w:rPr>
        <w:t>20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75124F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072AA8">
        <w:rPr>
          <w:b/>
        </w:rPr>
        <w:t>2</w:t>
      </w:r>
      <w:r w:rsidR="003A5FF5">
        <w:rPr>
          <w:b/>
        </w:rPr>
        <w:t>7</w:t>
      </w:r>
      <w:r w:rsidRPr="00E1530C">
        <w:rPr>
          <w:b/>
        </w:rPr>
        <w:t>. 12. 201</w:t>
      </w:r>
      <w:r w:rsidR="0075124F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75124F">
        <w:t xml:space="preserve"> 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75124F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75124F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75124F" w:rsidRPr="00F867DC" w:rsidRDefault="0075124F" w:rsidP="0075124F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75124F" w:rsidRPr="00F867DC" w:rsidRDefault="0075124F" w:rsidP="0075124F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75124F" w:rsidRPr="00F867DC" w:rsidRDefault="0075124F" w:rsidP="0075124F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51427C">
        <w:t>Milan Pruner</w:t>
      </w:r>
    </w:p>
    <w:p w:rsidR="000658D4" w:rsidRDefault="000658D4" w:rsidP="0064272D">
      <w:pPr>
        <w:pStyle w:val="Zkladntext"/>
      </w:pPr>
    </w:p>
    <w:p w:rsidR="000658D4" w:rsidRDefault="000658D4" w:rsidP="0064272D">
      <w:pPr>
        <w:pStyle w:val="Zkladntext"/>
      </w:pPr>
    </w:p>
    <w:p w:rsidR="000658D4" w:rsidRDefault="000658D4" w:rsidP="0064272D">
      <w:pPr>
        <w:pStyle w:val="Zkladntext"/>
      </w:pPr>
    </w:p>
    <w:p w:rsidR="000658D4" w:rsidRDefault="000658D4" w:rsidP="0064272D">
      <w:pPr>
        <w:pStyle w:val="Zkladntext"/>
      </w:pPr>
    </w:p>
    <w:p w:rsidR="000658D4" w:rsidRDefault="000658D4" w:rsidP="0064272D">
      <w:pPr>
        <w:pStyle w:val="Zkladntext"/>
      </w:pPr>
    </w:p>
    <w:p w:rsidR="000658D4" w:rsidRDefault="000658D4" w:rsidP="0064272D">
      <w:pPr>
        <w:pStyle w:val="Zkladntext"/>
      </w:pPr>
      <w:r>
        <w:t xml:space="preserve">                                                                                                                    ..…………………………………</w:t>
      </w:r>
    </w:p>
    <w:p w:rsidR="000658D4" w:rsidRDefault="000658D4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  <w:r w:rsidR="00DF36D1">
        <w:t xml:space="preserve"> David Cigler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B57F69">
      <w:pPr>
        <w:pStyle w:val="Zkladntext"/>
        <w:jc w:val="both"/>
      </w:pPr>
      <w:r>
        <w:t>T</w:t>
      </w:r>
      <w:r w:rsidR="0075124F">
        <w:t>ot</w:t>
      </w:r>
      <w:r>
        <w:t xml:space="preserve">o právní </w:t>
      </w:r>
      <w:r w:rsidR="0075124F">
        <w:t>jednání</w:t>
      </w:r>
      <w:r>
        <w:t xml:space="preserve"> statutárního města Mladá Boleslav byl</w:t>
      </w:r>
      <w:r w:rsidR="0075124F">
        <w:t>o</w:t>
      </w:r>
      <w:r>
        <w:t xml:space="preserve"> v souladu s ustanovením § </w:t>
      </w:r>
      <w:r w:rsidR="0051427C">
        <w:t>84</w:t>
      </w:r>
      <w:r>
        <w:t xml:space="preserve"> odst.</w:t>
      </w:r>
      <w:r w:rsidR="00BD2B74">
        <w:t xml:space="preserve"> </w:t>
      </w:r>
      <w:r w:rsidR="0051427C">
        <w:t>2,</w:t>
      </w:r>
      <w:r w:rsidR="00BD2B74">
        <w:t xml:space="preserve"> </w:t>
      </w:r>
      <w:r w:rsidR="0051427C">
        <w:t>písm. b)</w:t>
      </w:r>
      <w:r>
        <w:t xml:space="preserve"> zákona o obcích schválen</w:t>
      </w:r>
      <w:r w:rsidR="0075124F">
        <w:t>o</w:t>
      </w:r>
      <w:r>
        <w:t xml:space="preserve"> </w:t>
      </w:r>
      <w:r w:rsidR="0051427C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2D030C">
        <w:t xml:space="preserve"> 2968 písmeno e) </w:t>
      </w:r>
      <w:r w:rsidRPr="00014B4F">
        <w:t>ze dne</w:t>
      </w:r>
      <w:r w:rsidR="002D030C">
        <w:t xml:space="preserve">         26. ledna</w:t>
      </w:r>
      <w:r w:rsidR="00BD2B74" w:rsidRPr="00014B4F">
        <w:t xml:space="preserve"> </w:t>
      </w:r>
      <w:r w:rsidR="0051427C" w:rsidRPr="00014B4F">
        <w:t>201</w:t>
      </w:r>
      <w:r w:rsidR="0075124F">
        <w:t>7 a usnesením č</w:t>
      </w:r>
      <w:r w:rsidR="002D030C">
        <w:t xml:space="preserve">. 2989 </w:t>
      </w:r>
      <w:r w:rsidR="0075124F">
        <w:t>ze dne</w:t>
      </w:r>
      <w:r w:rsidR="002D030C">
        <w:t xml:space="preserve"> 26. ledna </w:t>
      </w:r>
      <w:r w:rsidR="0075124F">
        <w:t>2017.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0D" w:rsidRDefault="001C470D">
      <w:r>
        <w:separator/>
      </w:r>
    </w:p>
  </w:endnote>
  <w:endnote w:type="continuationSeparator" w:id="0">
    <w:p w:rsidR="001C470D" w:rsidRDefault="001C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F7F3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F7F3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0D" w:rsidRDefault="001C470D">
      <w:r>
        <w:separator/>
      </w:r>
    </w:p>
  </w:footnote>
  <w:footnote w:type="continuationSeparator" w:id="0">
    <w:p w:rsidR="001C470D" w:rsidRDefault="001C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4B4F"/>
    <w:rsid w:val="000157E5"/>
    <w:rsid w:val="000658D4"/>
    <w:rsid w:val="00072AA8"/>
    <w:rsid w:val="000B1743"/>
    <w:rsid w:val="0016214A"/>
    <w:rsid w:val="001C07F5"/>
    <w:rsid w:val="001C470D"/>
    <w:rsid w:val="00244819"/>
    <w:rsid w:val="00245BE7"/>
    <w:rsid w:val="00295E96"/>
    <w:rsid w:val="002A694C"/>
    <w:rsid w:val="002D030C"/>
    <w:rsid w:val="002F7B6D"/>
    <w:rsid w:val="003A5FF5"/>
    <w:rsid w:val="003C2AE6"/>
    <w:rsid w:val="00460829"/>
    <w:rsid w:val="004F7F34"/>
    <w:rsid w:val="0051427C"/>
    <w:rsid w:val="00612665"/>
    <w:rsid w:val="0064272D"/>
    <w:rsid w:val="00682DF1"/>
    <w:rsid w:val="006927DF"/>
    <w:rsid w:val="00725438"/>
    <w:rsid w:val="0075124F"/>
    <w:rsid w:val="00757569"/>
    <w:rsid w:val="007A22E7"/>
    <w:rsid w:val="007B5BA9"/>
    <w:rsid w:val="007E532C"/>
    <w:rsid w:val="009E5C51"/>
    <w:rsid w:val="00A03B91"/>
    <w:rsid w:val="00AD75C7"/>
    <w:rsid w:val="00B22FF9"/>
    <w:rsid w:val="00B4459D"/>
    <w:rsid w:val="00B57F69"/>
    <w:rsid w:val="00BD2B74"/>
    <w:rsid w:val="00C656A0"/>
    <w:rsid w:val="00CE7C4C"/>
    <w:rsid w:val="00DF36D1"/>
    <w:rsid w:val="00F03BB3"/>
    <w:rsid w:val="00F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44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81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244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8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BAED-E6A7-4C60-8F7A-0AD99016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2017-01-30T14:40:00Z</cp:lastPrinted>
  <dcterms:created xsi:type="dcterms:W3CDTF">2017-02-09T09:39:00Z</dcterms:created>
  <dcterms:modified xsi:type="dcterms:W3CDTF">2017-02-09T09:39:00Z</dcterms:modified>
</cp:coreProperties>
</file>