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A2" w:rsidRDefault="00CC0138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-558800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B352E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B352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UT-02268/2017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B352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UT-19588/2016/02</w:t>
                            </w:r>
                          </w:p>
                          <w:p w:rsidR="00D523A3" w:rsidRPr="00D523A3" w:rsidRDefault="00B352E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4.45pt;margin-top:-44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ExeBbH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B352E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B352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UT-02268/2017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zn.: </w:t>
                      </w:r>
                      <w:r w:rsidR="00B352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UT-19588/2016/02</w:t>
                      </w:r>
                    </w:p>
                    <w:p w:rsidR="00D523A3" w:rsidRPr="00D523A3" w:rsidRDefault="00B352E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3A3">
        <w:t>s</w:t>
      </w:r>
    </w:p>
    <w:p w:rsidR="001C48A2" w:rsidRDefault="001C48A2" w:rsidP="001C48A2"/>
    <w:p w:rsidR="001C48A2" w:rsidRPr="001C48A2" w:rsidRDefault="001C48A2" w:rsidP="001C48A2">
      <w:pPr>
        <w:pStyle w:val="Nadpis1"/>
        <w:jc w:val="center"/>
        <w:rPr>
          <w:sz w:val="24"/>
          <w:szCs w:val="24"/>
        </w:rPr>
      </w:pPr>
      <w:r w:rsidRPr="0078414D">
        <w:rPr>
          <w:rFonts w:ascii="Bookman Old Style" w:hAnsi="Bookman Old Style"/>
          <w:b/>
          <w:bCs/>
          <w:sz w:val="24"/>
          <w:szCs w:val="26"/>
        </w:rPr>
        <w:t xml:space="preserve">D O D A T E K č. </w:t>
      </w:r>
      <w:r>
        <w:rPr>
          <w:rFonts w:ascii="Bookman Old Style" w:hAnsi="Bookman Old Style"/>
          <w:b/>
          <w:bCs/>
          <w:sz w:val="24"/>
          <w:szCs w:val="26"/>
        </w:rPr>
        <w:t>1</w:t>
      </w:r>
      <w:r w:rsidRPr="0078414D">
        <w:rPr>
          <w:sz w:val="24"/>
          <w:szCs w:val="24"/>
        </w:rPr>
        <w:t xml:space="preserve"> </w:t>
      </w:r>
    </w:p>
    <w:p w:rsidR="001C48A2" w:rsidRPr="0078414D" w:rsidRDefault="001C48A2" w:rsidP="001C48A2">
      <w:pPr>
        <w:spacing w:after="0" w:line="240" w:lineRule="auto"/>
        <w:jc w:val="center"/>
        <w:rPr>
          <w:rFonts w:ascii="Bookman Old Style" w:hAnsi="Bookman Old Style"/>
          <w:b/>
        </w:rPr>
      </w:pPr>
      <w:r w:rsidRPr="0078414D">
        <w:rPr>
          <w:rFonts w:ascii="Bookman Old Style" w:hAnsi="Bookman Old Style"/>
          <w:b/>
        </w:rPr>
        <w:t>ke Smlouvě o poskytování právního poradenství</w:t>
      </w:r>
    </w:p>
    <w:p w:rsidR="001C48A2" w:rsidRPr="001543D2" w:rsidRDefault="001C48A2" w:rsidP="001C48A2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1C48A2" w:rsidRDefault="001C48A2" w:rsidP="001C48A2">
      <w:pPr>
        <w:spacing w:line="240" w:lineRule="auto"/>
        <w:jc w:val="center"/>
        <w:rPr>
          <w:rFonts w:ascii="Bookman Old Style" w:hAnsi="Bookman Old Style" w:cs="Times"/>
        </w:rPr>
      </w:pPr>
      <w:r w:rsidRPr="0078414D">
        <w:rPr>
          <w:rFonts w:ascii="Bookman Old Style" w:hAnsi="Bookman Old Style" w:cs="Times"/>
        </w:rPr>
        <w:t>Dnešního dne, měsíce a roku, smluvní strany:</w:t>
      </w:r>
    </w:p>
    <w:p w:rsidR="001C48A2" w:rsidRPr="001C48A2" w:rsidRDefault="001C48A2" w:rsidP="001C48A2">
      <w:pPr>
        <w:spacing w:line="240" w:lineRule="auto"/>
        <w:jc w:val="center"/>
        <w:rPr>
          <w:rFonts w:ascii="Bookman Old Style" w:hAnsi="Bookman Old Style" w:cs="Times"/>
        </w:rPr>
      </w:pPr>
    </w:p>
    <w:p w:rsidR="001C48A2" w:rsidRPr="001C48A2" w:rsidRDefault="001C48A2" w:rsidP="001C48A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1C48A2">
        <w:rPr>
          <w:rFonts w:ascii="Bookman Old Style" w:hAnsi="Bookman Old Style"/>
          <w:b/>
          <w:sz w:val="24"/>
        </w:rPr>
        <w:t xml:space="preserve">Česká republika – Správa uprchlických zařízení Ministerstva vnitra </w:t>
      </w:r>
    </w:p>
    <w:p w:rsidR="001C48A2" w:rsidRPr="0078414D" w:rsidRDefault="001C48A2" w:rsidP="001C48A2">
      <w:pPr>
        <w:spacing w:after="0" w:line="240" w:lineRule="auto"/>
        <w:jc w:val="center"/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 xml:space="preserve">se sídlem Lhotecká 7, 143 01 Praha 12, doruč. adresa P.O. BOX 110, 143 00 Praha 4, IČ: 604 98 021, </w:t>
      </w:r>
    </w:p>
    <w:p w:rsidR="001C48A2" w:rsidRPr="0078414D" w:rsidRDefault="001C48A2" w:rsidP="001C48A2">
      <w:pPr>
        <w:spacing w:after="0" w:line="240" w:lineRule="auto"/>
        <w:jc w:val="center"/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 xml:space="preserve">zastoupená ředitelem Mgr. </w:t>
      </w:r>
      <w:r>
        <w:rPr>
          <w:rFonts w:ascii="Bookman Old Style" w:hAnsi="Bookman Old Style"/>
        </w:rPr>
        <w:t xml:space="preserve">et Mgr. Pavlem </w:t>
      </w:r>
      <w:proofErr w:type="spellStart"/>
      <w:r>
        <w:rPr>
          <w:rFonts w:ascii="Bookman Old Style" w:hAnsi="Bookman Old Style"/>
        </w:rPr>
        <w:t>Bacíkem</w:t>
      </w:r>
      <w:proofErr w:type="spellEnd"/>
    </w:p>
    <w:p w:rsidR="001C48A2" w:rsidRPr="0078414D" w:rsidRDefault="001C48A2" w:rsidP="001C48A2">
      <w:pPr>
        <w:spacing w:after="0" w:line="240" w:lineRule="auto"/>
        <w:jc w:val="center"/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 xml:space="preserve"> (dále jen „</w:t>
      </w:r>
      <w:r w:rsidRPr="0078414D">
        <w:rPr>
          <w:rFonts w:ascii="Bookman Old Style" w:hAnsi="Bookman Old Style"/>
          <w:b/>
          <w:i/>
        </w:rPr>
        <w:t>objednatel</w:t>
      </w:r>
      <w:r w:rsidRPr="0078414D">
        <w:rPr>
          <w:rFonts w:ascii="Bookman Old Style" w:hAnsi="Bookman Old Style"/>
        </w:rPr>
        <w:t>“)</w:t>
      </w:r>
    </w:p>
    <w:p w:rsidR="001C48A2" w:rsidRPr="0078414D" w:rsidRDefault="001C48A2" w:rsidP="001C48A2">
      <w:pPr>
        <w:spacing w:after="0" w:line="240" w:lineRule="auto"/>
        <w:jc w:val="both"/>
        <w:rPr>
          <w:rFonts w:ascii="Bookman Old Style" w:hAnsi="Bookman Old Style"/>
        </w:rPr>
      </w:pPr>
    </w:p>
    <w:p w:rsidR="001C48A2" w:rsidRDefault="001C48A2" w:rsidP="001C48A2">
      <w:pPr>
        <w:jc w:val="center"/>
        <w:rPr>
          <w:rFonts w:ascii="Bookman Old Style" w:hAnsi="Bookman Old Style"/>
        </w:rPr>
      </w:pPr>
      <w:r w:rsidRPr="002B2F73">
        <w:rPr>
          <w:rFonts w:ascii="Bookman Old Style" w:hAnsi="Bookman Old Style"/>
        </w:rPr>
        <w:t>a</w:t>
      </w:r>
    </w:p>
    <w:p w:rsidR="001C48A2" w:rsidRPr="001C48A2" w:rsidRDefault="001C48A2" w:rsidP="001C48A2">
      <w:pPr>
        <w:spacing w:after="0"/>
        <w:jc w:val="center"/>
        <w:rPr>
          <w:rFonts w:ascii="Bookman Old Style" w:hAnsi="Bookman Old Style"/>
          <w:b/>
          <w:sz w:val="24"/>
        </w:rPr>
      </w:pPr>
      <w:r w:rsidRPr="001C48A2">
        <w:rPr>
          <w:rFonts w:ascii="Bookman Old Style" w:hAnsi="Bookman Old Style"/>
          <w:b/>
          <w:sz w:val="24"/>
        </w:rPr>
        <w:t>Mgr. Narcis Tomášek, advokát</w:t>
      </w:r>
    </w:p>
    <w:p w:rsidR="001C48A2" w:rsidRPr="001C48A2" w:rsidRDefault="001C48A2" w:rsidP="001C48A2">
      <w:pPr>
        <w:spacing w:after="0"/>
        <w:jc w:val="center"/>
        <w:rPr>
          <w:rFonts w:ascii="Bookman Old Style" w:hAnsi="Bookman Old Style"/>
          <w:bCs/>
        </w:rPr>
      </w:pPr>
      <w:r w:rsidRPr="00F4129D">
        <w:rPr>
          <w:rFonts w:ascii="Bookman Old Style" w:hAnsi="Bookman Old Style"/>
        </w:rPr>
        <w:t>se sídlem</w:t>
      </w:r>
      <w:r w:rsidRPr="00F4129D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U Starého mostu 111/4, Děčín</w:t>
      </w:r>
      <w:r w:rsidRPr="00F4129D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405 02</w:t>
      </w:r>
      <w:r w:rsidRPr="00F4129D">
        <w:rPr>
          <w:rFonts w:ascii="Bookman Old Style" w:hAnsi="Bookman Old Style"/>
          <w:bCs/>
        </w:rPr>
        <w:t xml:space="preserve">, IČ: </w:t>
      </w:r>
      <w:r>
        <w:rPr>
          <w:rFonts w:ascii="Bookman Old Style" w:hAnsi="Bookman Old Style"/>
          <w:bCs/>
        </w:rPr>
        <w:t>66201624</w:t>
      </w:r>
      <w:r w:rsidRPr="00F4129D">
        <w:rPr>
          <w:rFonts w:ascii="Bookman Old Style" w:hAnsi="Bookman Old Style"/>
          <w:bCs/>
        </w:rPr>
        <w:t xml:space="preserve">, </w:t>
      </w:r>
      <w:r>
        <w:rPr>
          <w:rFonts w:ascii="Bookman Old Style" w:hAnsi="Bookman Old Style"/>
          <w:bCs/>
        </w:rPr>
        <w:br/>
      </w:r>
      <w:r w:rsidRPr="00F4129D">
        <w:rPr>
          <w:rFonts w:ascii="Bookman Old Style" w:hAnsi="Bookman Old Style"/>
          <w:bCs/>
        </w:rPr>
        <w:t xml:space="preserve">DIČ: </w:t>
      </w:r>
      <w:r>
        <w:rPr>
          <w:rFonts w:ascii="Bookman Old Style" w:hAnsi="Bookman Old Style"/>
          <w:bCs/>
        </w:rPr>
        <w:t xml:space="preserve">CZ5911261411, </w:t>
      </w:r>
      <w:proofErr w:type="spellStart"/>
      <w:r w:rsidRPr="00F4129D">
        <w:rPr>
          <w:rFonts w:ascii="Bookman Old Style" w:hAnsi="Bookman Old Style"/>
          <w:bCs/>
        </w:rPr>
        <w:t>č.ú</w:t>
      </w:r>
      <w:proofErr w:type="spellEnd"/>
      <w:r>
        <w:rPr>
          <w:rFonts w:ascii="Bookman Old Style" w:hAnsi="Bookman Old Style"/>
          <w:bCs/>
        </w:rPr>
        <w:t>.: 78 - 5200640267/0100</w:t>
      </w:r>
    </w:p>
    <w:p w:rsidR="001C48A2" w:rsidRPr="00F4129D" w:rsidRDefault="001C48A2" w:rsidP="001C48A2">
      <w:pPr>
        <w:spacing w:after="0"/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zastoupená </w:t>
      </w:r>
      <w:r>
        <w:rPr>
          <w:rFonts w:ascii="Bookman Old Style" w:hAnsi="Bookman Old Style"/>
        </w:rPr>
        <w:t xml:space="preserve">Mgr. Narcisem Tomáškem </w:t>
      </w:r>
    </w:p>
    <w:p w:rsidR="001C48A2" w:rsidRPr="00F4129D" w:rsidRDefault="001C48A2" w:rsidP="001C48A2">
      <w:pPr>
        <w:spacing w:after="0"/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(dále jen „</w:t>
      </w:r>
      <w:r w:rsidRPr="00F4129D">
        <w:rPr>
          <w:rFonts w:ascii="Bookman Old Style" w:hAnsi="Bookman Old Style"/>
          <w:b/>
          <w:i/>
        </w:rPr>
        <w:t>poskytovatel</w:t>
      </w:r>
      <w:r w:rsidRPr="00F4129D">
        <w:rPr>
          <w:rFonts w:ascii="Bookman Old Style" w:hAnsi="Bookman Old Style"/>
        </w:rPr>
        <w:t>“)</w:t>
      </w:r>
    </w:p>
    <w:p w:rsidR="001C48A2" w:rsidRPr="00814FE3" w:rsidRDefault="001C48A2" w:rsidP="001C48A2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1C48A2" w:rsidRPr="0078414D" w:rsidRDefault="001C48A2" w:rsidP="001C48A2">
      <w:pPr>
        <w:spacing w:after="0"/>
        <w:ind w:right="-428"/>
        <w:jc w:val="center"/>
        <w:rPr>
          <w:rFonts w:ascii="Bookman Old Style" w:hAnsi="Bookman Old Style"/>
          <w:i/>
        </w:rPr>
      </w:pPr>
      <w:r w:rsidRPr="0078414D">
        <w:rPr>
          <w:rFonts w:ascii="Bookman Old Style" w:hAnsi="Bookman Old Style"/>
          <w:i/>
        </w:rPr>
        <w:t xml:space="preserve">z důvodu výměny </w:t>
      </w:r>
      <w:r>
        <w:rPr>
          <w:rFonts w:ascii="Bookman Old Style" w:hAnsi="Bookman Old Style"/>
          <w:i/>
        </w:rPr>
        <w:t xml:space="preserve">a doplnění </w:t>
      </w:r>
      <w:r w:rsidRPr="0078414D">
        <w:rPr>
          <w:rFonts w:ascii="Bookman Old Style" w:hAnsi="Bookman Old Style"/>
          <w:i/>
        </w:rPr>
        <w:t>právní</w:t>
      </w:r>
      <w:r>
        <w:rPr>
          <w:rFonts w:ascii="Bookman Old Style" w:hAnsi="Bookman Old Style"/>
          <w:i/>
        </w:rPr>
        <w:t>ch poradců</w:t>
      </w:r>
      <w:r w:rsidRPr="0078414D">
        <w:rPr>
          <w:rFonts w:ascii="Bookman Old Style" w:hAnsi="Bookman Old Style"/>
          <w:i/>
        </w:rPr>
        <w:t xml:space="preserve"> na straně poskytovatele, uzavírají tento </w:t>
      </w:r>
    </w:p>
    <w:p w:rsidR="001C48A2" w:rsidRPr="0078414D" w:rsidRDefault="001C48A2" w:rsidP="001C48A2">
      <w:pPr>
        <w:spacing w:after="0"/>
        <w:ind w:right="-428"/>
        <w:jc w:val="center"/>
        <w:rPr>
          <w:rFonts w:ascii="Bookman Old Style" w:hAnsi="Bookman Old Style"/>
          <w:i/>
        </w:rPr>
      </w:pPr>
      <w:r w:rsidRPr="0078414D">
        <w:rPr>
          <w:rFonts w:ascii="Bookman Old Style" w:hAnsi="Bookman Old Style"/>
          <w:i/>
        </w:rPr>
        <w:t xml:space="preserve">dodatek č. </w:t>
      </w:r>
      <w:r>
        <w:rPr>
          <w:rFonts w:ascii="Bookman Old Style" w:hAnsi="Bookman Old Style"/>
          <w:i/>
        </w:rPr>
        <w:t>1</w:t>
      </w:r>
      <w:r w:rsidRPr="0078414D">
        <w:rPr>
          <w:rFonts w:ascii="Bookman Old Style" w:hAnsi="Bookman Old Style"/>
          <w:i/>
        </w:rPr>
        <w:t>:</w:t>
      </w:r>
    </w:p>
    <w:p w:rsidR="001C48A2" w:rsidRPr="0078414D" w:rsidRDefault="001C48A2" w:rsidP="001C48A2">
      <w:pPr>
        <w:spacing w:after="0"/>
        <w:jc w:val="both"/>
        <w:rPr>
          <w:rFonts w:ascii="Bookman Old Style" w:hAnsi="Bookman Old Style"/>
        </w:rPr>
      </w:pPr>
    </w:p>
    <w:p w:rsidR="001C48A2" w:rsidRDefault="001C48A2" w:rsidP="00A6708E">
      <w:pPr>
        <w:spacing w:after="0"/>
        <w:jc w:val="center"/>
        <w:rPr>
          <w:rFonts w:ascii="Bookman Old Style" w:hAnsi="Bookman Old Style"/>
          <w:b/>
        </w:rPr>
      </w:pPr>
      <w:r w:rsidRPr="0078414D">
        <w:rPr>
          <w:rFonts w:ascii="Bookman Old Style" w:hAnsi="Bookman Old Style"/>
          <w:b/>
        </w:rPr>
        <w:t>Čl. I</w:t>
      </w:r>
    </w:p>
    <w:p w:rsidR="001C48A2" w:rsidRPr="00A03582" w:rsidRDefault="001C48A2" w:rsidP="001C48A2">
      <w:pPr>
        <w:numPr>
          <w:ilvl w:val="0"/>
          <w:numId w:val="2"/>
        </w:numPr>
        <w:tabs>
          <w:tab w:val="num" w:pos="400"/>
        </w:tabs>
        <w:spacing w:after="0" w:line="240" w:lineRule="auto"/>
        <w:jc w:val="both"/>
        <w:rPr>
          <w:rFonts w:ascii="Bookman Old Style" w:hAnsi="Bookman Old Style"/>
        </w:rPr>
      </w:pPr>
      <w:r w:rsidRPr="00A03582">
        <w:rPr>
          <w:rFonts w:ascii="Bookman Old Style" w:hAnsi="Bookman Old Style"/>
        </w:rPr>
        <w:t>Příloha č. 2 ke Smlouvě o poskytování právního poradenství č.j. UT-</w:t>
      </w:r>
      <w:r>
        <w:rPr>
          <w:rFonts w:ascii="Bookman Old Style" w:hAnsi="Bookman Old Style"/>
        </w:rPr>
        <w:t>19588</w:t>
      </w:r>
      <w:r w:rsidRPr="00A03582">
        <w:rPr>
          <w:rFonts w:ascii="Bookman Old Style" w:hAnsi="Bookman Old Style"/>
        </w:rPr>
        <w:t>/201</w:t>
      </w:r>
      <w:r>
        <w:rPr>
          <w:rFonts w:ascii="Bookman Old Style" w:hAnsi="Bookman Old Style"/>
        </w:rPr>
        <w:t>6</w:t>
      </w:r>
      <w:r w:rsidRPr="00A03582">
        <w:rPr>
          <w:rFonts w:ascii="Bookman Old Style" w:hAnsi="Bookman Old Style"/>
        </w:rPr>
        <w:t xml:space="preserve"> se ruší a nahrazuje se přílohou č. 2, která je součástí a přílohou tohoto dodatku č. 2.</w:t>
      </w:r>
    </w:p>
    <w:p w:rsidR="001C48A2" w:rsidRPr="0078414D" w:rsidRDefault="001C48A2" w:rsidP="001C48A2">
      <w:pPr>
        <w:widowControl w:val="0"/>
        <w:tabs>
          <w:tab w:val="num" w:pos="400"/>
          <w:tab w:val="left" w:pos="426"/>
        </w:tabs>
        <w:suppressAutoHyphens/>
        <w:autoSpaceDE w:val="0"/>
        <w:ind w:left="300" w:hanging="720"/>
        <w:jc w:val="both"/>
        <w:rPr>
          <w:rFonts w:ascii="Bookman Old Style" w:hAnsi="Bookman Old Style" w:cs="Tahoma"/>
          <w:u w:val="single"/>
        </w:rPr>
      </w:pPr>
    </w:p>
    <w:p w:rsidR="001C48A2" w:rsidRPr="0078414D" w:rsidRDefault="001C48A2" w:rsidP="00A6708E">
      <w:pPr>
        <w:spacing w:after="0"/>
        <w:jc w:val="center"/>
        <w:rPr>
          <w:rFonts w:ascii="Bookman Old Style" w:hAnsi="Bookman Old Style"/>
          <w:b/>
        </w:rPr>
      </w:pPr>
      <w:r w:rsidRPr="0078414D">
        <w:rPr>
          <w:rFonts w:ascii="Bookman Old Style" w:hAnsi="Bookman Old Style"/>
          <w:b/>
        </w:rPr>
        <w:t xml:space="preserve">Čl. II. </w:t>
      </w:r>
    </w:p>
    <w:p w:rsidR="001C48A2" w:rsidRPr="0078414D" w:rsidRDefault="001C48A2" w:rsidP="001C48A2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>Ostatní části smlouvy tímto dodatkem nedotčené zůstávají beze změn.</w:t>
      </w:r>
    </w:p>
    <w:p w:rsidR="001C48A2" w:rsidRPr="0078414D" w:rsidRDefault="001C48A2" w:rsidP="001C48A2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>Tento dodatek je vyhotoven ve dvou stejnopisech s platností originálu, z nichž každá ze smluvních stran obdrží po jednom výtisku.</w:t>
      </w:r>
    </w:p>
    <w:p w:rsidR="001C48A2" w:rsidRPr="0078414D" w:rsidRDefault="001C48A2" w:rsidP="001C48A2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 xml:space="preserve">Smluvní strany prohlašují, že si dodatek přečetly, že rozumí jeho obsahu </w:t>
      </w:r>
      <w:r>
        <w:rPr>
          <w:rFonts w:ascii="Bookman Old Style" w:hAnsi="Bookman Old Style"/>
        </w:rPr>
        <w:br/>
      </w:r>
      <w:r w:rsidRPr="0078414D">
        <w:rPr>
          <w:rFonts w:ascii="Bookman Old Style" w:hAnsi="Bookman Old Style"/>
        </w:rPr>
        <w:t>a s tímto obsahem souhlasí, což níže stvrzují svými vlastnoručními podpisy.</w:t>
      </w:r>
    </w:p>
    <w:p w:rsidR="001C48A2" w:rsidRPr="0078414D" w:rsidRDefault="001C48A2" w:rsidP="001C48A2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>Dodatek nabývá účinnosti dnem podpisu oběma smluvními stranami.</w:t>
      </w:r>
    </w:p>
    <w:p w:rsidR="00A6708E" w:rsidRDefault="00A6708E" w:rsidP="001C48A2">
      <w:pPr>
        <w:jc w:val="both"/>
        <w:rPr>
          <w:rFonts w:ascii="Bookman Old Style" w:hAnsi="Bookman Old Style"/>
        </w:rPr>
      </w:pPr>
    </w:p>
    <w:p w:rsidR="00A6708E" w:rsidRPr="0078414D" w:rsidRDefault="00A6708E" w:rsidP="001C48A2">
      <w:pPr>
        <w:jc w:val="both"/>
        <w:rPr>
          <w:rFonts w:ascii="Bookman Old Style" w:hAnsi="Bookman Old Style"/>
        </w:rPr>
      </w:pPr>
    </w:p>
    <w:p w:rsidR="001C48A2" w:rsidRPr="0078414D" w:rsidRDefault="001C48A2" w:rsidP="001C48A2">
      <w:pPr>
        <w:rPr>
          <w:rFonts w:ascii="Bookman Old Style" w:hAnsi="Bookman Old Style"/>
        </w:rPr>
      </w:pPr>
      <w:r w:rsidRPr="0078414D">
        <w:rPr>
          <w:rFonts w:ascii="Bookman Old Style" w:hAnsi="Bookman Old Style"/>
        </w:rPr>
        <w:t xml:space="preserve">      </w:t>
      </w:r>
      <w:r w:rsidR="00A6708E">
        <w:rPr>
          <w:rFonts w:ascii="Bookman Old Style" w:hAnsi="Bookman Old Style"/>
        </w:rPr>
        <w:t xml:space="preserve">  </w:t>
      </w:r>
      <w:r w:rsidRPr="0078414D">
        <w:rPr>
          <w:rFonts w:ascii="Bookman Old Style" w:hAnsi="Bookman Old Style"/>
        </w:rPr>
        <w:t>V Praze dne …. / …. / 201</w:t>
      </w:r>
      <w:r>
        <w:rPr>
          <w:rFonts w:ascii="Bookman Old Style" w:hAnsi="Bookman Old Style"/>
        </w:rPr>
        <w:t>7</w:t>
      </w:r>
      <w:r w:rsidRPr="0078414D">
        <w:rPr>
          <w:rFonts w:ascii="Bookman Old Style" w:hAnsi="Bookman Old Style"/>
        </w:rPr>
        <w:t xml:space="preserve">         </w:t>
      </w:r>
      <w:r w:rsidRPr="0078414D">
        <w:rPr>
          <w:rFonts w:ascii="Bookman Old Style" w:hAnsi="Bookman Old Style"/>
        </w:rPr>
        <w:tab/>
        <w:t xml:space="preserve">     </w:t>
      </w:r>
      <w:r w:rsidR="00A6708E">
        <w:rPr>
          <w:rFonts w:ascii="Bookman Old Style" w:hAnsi="Bookman Old Style"/>
        </w:rPr>
        <w:t xml:space="preserve">          </w:t>
      </w:r>
      <w:r w:rsidRPr="0078414D">
        <w:rPr>
          <w:rFonts w:ascii="Bookman Old Style" w:hAnsi="Bookman Old Style"/>
        </w:rPr>
        <w:t>V </w:t>
      </w:r>
      <w:r>
        <w:rPr>
          <w:rFonts w:ascii="Bookman Old Style" w:hAnsi="Bookman Old Style"/>
        </w:rPr>
        <w:t>……</w:t>
      </w:r>
      <w:r w:rsidRPr="0078414D">
        <w:rPr>
          <w:rFonts w:ascii="Bookman Old Style" w:hAnsi="Bookman Old Style"/>
        </w:rPr>
        <w:t>……… dne …. / …. / 201</w:t>
      </w:r>
      <w:r>
        <w:rPr>
          <w:rFonts w:ascii="Bookman Old Style" w:hAnsi="Bookman Old Style"/>
        </w:rPr>
        <w:t>7</w:t>
      </w:r>
    </w:p>
    <w:p w:rsidR="001C48A2" w:rsidRDefault="001C48A2" w:rsidP="001C48A2">
      <w:pPr>
        <w:jc w:val="center"/>
        <w:rPr>
          <w:rFonts w:ascii="Bookman Old Style" w:hAnsi="Bookman Old Style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345"/>
        <w:gridCol w:w="4493"/>
      </w:tblGrid>
      <w:tr w:rsidR="001C48A2" w:rsidRPr="0078414D" w:rsidTr="001C48A2">
        <w:trPr>
          <w:trHeight w:val="171"/>
        </w:trPr>
        <w:tc>
          <w:tcPr>
            <w:tcW w:w="4554" w:type="dxa"/>
          </w:tcPr>
          <w:p w:rsidR="001C48A2" w:rsidRPr="0078414D" w:rsidRDefault="001C48A2" w:rsidP="001C48A2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  <w:r w:rsidRPr="0078414D">
              <w:rPr>
                <w:rFonts w:ascii="Bookman Old Style" w:hAnsi="Bookman Old Style"/>
              </w:rPr>
              <w:t>………………………………………</w:t>
            </w:r>
          </w:p>
        </w:tc>
        <w:tc>
          <w:tcPr>
            <w:tcW w:w="345" w:type="dxa"/>
          </w:tcPr>
          <w:p w:rsidR="001C48A2" w:rsidRPr="0078414D" w:rsidRDefault="001C48A2" w:rsidP="001C48A2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493" w:type="dxa"/>
          </w:tcPr>
          <w:p w:rsidR="001C48A2" w:rsidRPr="0078414D" w:rsidRDefault="001C48A2" w:rsidP="001C48A2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  <w:r w:rsidRPr="0078414D">
              <w:rPr>
                <w:rFonts w:ascii="Bookman Old Style" w:hAnsi="Bookman Old Style"/>
              </w:rPr>
              <w:t>………………………………………</w:t>
            </w:r>
          </w:p>
        </w:tc>
      </w:tr>
      <w:tr w:rsidR="001C48A2" w:rsidRPr="0078414D" w:rsidTr="001C48A2">
        <w:trPr>
          <w:trHeight w:val="171"/>
        </w:trPr>
        <w:tc>
          <w:tcPr>
            <w:tcW w:w="4554" w:type="dxa"/>
          </w:tcPr>
          <w:p w:rsidR="001C48A2" w:rsidRPr="0078414D" w:rsidRDefault="001C48A2" w:rsidP="001C48A2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78414D">
              <w:rPr>
                <w:rFonts w:ascii="Bookman Old Style" w:hAnsi="Bookman Old Style"/>
                <w:b/>
                <w:i/>
              </w:rPr>
              <w:t xml:space="preserve">Mgr. </w:t>
            </w:r>
            <w:r>
              <w:rPr>
                <w:rFonts w:ascii="Bookman Old Style" w:hAnsi="Bookman Old Style"/>
                <w:b/>
                <w:i/>
              </w:rPr>
              <w:t xml:space="preserve">et Mgr. Pavel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Bacík</w:t>
            </w:r>
            <w:proofErr w:type="spellEnd"/>
          </w:p>
        </w:tc>
        <w:tc>
          <w:tcPr>
            <w:tcW w:w="345" w:type="dxa"/>
          </w:tcPr>
          <w:p w:rsidR="001C48A2" w:rsidRPr="0078414D" w:rsidRDefault="001C48A2" w:rsidP="001C48A2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493" w:type="dxa"/>
          </w:tcPr>
          <w:p w:rsidR="001C48A2" w:rsidRPr="0078414D" w:rsidRDefault="00A6708E" w:rsidP="001C48A2">
            <w:pPr>
              <w:spacing w:after="0"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Mgr. Narcis Tomášek </w:t>
            </w:r>
          </w:p>
        </w:tc>
      </w:tr>
      <w:tr w:rsidR="001C48A2" w:rsidRPr="0078414D" w:rsidTr="001C48A2">
        <w:trPr>
          <w:trHeight w:val="236"/>
        </w:trPr>
        <w:tc>
          <w:tcPr>
            <w:tcW w:w="4554" w:type="dxa"/>
          </w:tcPr>
          <w:p w:rsidR="00A6708E" w:rsidRDefault="001C48A2" w:rsidP="001C48A2">
            <w:pPr>
              <w:pStyle w:val="Nadpis3"/>
              <w:snapToGrid w:val="0"/>
              <w:spacing w:before="0" w:after="0"/>
              <w:rPr>
                <w:rFonts w:ascii="Bookman Old Style" w:hAnsi="Bookman Old Style"/>
                <w:b w:val="0"/>
                <w:bCs w:val="0"/>
                <w:sz w:val="22"/>
                <w:szCs w:val="22"/>
                <w:lang w:eastAsia="cs-CZ"/>
              </w:rPr>
            </w:pPr>
            <w:r w:rsidRPr="009603D7">
              <w:rPr>
                <w:rFonts w:ascii="Bookman Old Style" w:hAnsi="Bookman Old Style"/>
                <w:b w:val="0"/>
                <w:bCs w:val="0"/>
                <w:sz w:val="22"/>
                <w:szCs w:val="22"/>
                <w:lang w:eastAsia="cs-CZ"/>
              </w:rPr>
              <w:t xml:space="preserve">                   ředitel SUZ MV </w:t>
            </w:r>
            <w:r w:rsidR="00A6708E">
              <w:rPr>
                <w:rFonts w:ascii="Bookman Old Style" w:hAnsi="Bookman Old Style"/>
                <w:b w:val="0"/>
                <w:bCs w:val="0"/>
                <w:sz w:val="22"/>
                <w:szCs w:val="22"/>
                <w:lang w:eastAsia="cs-CZ"/>
              </w:rPr>
              <w:t xml:space="preserve">       </w:t>
            </w:r>
          </w:p>
          <w:p w:rsidR="001C48A2" w:rsidRPr="00A6708E" w:rsidRDefault="00A6708E" w:rsidP="001C48A2">
            <w:pPr>
              <w:pStyle w:val="Nadpis3"/>
              <w:snapToGrid w:val="0"/>
              <w:spacing w:before="0" w:after="0"/>
              <w:rPr>
                <w:rFonts w:ascii="Bookman Old Style" w:hAnsi="Bookman Old Style"/>
                <w:b w:val="0"/>
                <w:bCs w:val="0"/>
                <w:sz w:val="22"/>
                <w:szCs w:val="22"/>
                <w:lang w:eastAsia="cs-CZ"/>
              </w:rPr>
            </w:pPr>
            <w:r w:rsidRPr="00A6708E">
              <w:rPr>
                <w:rFonts w:ascii="Bookman Old Style" w:hAnsi="Bookman Old Style"/>
                <w:b w:val="0"/>
                <w:bCs w:val="0"/>
                <w:sz w:val="22"/>
                <w:szCs w:val="22"/>
                <w:lang w:eastAsia="cs-CZ"/>
              </w:rPr>
              <w:t xml:space="preserve">                   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lang w:eastAsia="cs-CZ"/>
              </w:rPr>
              <w:t xml:space="preserve">  </w:t>
            </w:r>
            <w:r w:rsidRPr="00A6708E">
              <w:rPr>
                <w:rFonts w:ascii="Bookman Old Style" w:hAnsi="Bookman Old Style"/>
                <w:b w:val="0"/>
                <w:i/>
                <w:sz w:val="22"/>
                <w:szCs w:val="22"/>
              </w:rPr>
              <w:t>(objednatel)</w:t>
            </w:r>
          </w:p>
        </w:tc>
        <w:tc>
          <w:tcPr>
            <w:tcW w:w="345" w:type="dxa"/>
          </w:tcPr>
          <w:p w:rsidR="001C48A2" w:rsidRPr="0078414D" w:rsidRDefault="001C48A2" w:rsidP="00235936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493" w:type="dxa"/>
          </w:tcPr>
          <w:p w:rsidR="001C48A2" w:rsidRPr="00A6708E" w:rsidRDefault="00A6708E" w:rsidP="00235936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/>
                <w:b w:val="0"/>
                <w:bCs w:val="0"/>
                <w:i/>
                <w:sz w:val="22"/>
                <w:szCs w:val="22"/>
                <w:lang w:eastAsia="cs-CZ"/>
              </w:rPr>
            </w:pPr>
            <w:r w:rsidRPr="00A6708E">
              <w:rPr>
                <w:rFonts w:ascii="Bookman Old Style" w:hAnsi="Bookman Old Style"/>
                <w:b w:val="0"/>
                <w:i/>
                <w:sz w:val="22"/>
                <w:szCs w:val="22"/>
              </w:rPr>
              <w:t>(poskytovatel)</w:t>
            </w:r>
          </w:p>
        </w:tc>
      </w:tr>
    </w:tbl>
    <w:p w:rsidR="002C07D8" w:rsidRPr="001C48A2" w:rsidRDefault="002C07D8" w:rsidP="00A6708E"/>
    <w:sectPr w:rsidR="002C07D8" w:rsidRPr="001C48A2" w:rsidSect="00E83640">
      <w:footerReference w:type="first" r:id="rId7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92" w:rsidRDefault="00F80592" w:rsidP="00E83640">
      <w:pPr>
        <w:spacing w:after="0" w:line="240" w:lineRule="auto"/>
      </w:pPr>
      <w:r>
        <w:separator/>
      </w:r>
    </w:p>
  </w:endnote>
  <w:endnote w:type="continuationSeparator" w:id="0">
    <w:p w:rsidR="00F80592" w:rsidRDefault="00F80592" w:rsidP="00E8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640" w:rsidRDefault="00E83640" w:rsidP="00E83640">
    <w:pPr>
      <w:pStyle w:val="Zpat"/>
    </w:pPr>
    <w:r>
      <w:rPr>
        <w:noProof/>
        <w:lang w:eastAsia="cs-CZ"/>
      </w:rPr>
      <w:drawing>
        <wp:inline distT="0" distB="0" distL="0" distR="0">
          <wp:extent cx="2162175" cy="400050"/>
          <wp:effectExtent l="0" t="0" r="9525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640" w:rsidRPr="000C6268" w:rsidRDefault="00E83640" w:rsidP="00E83640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Pr="00F4129D">
      <w:rPr>
        <w:rFonts w:ascii="Tahoma" w:hAnsi="Tahoma" w:cs="Tahoma"/>
        <w:color w:val="595959"/>
        <w:sz w:val="16"/>
        <w:szCs w:val="16"/>
      </w:rPr>
      <w:t xml:space="preserve">Olomoucký </w:t>
    </w:r>
    <w:r>
      <w:rPr>
        <w:rFonts w:ascii="Tahoma" w:hAnsi="Tahoma" w:cs="Tahoma"/>
        <w:color w:val="595959"/>
        <w:sz w:val="16"/>
        <w:szCs w:val="16"/>
      </w:rPr>
      <w:t xml:space="preserve">kraj, </w:t>
    </w:r>
    <w:proofErr w:type="spellStart"/>
    <w:r>
      <w:rPr>
        <w:rFonts w:ascii="Tahoma" w:hAnsi="Tahoma" w:cs="Tahoma"/>
        <w:color w:val="595959"/>
        <w:sz w:val="16"/>
        <w:szCs w:val="16"/>
      </w:rPr>
      <w:t>reg</w:t>
    </w:r>
    <w:proofErr w:type="spellEnd"/>
    <w:r>
      <w:rPr>
        <w:rFonts w:ascii="Tahoma" w:hAnsi="Tahoma" w:cs="Tahoma"/>
        <w:color w:val="595959"/>
        <w:sz w:val="16"/>
        <w:szCs w:val="16"/>
      </w:rPr>
      <w:t>. č. AMIF/4/06, je financován v rámci národního programu Azylového, migračního a integračního fondu.</w:t>
    </w:r>
  </w:p>
  <w:p w:rsidR="00E83640" w:rsidRDefault="00E836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92" w:rsidRDefault="00F80592" w:rsidP="00E83640">
      <w:pPr>
        <w:spacing w:after="0" w:line="240" w:lineRule="auto"/>
      </w:pPr>
      <w:r>
        <w:separator/>
      </w:r>
    </w:p>
  </w:footnote>
  <w:footnote w:type="continuationSeparator" w:id="0">
    <w:p w:rsidR="00F80592" w:rsidRDefault="00F80592" w:rsidP="00E83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2C54"/>
    <w:multiLevelType w:val="hybridMultilevel"/>
    <w:tmpl w:val="698A6C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7701B3"/>
    <w:multiLevelType w:val="hybridMultilevel"/>
    <w:tmpl w:val="4DCE5A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1C48A2"/>
    <w:rsid w:val="00234E77"/>
    <w:rsid w:val="00277B6F"/>
    <w:rsid w:val="002C07D8"/>
    <w:rsid w:val="0049206E"/>
    <w:rsid w:val="005470C8"/>
    <w:rsid w:val="0081434E"/>
    <w:rsid w:val="00844770"/>
    <w:rsid w:val="0093085A"/>
    <w:rsid w:val="009C1EC9"/>
    <w:rsid w:val="00A2403F"/>
    <w:rsid w:val="00A6708E"/>
    <w:rsid w:val="00A814FE"/>
    <w:rsid w:val="00B07B02"/>
    <w:rsid w:val="00B352E3"/>
    <w:rsid w:val="00B62665"/>
    <w:rsid w:val="00B85249"/>
    <w:rsid w:val="00CA76B3"/>
    <w:rsid w:val="00CC0138"/>
    <w:rsid w:val="00CC0C67"/>
    <w:rsid w:val="00D069AD"/>
    <w:rsid w:val="00D523A3"/>
    <w:rsid w:val="00D64061"/>
    <w:rsid w:val="00D76436"/>
    <w:rsid w:val="00DB4062"/>
    <w:rsid w:val="00DB5107"/>
    <w:rsid w:val="00E83640"/>
    <w:rsid w:val="00F5347C"/>
    <w:rsid w:val="00F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FBED2-4822-4443-AAEC-69F5CE90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9AD"/>
  </w:style>
  <w:style w:type="paragraph" w:styleId="Nadpis1">
    <w:name w:val="heading 1"/>
    <w:basedOn w:val="Normln"/>
    <w:next w:val="Normln"/>
    <w:link w:val="Nadpis1Char"/>
    <w:qFormat/>
    <w:rsid w:val="001C48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1C48A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48A2"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1C48A2"/>
    <w:rPr>
      <w:rFonts w:ascii="Arial" w:eastAsia="Times New Roman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E8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3640"/>
  </w:style>
  <w:style w:type="paragraph" w:styleId="Zpat">
    <w:name w:val="footer"/>
    <w:basedOn w:val="Normln"/>
    <w:link w:val="ZpatChar"/>
    <w:uiPriority w:val="99"/>
    <w:unhideWhenUsed/>
    <w:rsid w:val="00E8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640"/>
  </w:style>
  <w:style w:type="paragraph" w:styleId="Textbubliny">
    <w:name w:val="Balloon Text"/>
    <w:basedOn w:val="Normln"/>
    <w:link w:val="TextbublinyChar"/>
    <w:uiPriority w:val="99"/>
    <w:semiHidden/>
    <w:unhideWhenUsed/>
    <w:rsid w:val="00CC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Borovičková</dc:creator>
  <cp:lastModifiedBy>Blanka Fojtíková, Mgr.</cp:lastModifiedBy>
  <cp:revision>2</cp:revision>
  <dcterms:created xsi:type="dcterms:W3CDTF">2017-02-08T14:24:00Z</dcterms:created>
  <dcterms:modified xsi:type="dcterms:W3CDTF">2017-02-08T14:24:00Z</dcterms:modified>
</cp:coreProperties>
</file>