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2CD32" w14:textId="77777777" w:rsidR="00D94715" w:rsidRPr="00E3167A" w:rsidRDefault="00D94715" w:rsidP="008E2270">
      <w:pPr>
        <w:pStyle w:val="Nadpis3"/>
        <w:ind w:left="288"/>
        <w:jc w:val="center"/>
        <w:rPr>
          <w:rFonts w:ascii="Arial" w:hAnsi="Arial"/>
          <w:sz w:val="36"/>
        </w:rPr>
      </w:pPr>
      <w:r w:rsidRPr="00E3167A">
        <w:rPr>
          <w:rFonts w:ascii="Arial" w:hAnsi="Arial"/>
          <w:sz w:val="36"/>
        </w:rPr>
        <w:t>Smlouva o dílo</w:t>
      </w:r>
    </w:p>
    <w:p w14:paraId="77B6DD4A" w14:textId="77777777" w:rsidR="00D94715" w:rsidRPr="006C51E1" w:rsidRDefault="00D94715" w:rsidP="00D94715"/>
    <w:p w14:paraId="3D544FD4" w14:textId="5CF3BDA1" w:rsidR="00D94715" w:rsidRPr="00E3167A" w:rsidRDefault="00D94715" w:rsidP="00D94715">
      <w:pPr>
        <w:rPr>
          <w:rFonts w:ascii="Arial" w:hAnsi="Arial" w:cs="Arial"/>
        </w:rPr>
      </w:pPr>
      <w:r w:rsidRPr="00E3167A">
        <w:rPr>
          <w:rFonts w:ascii="Arial" w:hAnsi="Arial" w:cs="Arial"/>
        </w:rPr>
        <w:t xml:space="preserve">Ev. č.: </w:t>
      </w:r>
      <w:r w:rsidR="00347060" w:rsidRPr="00347060">
        <w:rPr>
          <w:rFonts w:ascii="Arial" w:hAnsi="Arial" w:cs="Arial"/>
          <w:b/>
        </w:rPr>
        <w:t>20/003/2</w:t>
      </w:r>
      <w:r w:rsidR="00902529">
        <w:rPr>
          <w:rFonts w:ascii="Arial" w:hAnsi="Arial" w:cs="Arial"/>
          <w:b/>
        </w:rPr>
        <w:t>81</w:t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</w:p>
    <w:p w14:paraId="668739E0" w14:textId="77777777" w:rsidR="00D94715" w:rsidRPr="006C51E1" w:rsidRDefault="00D94715" w:rsidP="00D94715">
      <w:pPr>
        <w:rPr>
          <w:rFonts w:ascii="Arial" w:hAnsi="Arial" w:cs="Arial"/>
        </w:rPr>
      </w:pPr>
    </w:p>
    <w:p w14:paraId="6CC4399D" w14:textId="77777777" w:rsidR="00F26083" w:rsidRDefault="00F26083" w:rsidP="00D94715">
      <w:pPr>
        <w:rPr>
          <w:rFonts w:ascii="Arial" w:hAnsi="Arial" w:cs="Arial"/>
        </w:rPr>
      </w:pPr>
    </w:p>
    <w:p w14:paraId="3EE323D0" w14:textId="77777777" w:rsidR="00F26083" w:rsidRDefault="00F26083" w:rsidP="00D94715">
      <w:pPr>
        <w:rPr>
          <w:rFonts w:ascii="Arial" w:hAnsi="Arial" w:cs="Arial"/>
        </w:rPr>
      </w:pPr>
    </w:p>
    <w:p w14:paraId="2AE1AC12" w14:textId="77777777" w:rsidR="00D94715" w:rsidRPr="00E3167A" w:rsidRDefault="00D94715" w:rsidP="00D94715">
      <w:pPr>
        <w:rPr>
          <w:rFonts w:ascii="Arial" w:hAnsi="Arial" w:cs="Arial"/>
          <w:b/>
          <w:sz w:val="22"/>
        </w:rPr>
      </w:pPr>
      <w:r w:rsidRPr="00E3167A">
        <w:rPr>
          <w:rFonts w:ascii="Arial" w:hAnsi="Arial" w:cs="Arial"/>
          <w:b/>
          <w:sz w:val="22"/>
        </w:rPr>
        <w:t>Smluvní strany</w:t>
      </w:r>
    </w:p>
    <w:p w14:paraId="2E92E949" w14:textId="77777777" w:rsidR="00D94715" w:rsidRPr="006C51E1" w:rsidRDefault="00D94715" w:rsidP="00E3167A">
      <w:pP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14:paraId="550C5894" w14:textId="2B5857B3"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OBJEDNATEL:</w:t>
      </w:r>
      <w:r w:rsidRPr="006C51E1">
        <w:rPr>
          <w:rFonts w:ascii="Arial" w:hAnsi="Arial" w:cs="Arial"/>
        </w:rPr>
        <w:t xml:space="preserve"> </w:t>
      </w:r>
      <w:r w:rsidR="00D039C9">
        <w:rPr>
          <w:rFonts w:ascii="Arial" w:hAnsi="Arial" w:cs="Arial"/>
        </w:rPr>
        <w:t xml:space="preserve"> </w:t>
      </w:r>
    </w:p>
    <w:p w14:paraId="38D52959" w14:textId="6FB26D1E" w:rsidR="00D94715" w:rsidRPr="003B16AD" w:rsidRDefault="00002014" w:rsidP="00D039C9">
      <w:pP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ab/>
        <w:t>Název</w:t>
      </w:r>
      <w:r w:rsidR="00D94715" w:rsidRPr="00F012C2">
        <w:rPr>
          <w:rFonts w:ascii="Arial" w:hAnsi="Arial" w:cs="Arial"/>
          <w:sz w:val="18"/>
          <w:szCs w:val="18"/>
        </w:rPr>
        <w:t>:</w:t>
      </w:r>
      <w:r w:rsidR="00D94715" w:rsidRPr="00716BB0">
        <w:rPr>
          <w:rFonts w:ascii="Arial" w:hAnsi="Arial" w:cs="Arial"/>
          <w:b/>
          <w:sz w:val="18"/>
          <w:szCs w:val="18"/>
        </w:rPr>
        <w:tab/>
      </w:r>
      <w:r w:rsidR="00716BB0" w:rsidRPr="00716BB0">
        <w:rPr>
          <w:rFonts w:ascii="Arial" w:hAnsi="Arial" w:cs="Arial"/>
          <w:b/>
          <w:sz w:val="18"/>
          <w:szCs w:val="18"/>
        </w:rPr>
        <w:t>Město Letohrad</w:t>
      </w:r>
    </w:p>
    <w:p w14:paraId="4EBF299E" w14:textId="262CD885" w:rsidR="00D94715" w:rsidRPr="00F012C2" w:rsidRDefault="00D94715" w:rsidP="0020269D">
      <w:pP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</w:r>
      <w:r w:rsidRPr="00F012C2">
        <w:rPr>
          <w:rFonts w:ascii="Arial" w:hAnsi="Arial" w:cs="Arial"/>
          <w:sz w:val="18"/>
          <w:szCs w:val="18"/>
        </w:rPr>
        <w:t>Sídlo společnosti:</w:t>
      </w:r>
      <w:r w:rsidRPr="00F012C2">
        <w:rPr>
          <w:rFonts w:ascii="Arial" w:hAnsi="Arial" w:cs="Arial"/>
          <w:sz w:val="18"/>
          <w:szCs w:val="18"/>
        </w:rPr>
        <w:tab/>
      </w:r>
      <w:r w:rsidR="00716BB0" w:rsidRPr="00665731">
        <w:rPr>
          <w:rFonts w:ascii="Arial" w:hAnsi="Arial" w:cs="Arial"/>
          <w:b/>
          <w:sz w:val="18"/>
          <w:szCs w:val="18"/>
        </w:rPr>
        <w:t>Letohrad, Václavské náměstí 10, PSČ 561 51</w:t>
      </w:r>
    </w:p>
    <w:p w14:paraId="16AC796D" w14:textId="4B519C04" w:rsidR="00D94715" w:rsidRPr="00F012C2" w:rsidRDefault="00D94715" w:rsidP="00D039C9">
      <w:pP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IČ</w:t>
      </w:r>
      <w:r w:rsidR="00730478">
        <w:rPr>
          <w:rFonts w:ascii="Arial" w:hAnsi="Arial" w:cs="Arial"/>
          <w:sz w:val="18"/>
          <w:szCs w:val="18"/>
        </w:rPr>
        <w:t>O</w:t>
      </w:r>
      <w:r w:rsidRPr="00F012C2">
        <w:rPr>
          <w:rFonts w:ascii="Arial" w:hAnsi="Arial" w:cs="Arial"/>
          <w:sz w:val="18"/>
          <w:szCs w:val="18"/>
        </w:rPr>
        <w:t>:</w:t>
      </w:r>
      <w:r w:rsidRPr="00F012C2">
        <w:rPr>
          <w:rFonts w:ascii="Arial" w:hAnsi="Arial" w:cs="Arial"/>
          <w:sz w:val="18"/>
          <w:szCs w:val="18"/>
        </w:rPr>
        <w:tab/>
      </w:r>
      <w:r w:rsidR="00665731" w:rsidRPr="00665731">
        <w:rPr>
          <w:rFonts w:ascii="Arial" w:hAnsi="Arial" w:cs="Arial"/>
          <w:b/>
          <w:sz w:val="18"/>
          <w:szCs w:val="18"/>
        </w:rPr>
        <w:t>00279129</w:t>
      </w:r>
    </w:p>
    <w:p w14:paraId="71BB1B11" w14:textId="75120AB2" w:rsidR="00D94715" w:rsidRPr="00F012C2" w:rsidRDefault="00D94715" w:rsidP="00D039C9">
      <w:pP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DIČ:</w:t>
      </w:r>
      <w:r w:rsidRPr="00F012C2">
        <w:rPr>
          <w:rFonts w:ascii="Arial" w:hAnsi="Arial" w:cs="Arial"/>
          <w:sz w:val="18"/>
          <w:szCs w:val="18"/>
        </w:rPr>
        <w:tab/>
      </w:r>
      <w:r w:rsidR="00D039C9" w:rsidRPr="00D039C9">
        <w:rPr>
          <w:rFonts w:ascii="Calibri Light" w:hAnsi="Calibri Light"/>
          <w:b/>
          <w:bCs/>
        </w:rPr>
        <w:t>CZ</w:t>
      </w:r>
      <w:r w:rsidR="00665731">
        <w:rPr>
          <w:rFonts w:ascii="Calibri Light" w:hAnsi="Calibri Light"/>
          <w:b/>
          <w:bCs/>
        </w:rPr>
        <w:t>00279129</w:t>
      </w:r>
    </w:p>
    <w:p w14:paraId="66BC4309" w14:textId="18761BFC" w:rsidR="0020269D" w:rsidRDefault="00D94715" w:rsidP="00D039C9">
      <w:pP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Bankovní spojení:</w:t>
      </w:r>
      <w:r w:rsidRPr="00F012C2">
        <w:rPr>
          <w:rFonts w:ascii="Arial" w:hAnsi="Arial" w:cs="Arial"/>
          <w:sz w:val="18"/>
          <w:szCs w:val="18"/>
        </w:rPr>
        <w:tab/>
      </w:r>
      <w:r w:rsidR="007F639B">
        <w:rPr>
          <w:rFonts w:ascii="Arial" w:hAnsi="Arial" w:cs="Arial"/>
          <w:sz w:val="18"/>
          <w:szCs w:val="18"/>
        </w:rPr>
        <w:t>xx</w:t>
      </w:r>
    </w:p>
    <w:p w14:paraId="14F4BC84" w14:textId="0D158006" w:rsidR="00665731" w:rsidRDefault="00665731" w:rsidP="00D039C9">
      <w:pP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="0020269D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Číslo účtu (CZK):   </w:t>
      </w:r>
      <w:r w:rsidR="007F639B">
        <w:rPr>
          <w:rFonts w:ascii="Arial" w:hAnsi="Arial" w:cs="Arial"/>
          <w:sz w:val="18"/>
          <w:szCs w:val="18"/>
        </w:rPr>
        <w:t>xx</w:t>
      </w:r>
    </w:p>
    <w:p w14:paraId="489A0C70" w14:textId="066FD8F4" w:rsidR="00D039C9" w:rsidRDefault="00665731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5C7812">
        <w:rPr>
          <w:rFonts w:ascii="Arial" w:hAnsi="Arial" w:cs="Arial"/>
          <w:sz w:val="18"/>
          <w:szCs w:val="18"/>
        </w:rPr>
        <w:t>Zastoupená/ý</w:t>
      </w:r>
      <w:r w:rsidR="00D94715" w:rsidRPr="00F012C2">
        <w:rPr>
          <w:rFonts w:ascii="Arial" w:hAnsi="Arial" w:cs="Arial"/>
          <w:sz w:val="18"/>
          <w:szCs w:val="18"/>
        </w:rPr>
        <w:t>:</w:t>
      </w:r>
      <w:r w:rsidR="00D94715" w:rsidRPr="00F012C2">
        <w:rPr>
          <w:rFonts w:ascii="Arial" w:hAnsi="Arial" w:cs="Arial"/>
          <w:sz w:val="18"/>
          <w:szCs w:val="18"/>
        </w:rPr>
        <w:tab/>
      </w:r>
      <w:bookmarkEnd w:id="0"/>
      <w:r>
        <w:rPr>
          <w:rFonts w:ascii="Arial" w:hAnsi="Arial" w:cs="Arial"/>
          <w:sz w:val="18"/>
          <w:szCs w:val="18"/>
        </w:rPr>
        <w:t xml:space="preserve">   </w:t>
      </w:r>
      <w:r w:rsidR="00EC0125">
        <w:rPr>
          <w:rFonts w:ascii="Arial" w:hAnsi="Arial" w:cs="Arial"/>
          <w:sz w:val="18"/>
          <w:szCs w:val="18"/>
        </w:rPr>
        <w:t>Petrem Fialou, starostou města</w:t>
      </w:r>
      <w:r w:rsidR="00D039C9">
        <w:rPr>
          <w:rFonts w:ascii="Arial" w:hAnsi="Arial" w:cs="Arial"/>
          <w:sz w:val="18"/>
          <w:szCs w:val="18"/>
        </w:rPr>
        <w:tab/>
      </w:r>
    </w:p>
    <w:p w14:paraId="3D835EE7" w14:textId="1DFE5185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Telefon:</w:t>
      </w:r>
      <w:r w:rsidRPr="00F012C2">
        <w:rPr>
          <w:rFonts w:ascii="Arial" w:hAnsi="Arial" w:cs="Arial"/>
          <w:sz w:val="18"/>
          <w:szCs w:val="18"/>
        </w:rPr>
        <w:tab/>
      </w:r>
      <w:r w:rsidR="007F639B">
        <w:rPr>
          <w:rFonts w:ascii="Arial" w:hAnsi="Arial" w:cs="Arial"/>
          <w:sz w:val="18"/>
          <w:szCs w:val="18"/>
        </w:rPr>
        <w:t>xx</w:t>
      </w:r>
    </w:p>
    <w:p w14:paraId="73DC95A9" w14:textId="07E51DED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Fax:</w:t>
      </w:r>
      <w:r w:rsidRPr="00F012C2">
        <w:rPr>
          <w:rFonts w:ascii="Arial" w:hAnsi="Arial" w:cs="Arial"/>
          <w:sz w:val="18"/>
          <w:szCs w:val="18"/>
        </w:rPr>
        <w:tab/>
      </w:r>
      <w:r w:rsidR="007F639B">
        <w:rPr>
          <w:rFonts w:ascii="Arial" w:hAnsi="Arial" w:cs="Arial"/>
          <w:sz w:val="18"/>
          <w:szCs w:val="18"/>
        </w:rPr>
        <w:t>xx</w:t>
      </w:r>
    </w:p>
    <w:p w14:paraId="70667B1D" w14:textId="7B36F319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E-mail:</w:t>
      </w:r>
      <w:r w:rsidRPr="00F012C2">
        <w:rPr>
          <w:rFonts w:ascii="Arial" w:hAnsi="Arial" w:cs="Arial"/>
          <w:sz w:val="18"/>
          <w:szCs w:val="18"/>
        </w:rPr>
        <w:tab/>
      </w:r>
      <w:r w:rsidR="007F639B">
        <w:rPr>
          <w:rFonts w:ascii="Arial" w:hAnsi="Arial" w:cs="Arial"/>
          <w:sz w:val="18"/>
          <w:szCs w:val="18"/>
        </w:rPr>
        <w:t>xx</w:t>
      </w:r>
    </w:p>
    <w:p w14:paraId="268DF827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Objednatel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2F75CA4F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14:paraId="54DEFFE1" w14:textId="77777777" w:rsidR="00D94715" w:rsidRPr="00E3167A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a</w:t>
      </w:r>
    </w:p>
    <w:p w14:paraId="0A0B4A03" w14:textId="77777777"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14:paraId="6E22FE73" w14:textId="77777777" w:rsidR="00D94715" w:rsidRPr="00E3167A" w:rsidRDefault="00D94715" w:rsidP="00E3167A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ZHOTOVITEL:</w:t>
      </w:r>
    </w:p>
    <w:p w14:paraId="4F8865CE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002014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14:paraId="3EB67C8F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 w:rsidR="00001DD8"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001DD8"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oddíl B, vložka 8938</w:t>
      </w:r>
    </w:p>
    <w:p w14:paraId="79D542ED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2819/2a, PSČ 13000</w:t>
      </w:r>
    </w:p>
    <w:p w14:paraId="05757B28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IČ</w:t>
      </w:r>
      <w:r w:rsidR="00730478">
        <w:rPr>
          <w:rFonts w:ascii="Arial" w:hAnsi="Arial" w:cs="Arial"/>
          <w:sz w:val="18"/>
          <w:szCs w:val="18"/>
        </w:rPr>
        <w:t>O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14:paraId="07026728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14:paraId="023C10CC" w14:textId="04EDEEE9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r w:rsidR="007F639B">
        <w:rPr>
          <w:rFonts w:ascii="Arial" w:hAnsi="Arial" w:cs="Arial"/>
          <w:b/>
          <w:bCs/>
          <w:sz w:val="18"/>
          <w:szCs w:val="18"/>
        </w:rPr>
        <w:t>xx</w:t>
      </w:r>
    </w:p>
    <w:p w14:paraId="555D1C7A" w14:textId="23835B8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r w:rsidR="007F639B">
        <w:rPr>
          <w:rFonts w:ascii="Arial" w:hAnsi="Arial" w:cs="Arial"/>
          <w:b/>
          <w:bCs/>
          <w:sz w:val="18"/>
          <w:szCs w:val="18"/>
        </w:rPr>
        <w:t>xx</w:t>
      </w:r>
    </w:p>
    <w:p w14:paraId="701A6144" w14:textId="1B12E51C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7F639B">
        <w:rPr>
          <w:rFonts w:ascii="Arial" w:hAnsi="Arial" w:cs="Arial"/>
          <w:b/>
          <w:sz w:val="18"/>
          <w:szCs w:val="18"/>
        </w:rPr>
        <w:t>xx</w:t>
      </w:r>
    </w:p>
    <w:p w14:paraId="3F126297" w14:textId="1DC4430D" w:rsidR="00D94715" w:rsidRPr="006C51E1" w:rsidRDefault="00D94715" w:rsidP="00E3167A">
      <w:pPr>
        <w:pStyle w:val="Zhlav"/>
        <w:pBdr>
          <w:bottom w:val="single" w:sz="6" w:space="1" w:color="7F7F7F" w:themeColor="text1" w:themeTint="80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</w:r>
      <w:r w:rsidR="007F639B">
        <w:rPr>
          <w:rFonts w:ascii="Arial" w:hAnsi="Arial" w:cs="Arial"/>
          <w:b/>
          <w:sz w:val="18"/>
          <w:szCs w:val="18"/>
        </w:rPr>
        <w:t>xx</w:t>
      </w:r>
    </w:p>
    <w:p w14:paraId="3F5D227B" w14:textId="215F3A9C" w:rsidR="00D94715" w:rsidRPr="006C51E1" w:rsidRDefault="00D94715" w:rsidP="00E3167A">
      <w:pPr>
        <w:pStyle w:val="Zhlav"/>
        <w:pBdr>
          <w:bottom w:val="single" w:sz="6" w:space="1" w:color="7F7F7F" w:themeColor="text1" w:themeTint="80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Fax:</w:t>
      </w:r>
      <w:r w:rsidRPr="006C51E1">
        <w:rPr>
          <w:rFonts w:ascii="Arial" w:hAnsi="Arial" w:cs="Arial"/>
          <w:sz w:val="18"/>
          <w:szCs w:val="18"/>
        </w:rPr>
        <w:tab/>
      </w:r>
      <w:r w:rsidR="007F639B">
        <w:rPr>
          <w:rFonts w:ascii="Arial" w:hAnsi="Arial" w:cs="Arial"/>
          <w:b/>
          <w:sz w:val="18"/>
          <w:szCs w:val="18"/>
        </w:rPr>
        <w:t>xx</w:t>
      </w:r>
    </w:p>
    <w:p w14:paraId="7300AA8A" w14:textId="069488C9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r w:rsidR="007F639B">
        <w:rPr>
          <w:rFonts w:ascii="Arial" w:hAnsi="Arial" w:cs="Arial"/>
          <w:b/>
          <w:bCs/>
          <w:sz w:val="18"/>
          <w:szCs w:val="18"/>
        </w:rPr>
        <w:t>xx</w:t>
      </w:r>
    </w:p>
    <w:p w14:paraId="7B9B5283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Zhotovitel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10B95877" w14:textId="77777777"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31837DDC" w14:textId="77777777" w:rsidR="00356F3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1C803658" w14:textId="77777777" w:rsidR="00F26083" w:rsidRPr="006C51E1" w:rsidRDefault="00F26083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7DB18423" w14:textId="77777777" w:rsidR="00D94715" w:rsidRPr="006C51E1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1E273F6F" w14:textId="77777777" w:rsidR="00D94715" w:rsidRPr="006C51E1" w:rsidRDefault="00D94715" w:rsidP="00C5450B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</w:t>
      </w:r>
      <w:r w:rsidR="009956FC">
        <w:rPr>
          <w:rFonts w:ascii="Arial" w:hAnsi="Arial" w:cs="Arial"/>
        </w:rPr>
        <w:t>s</w:t>
      </w:r>
      <w:r w:rsidR="00897189" w:rsidRPr="006C51E1">
        <w:rPr>
          <w:rFonts w:ascii="Arial" w:hAnsi="Arial" w:cs="Arial"/>
        </w:rPr>
        <w:t xml:space="preserve">mlouvu </w:t>
      </w:r>
      <w:r w:rsidRPr="006C51E1">
        <w:rPr>
          <w:rFonts w:ascii="Arial" w:hAnsi="Arial" w:cs="Arial"/>
        </w:rPr>
        <w:t xml:space="preserve">o dílo ve smyslu </w:t>
      </w:r>
      <w:r w:rsidR="00897189">
        <w:rPr>
          <w:rFonts w:ascii="Arial" w:hAnsi="Arial" w:cs="Arial"/>
        </w:rPr>
        <w:t>ustanovení §</w:t>
      </w:r>
      <w:r w:rsidRPr="006C51E1">
        <w:rPr>
          <w:rFonts w:ascii="Arial" w:hAnsi="Arial" w:cs="Arial"/>
        </w:rPr>
        <w:t xml:space="preserve"> </w:t>
      </w:r>
      <w:r w:rsidR="005C7812">
        <w:rPr>
          <w:rFonts w:ascii="Arial" w:hAnsi="Arial" w:cs="Arial"/>
        </w:rPr>
        <w:t>2586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 xml:space="preserve">a násl. zákona č. </w:t>
      </w:r>
      <w:r w:rsidR="005C7812">
        <w:rPr>
          <w:rFonts w:ascii="Arial" w:hAnsi="Arial" w:cs="Arial"/>
        </w:rPr>
        <w:t>89/2012</w:t>
      </w:r>
      <w:r w:rsidRPr="006C51E1">
        <w:rPr>
          <w:rFonts w:ascii="Arial" w:hAnsi="Arial" w:cs="Arial"/>
        </w:rPr>
        <w:t xml:space="preserve"> Sb., 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</w:t>
      </w:r>
      <w:r w:rsidR="005C7812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v platném znění (dále jen „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zákoník“)</w:t>
      </w:r>
      <w:r w:rsidR="00C5450B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(dále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C5450B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14:paraId="62B93D98" w14:textId="77777777"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777CD9DD" w14:textId="77777777" w:rsidR="00356F3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0BBEF7D6" w14:textId="77777777" w:rsidR="00751736" w:rsidRDefault="00751736" w:rsidP="007F639B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38368CA8" w14:textId="77777777" w:rsidR="00356F31" w:rsidRPr="006C51E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1FBEE08D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14:paraId="78B93AB1" w14:textId="77777777"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Objednatel prohlašuje, že je právnickou osobou řádně založenou a zapsanou podle českého právního řádu</w:t>
      </w:r>
      <w:r w:rsidR="009956FC">
        <w:rPr>
          <w:rFonts w:ascii="Arial" w:hAnsi="Arial" w:cs="Arial"/>
          <w:bCs/>
        </w:rPr>
        <w:t>/fyzickou osobou</w:t>
      </w:r>
      <w:r w:rsidRPr="006C51E1">
        <w:rPr>
          <w:rFonts w:ascii="Arial" w:hAnsi="Arial" w:cs="Arial"/>
          <w:bCs/>
        </w:rPr>
        <w:t xml:space="preserve"> a že splňuje veškeré podmínky a požadavky v této Smlouvě stanovené a je oprávněn tuto Smlouvu uzavřít a řádně plnit závazky v ní obsažené.</w:t>
      </w:r>
    </w:p>
    <w:p w14:paraId="750D7E5A" w14:textId="77777777"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14:paraId="21B52BD2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3E5EEB22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Předmět Smlouvy</w:t>
      </w:r>
    </w:p>
    <w:p w14:paraId="5A6F5B01" w14:textId="3100DD5C" w:rsidR="00D94715" w:rsidRDefault="00D94715" w:rsidP="00C5450B">
      <w:pPr>
        <w:numPr>
          <w:ilvl w:val="0"/>
          <w:numId w:val="2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se zavazuje provést pro Objednatele </w:t>
      </w:r>
      <w:r w:rsidR="009956FC">
        <w:rPr>
          <w:rFonts w:ascii="Arial" w:hAnsi="Arial" w:cs="Arial"/>
          <w:bCs/>
        </w:rPr>
        <w:t>na svůj náklad a nebezpečí</w:t>
      </w:r>
      <w:r w:rsidR="009956FC" w:rsidRPr="006C51E1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 xml:space="preserve">dílo specifikované v článku III. této Smlouvy, tj. </w:t>
      </w:r>
      <w:r w:rsidR="00700AE3" w:rsidRPr="00700AE3">
        <w:rPr>
          <w:rFonts w:ascii="Arial" w:hAnsi="Arial" w:cs="Arial"/>
          <w:b/>
          <w:bCs/>
        </w:rPr>
        <w:t>„</w:t>
      </w:r>
      <w:r w:rsidR="00665731">
        <w:rPr>
          <w:rFonts w:ascii="Arial" w:hAnsi="Arial" w:cs="Arial"/>
          <w:b/>
          <w:bCs/>
        </w:rPr>
        <w:t>SO 401.1 Přeložka kabelů SŽDC s.o., OŘ HKR – SSZT Pardubice a SŽDC s.o., TÚDC ve správě ČD – Telematika Praha a.s. a SO 401.2 Úprava krytu (zahloubení) kabelů SŽDC s.o. TÚDC ve správě ČD – Telematika Praha a.s.</w:t>
      </w:r>
      <w:r w:rsidRPr="00700AE3">
        <w:rPr>
          <w:rFonts w:ascii="Arial" w:hAnsi="Arial" w:cs="Arial"/>
          <w:b/>
          <w:bCs/>
        </w:rPr>
        <w:t>,</w:t>
      </w:r>
      <w:r w:rsidR="00700AE3" w:rsidRPr="00700AE3">
        <w:rPr>
          <w:rFonts w:ascii="Arial" w:hAnsi="Arial" w:cs="Arial"/>
          <w:b/>
          <w:bCs/>
        </w:rPr>
        <w:t xml:space="preserve"> v rámci stavby </w:t>
      </w:r>
      <w:r w:rsidR="00665731">
        <w:rPr>
          <w:rFonts w:ascii="Arial" w:hAnsi="Arial" w:cs="Arial"/>
          <w:b/>
          <w:bCs/>
        </w:rPr>
        <w:t>Propojení stávají</w:t>
      </w:r>
      <w:r w:rsidR="001C087C">
        <w:rPr>
          <w:rFonts w:ascii="Arial" w:hAnsi="Arial" w:cs="Arial"/>
          <w:b/>
          <w:bCs/>
        </w:rPr>
        <w:t>cí</w:t>
      </w:r>
      <w:r w:rsidR="00665731">
        <w:rPr>
          <w:rFonts w:ascii="Arial" w:hAnsi="Arial" w:cs="Arial"/>
          <w:b/>
          <w:bCs/>
        </w:rPr>
        <w:t>ch cyklostezek Letohrad – zm</w:t>
      </w:r>
      <w:r w:rsidR="001C087C">
        <w:rPr>
          <w:rFonts w:ascii="Arial" w:hAnsi="Arial" w:cs="Arial"/>
          <w:b/>
          <w:bCs/>
        </w:rPr>
        <w:t>ě</w:t>
      </w:r>
      <w:r w:rsidR="00665731">
        <w:rPr>
          <w:rFonts w:ascii="Arial" w:hAnsi="Arial" w:cs="Arial"/>
          <w:b/>
          <w:bCs/>
        </w:rPr>
        <w:t>na“</w:t>
      </w:r>
      <w:r w:rsidR="00700AE3"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a to </w:t>
      </w:r>
      <w:r w:rsidR="009956FC">
        <w:rPr>
          <w:rFonts w:ascii="Arial" w:hAnsi="Arial" w:cs="Arial"/>
          <w:bCs/>
        </w:rPr>
        <w:t xml:space="preserve">s potřebnou péčí, </w:t>
      </w:r>
      <w:r w:rsidRPr="006C51E1">
        <w:rPr>
          <w:rFonts w:ascii="Arial" w:hAnsi="Arial" w:cs="Arial"/>
          <w:bCs/>
        </w:rPr>
        <w:t>řádně</w:t>
      </w:r>
      <w:r w:rsidR="005C7812">
        <w:rPr>
          <w:rFonts w:ascii="Arial" w:hAnsi="Arial" w:cs="Arial"/>
          <w:bCs/>
        </w:rPr>
        <w:t xml:space="preserve"> a</w:t>
      </w:r>
      <w:r w:rsidRPr="006C51E1">
        <w:rPr>
          <w:rFonts w:ascii="Arial" w:hAnsi="Arial" w:cs="Arial"/>
          <w:bCs/>
        </w:rPr>
        <w:t xml:space="preserve"> včas</w:t>
      </w:r>
      <w:r w:rsidR="005C7812">
        <w:rPr>
          <w:rFonts w:ascii="Arial" w:hAnsi="Arial" w:cs="Arial"/>
          <w:bCs/>
        </w:rPr>
        <w:t xml:space="preserve">, </w:t>
      </w:r>
      <w:r w:rsidRPr="006C51E1">
        <w:rPr>
          <w:rFonts w:ascii="Arial" w:hAnsi="Arial" w:cs="Arial"/>
          <w:bCs/>
        </w:rPr>
        <w:t>a v dohodnuté kvalitě a Objednatel se zavazuje poskytnout Zhotoviteli součinnost, provedené dílo převzít a zaplatit za jeho zhotovení cenu podle čl. IV této Smlouvy.</w:t>
      </w:r>
    </w:p>
    <w:p w14:paraId="78F3B43A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38560B15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57F401C3" w14:textId="77777777" w:rsidR="007F639B" w:rsidRPr="006C51E1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7D032587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7CC3A905" w14:textId="600A2322" w:rsidR="00D94715" w:rsidRPr="00C5450B" w:rsidRDefault="007F639B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xx</w:t>
      </w:r>
    </w:p>
    <w:p w14:paraId="7938241E" w14:textId="1F370199" w:rsidR="00D94715" w:rsidRPr="006C51E1" w:rsidRDefault="007F639B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79CE841D" w14:textId="05927CB3" w:rsidR="00843712" w:rsidRDefault="007F639B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  <w:r w:rsidR="00D94715" w:rsidRPr="00C5450B">
        <w:rPr>
          <w:rFonts w:ascii="Arial" w:hAnsi="Arial" w:cs="Arial"/>
          <w:bCs/>
        </w:rPr>
        <w:t xml:space="preserve"> </w:t>
      </w:r>
    </w:p>
    <w:p w14:paraId="79B350DA" w14:textId="60314D8F" w:rsidR="00D94715" w:rsidRDefault="007F639B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59F1C51F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2B240E14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213CEA9C" w14:textId="77777777" w:rsidR="007F639B" w:rsidRPr="006C51E1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6F31B1CE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07F1A5B" w14:textId="6FB114C8" w:rsidR="00D94715" w:rsidRPr="00C5450B" w:rsidRDefault="007F639B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xx</w:t>
      </w:r>
    </w:p>
    <w:p w14:paraId="0722EBE7" w14:textId="31A6556E" w:rsidR="00D94715" w:rsidRPr="006C51E1" w:rsidRDefault="007F639B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689A6F33" w14:textId="324786AA" w:rsidR="007F639B" w:rsidRDefault="007F639B" w:rsidP="007F639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7D05EBCA" w14:textId="77777777" w:rsidR="007F639B" w:rsidRDefault="007F639B" w:rsidP="007F639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6733A1E3" w14:textId="77777777" w:rsidR="007F639B" w:rsidRDefault="007F639B" w:rsidP="007F639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42D664E5" w14:textId="77777777" w:rsidR="007F639B" w:rsidRDefault="007F639B" w:rsidP="007F639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7304D657" w14:textId="77777777" w:rsidR="007F639B" w:rsidRDefault="007F639B" w:rsidP="007F639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1B9FB228" w14:textId="77777777" w:rsidR="007F639B" w:rsidRDefault="007F639B" w:rsidP="007F639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58826765" w14:textId="77777777" w:rsidR="007F639B" w:rsidRDefault="007F639B" w:rsidP="007F639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1DC576BE" w14:textId="77777777" w:rsidR="007F639B" w:rsidRDefault="007F639B" w:rsidP="007F639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3B6923D3" w14:textId="77777777" w:rsidR="007F639B" w:rsidRDefault="007F639B" w:rsidP="007F639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35E98074" w14:textId="77777777" w:rsidR="007F639B" w:rsidRPr="007F639B" w:rsidRDefault="007F639B" w:rsidP="007F639B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3B3B61D5" w14:textId="77777777" w:rsidR="00751736" w:rsidRPr="006C51E1" w:rsidRDefault="0075173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0250DFB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Platební podmínky</w:t>
      </w:r>
    </w:p>
    <w:p w14:paraId="58963BB6" w14:textId="77777777" w:rsidR="00D94715" w:rsidRPr="006C51E1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Cenu za dílo uhradí Objednatel Zhotoviteli bezhotovostním převodem na bankovní účet Zhotovitele uvedený v záhlaví této Smlouvy</w:t>
      </w:r>
      <w:r w:rsidR="00897189">
        <w:rPr>
          <w:rFonts w:ascii="Arial" w:hAnsi="Arial" w:cs="Arial"/>
          <w:bCs/>
        </w:rPr>
        <w:t xml:space="preserve">, </w:t>
      </w:r>
      <w:r w:rsidR="00DE4491">
        <w:rPr>
          <w:rFonts w:ascii="Arial" w:hAnsi="Arial" w:cs="Arial"/>
          <w:bCs/>
        </w:rPr>
        <w:t xml:space="preserve">není-li </w:t>
      </w:r>
      <w:r w:rsidR="00897189">
        <w:rPr>
          <w:rFonts w:ascii="Arial" w:hAnsi="Arial" w:cs="Arial"/>
          <w:bCs/>
        </w:rPr>
        <w:t>na faktu</w:t>
      </w:r>
      <w:r w:rsidR="00843712">
        <w:rPr>
          <w:rFonts w:ascii="Arial" w:hAnsi="Arial" w:cs="Arial"/>
          <w:bCs/>
        </w:rPr>
        <w:t>ř</w:t>
      </w:r>
      <w:r w:rsidR="00DE4491">
        <w:rPr>
          <w:rFonts w:ascii="Arial" w:hAnsi="Arial" w:cs="Arial"/>
          <w:bCs/>
        </w:rPr>
        <w:t>e</w:t>
      </w:r>
      <w:r w:rsidR="00897189">
        <w:rPr>
          <w:rFonts w:ascii="Arial" w:hAnsi="Arial" w:cs="Arial"/>
          <w:bCs/>
        </w:rPr>
        <w:t xml:space="preserve"> uvedeno jinak</w:t>
      </w:r>
      <w:r w:rsidRPr="006C51E1">
        <w:rPr>
          <w:rFonts w:ascii="Arial" w:hAnsi="Arial" w:cs="Arial"/>
          <w:bCs/>
        </w:rPr>
        <w:t>.</w:t>
      </w:r>
    </w:p>
    <w:p w14:paraId="345A253E" w14:textId="7ED766A1" w:rsidR="00D94715" w:rsidRPr="006C51E1" w:rsidRDefault="007F639B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01537B5E" w14:textId="77777777" w:rsidR="00D94715" w:rsidRPr="006C51E1" w:rsidRDefault="00D94715" w:rsidP="00C5450B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Splatnost všech faktur je 14 (čtrnáct) dnů od jejich odeslání na adresu Objednatele uvedenou </w:t>
      </w:r>
      <w:r w:rsidR="00D64444">
        <w:rPr>
          <w:rFonts w:ascii="Arial" w:hAnsi="Arial" w:cs="Arial"/>
        </w:rPr>
        <w:t>v </w:t>
      </w:r>
      <w:r w:rsidRPr="006C51E1">
        <w:rPr>
          <w:rFonts w:ascii="Arial" w:hAnsi="Arial" w:cs="Arial"/>
        </w:rPr>
        <w:t>záhlaví této Smlouvy.</w:t>
      </w:r>
    </w:p>
    <w:p w14:paraId="7AB06F54" w14:textId="77777777" w:rsidR="008D72C0" w:rsidRPr="006C51E1" w:rsidRDefault="008D72C0" w:rsidP="00C5450B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Objednatel tímto výslovně ve smyslu ust. § </w:t>
      </w:r>
      <w:r w:rsidR="0067192C">
        <w:rPr>
          <w:rFonts w:ascii="Arial" w:hAnsi="Arial" w:cs="Arial"/>
        </w:rPr>
        <w:t>630 Občanského</w:t>
      </w:r>
      <w:r>
        <w:rPr>
          <w:rFonts w:ascii="Arial" w:hAnsi="Arial" w:cs="Arial"/>
        </w:rPr>
        <w:t xml:space="preserve"> zákoníku prodlužuje promlčecí </w:t>
      </w:r>
      <w:r w:rsidR="008E6111">
        <w:rPr>
          <w:rFonts w:ascii="Arial" w:hAnsi="Arial" w:cs="Arial"/>
        </w:rPr>
        <w:t xml:space="preserve">lhůtu </w:t>
      </w:r>
      <w:r>
        <w:rPr>
          <w:rFonts w:ascii="Arial" w:hAnsi="Arial" w:cs="Arial"/>
        </w:rPr>
        <w:t xml:space="preserve">závazku k zaplacení ceny díla tak, že promlčecí </w:t>
      </w:r>
      <w:r w:rsidR="008E6111">
        <w:rPr>
          <w:rFonts w:ascii="Arial" w:hAnsi="Arial" w:cs="Arial"/>
        </w:rPr>
        <w:t xml:space="preserve">lhůta </w:t>
      </w:r>
      <w:r>
        <w:rPr>
          <w:rFonts w:ascii="Arial" w:hAnsi="Arial" w:cs="Arial"/>
        </w:rPr>
        <w:t xml:space="preserve">činí celkem deset (10) let ode dne, kdy nárok na zaplacení ceny za dílo mohl být uplatněn u soudu. </w:t>
      </w:r>
    </w:p>
    <w:p w14:paraId="5DABF3D5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8B62399" w14:textId="76861A6A" w:rsidR="00D94715" w:rsidRPr="00C5450B" w:rsidRDefault="007F639B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xx</w:t>
      </w:r>
    </w:p>
    <w:p w14:paraId="6E8069AA" w14:textId="34ABBC12" w:rsidR="00D94715" w:rsidRPr="006C51E1" w:rsidRDefault="007F639B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12E82B6B" w14:textId="240F96BC" w:rsidR="00D94715" w:rsidRPr="006C51E1" w:rsidRDefault="007F639B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6FD6598C" w14:textId="4B24F3AD" w:rsidR="00D94715" w:rsidRDefault="007F639B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4A5F7554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63A51DB8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50720EEF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10576352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0389F398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5E52C78A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28BDD140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15114F1B" w14:textId="77777777" w:rsidR="007F639B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42B3C0AA" w14:textId="77777777" w:rsidR="007F639B" w:rsidRPr="006C51E1" w:rsidRDefault="007F639B" w:rsidP="007F639B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0D363A1C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4600D86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Odpovědnost za vady</w:t>
      </w:r>
    </w:p>
    <w:p w14:paraId="23F3C737" w14:textId="77777777" w:rsidR="00D94715" w:rsidRPr="006C51E1" w:rsidRDefault="00845E9A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D94715" w:rsidRPr="006C51E1">
        <w:rPr>
          <w:rFonts w:ascii="Arial" w:hAnsi="Arial" w:cs="Arial"/>
          <w:bCs/>
        </w:rPr>
        <w:t xml:space="preserve">ráva a povinnosti smluvních stran z odpovědnosti za vady se řídí příslušnými ustanoveními </w:t>
      </w:r>
      <w:r w:rsidR="0067192C">
        <w:rPr>
          <w:rFonts w:ascii="Arial" w:hAnsi="Arial" w:cs="Arial"/>
          <w:bCs/>
        </w:rPr>
        <w:t>Občanského</w:t>
      </w:r>
      <w:r w:rsidR="0067192C" w:rsidRPr="006C51E1">
        <w:rPr>
          <w:rFonts w:ascii="Arial" w:hAnsi="Arial" w:cs="Arial"/>
          <w:bCs/>
        </w:rPr>
        <w:t xml:space="preserve"> </w:t>
      </w:r>
      <w:r w:rsidR="00D94715" w:rsidRPr="006C51E1">
        <w:rPr>
          <w:rFonts w:ascii="Arial" w:hAnsi="Arial" w:cs="Arial"/>
          <w:bCs/>
        </w:rPr>
        <w:t xml:space="preserve">zákoníku, s tím, že Zhotovitel je povinen zahájit práce na opravách vad a nedodělků nejpozději do 10 dnů poté, </w:t>
      </w:r>
      <w:r w:rsidR="00EA3B34">
        <w:rPr>
          <w:rFonts w:ascii="Arial" w:hAnsi="Arial" w:cs="Arial"/>
          <w:bCs/>
        </w:rPr>
        <w:t>kdy</w:t>
      </w:r>
      <w:r w:rsidR="00EA3B34" w:rsidRPr="006C51E1">
        <w:rPr>
          <w:rFonts w:ascii="Arial" w:hAnsi="Arial" w:cs="Arial"/>
          <w:bCs/>
        </w:rPr>
        <w:t xml:space="preserve"> </w:t>
      </w:r>
      <w:r w:rsidR="00D94715" w:rsidRPr="006C51E1">
        <w:rPr>
          <w:rFonts w:ascii="Arial" w:hAnsi="Arial" w:cs="Arial"/>
          <w:bCs/>
        </w:rPr>
        <w:t xml:space="preserve">k tomu byl Objednatelem oprávněně </w:t>
      </w:r>
      <w:r w:rsidR="00EA3B34">
        <w:rPr>
          <w:rFonts w:ascii="Arial" w:hAnsi="Arial" w:cs="Arial"/>
          <w:bCs/>
        </w:rPr>
        <w:t xml:space="preserve">písemně </w:t>
      </w:r>
      <w:r w:rsidR="00D94715" w:rsidRPr="006C51E1">
        <w:rPr>
          <w:rFonts w:ascii="Arial" w:hAnsi="Arial" w:cs="Arial"/>
          <w:bCs/>
        </w:rPr>
        <w:t>vyzván.</w:t>
      </w:r>
    </w:p>
    <w:p w14:paraId="5A2E546F" w14:textId="6EB91088" w:rsidR="00D94715" w:rsidRPr="006C51E1" w:rsidRDefault="007F639B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3E69FCCB" w14:textId="77777777" w:rsidR="00D94715" w:rsidRPr="006C51E1" w:rsidRDefault="00D94715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Reklamaci vady je Objednatel povinen provést u Zhotovitele písemně, s technickým popisem vady. V případě, že Zhotovitel neodstraní řádně a oprávněně reklamované vady v dohodnuté lhůtě, je Objednatel oprávněn po dodatečné písemné výzvě doručené Zhotoviteli, v níž stanoví dodatečnou přiměřenou, nejméně desetidenní</w:t>
      </w:r>
      <w:r w:rsidR="00E56945"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lhůtu k odstranění vady, zajistit odstranění vady a Zhotovitel se zavazuje uhradit Objednateli veškeré účelně vynaložené náklady vzniklé v souvislosti s takovýmto odstraněním vad.</w:t>
      </w:r>
    </w:p>
    <w:p w14:paraId="0313C2C1" w14:textId="77777777" w:rsidR="00751736" w:rsidRDefault="0075173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82312C6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Závazky Objednatele a Zhotovitele</w:t>
      </w:r>
    </w:p>
    <w:p w14:paraId="6493F34C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</w:t>
      </w:r>
      <w:r w:rsidR="00845E9A">
        <w:rPr>
          <w:rFonts w:ascii="Arial" w:hAnsi="Arial" w:cs="Arial"/>
          <w:bCs/>
        </w:rPr>
        <w:t xml:space="preserve"> má právo</w:t>
      </w:r>
      <w:r w:rsidRPr="006C51E1">
        <w:rPr>
          <w:rFonts w:ascii="Arial" w:hAnsi="Arial" w:cs="Arial"/>
          <w:bCs/>
        </w:rPr>
        <w:t xml:space="preserve"> provádět průběžnou kontrolu zhotovovaného díla po předchozí dohodě se Zhotovitelem. Objednatel není oprávněn žádným způsobem přímo zasahovat do prací prováděných zaměstnanci Zhotovitele nebo jinými spolupracujícími osobami.</w:t>
      </w:r>
    </w:p>
    <w:p w14:paraId="1AE99263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je při provádění díla povinen poskytovat Zhotoviteli veškerou možnou součinnost a případné vstupy potřebné k vytvoření díla dle této Smlouvy, které si Zhotovitel vyžádá.</w:t>
      </w:r>
    </w:p>
    <w:p w14:paraId="0DA1A966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povinen při zhotovování díla dodržovat veškeré relevantní bezpečnostní, požární a jiné právní předpisy platné na území České republiky a účinné v době provádění díla, stejně jako případná závazná rozhodnutí orgánů státní správy týkající se zhotovovaného díla.</w:t>
      </w:r>
    </w:p>
    <w:p w14:paraId="0DEC61D5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není v prodlení s plněním svých povinností dle této Smlouvy, pokud je v prodlení Objednatel. Prodlením Objednatele se rozumí zejména neposkytnutí nebo nedostatečné poskytnutí součinnosti potřebné k realizaci díla dle této Smlouvy nebo k jeho převzetí.</w:t>
      </w:r>
    </w:p>
    <w:p w14:paraId="4071EF90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E003037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Splnění závazku Zhotovitele</w:t>
      </w:r>
    </w:p>
    <w:p w14:paraId="1846A412" w14:textId="77777777" w:rsidR="00D94715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6C51E1">
        <w:rPr>
          <w:rFonts w:ascii="Arial" w:hAnsi="Arial" w:cs="Arial"/>
          <w:bCs/>
        </w:rPr>
        <w:t>ílo se považuje za dokončené</w:t>
      </w:r>
      <w:r>
        <w:rPr>
          <w:rFonts w:ascii="Arial" w:hAnsi="Arial" w:cs="Arial"/>
          <w:bCs/>
        </w:rPr>
        <w:t>, je-li předvedena jeho způsobilost sloužit k danému účelu.</w:t>
      </w:r>
      <w:r w:rsidRPr="006C51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Dílo je provedeno, je-li dokončeno a dojde k protokolárnímu předání a převzetí díla </w:t>
      </w:r>
      <w:r w:rsidRPr="006C51E1">
        <w:rPr>
          <w:rFonts w:ascii="Arial" w:hAnsi="Arial" w:cs="Arial"/>
          <w:bCs/>
        </w:rPr>
        <w:t xml:space="preserve">podpisem předávacího protokolu. Objednatel </w:t>
      </w:r>
      <w:r>
        <w:rPr>
          <w:rFonts w:ascii="Arial" w:hAnsi="Arial" w:cs="Arial"/>
          <w:bCs/>
        </w:rPr>
        <w:t xml:space="preserve">převezme dokončené dílo s výhradou nebo bez výhrad. </w:t>
      </w:r>
      <w:r w:rsidR="00D94715" w:rsidRPr="00F15EC6">
        <w:rPr>
          <w:rFonts w:ascii="Arial" w:hAnsi="Arial" w:cs="Arial"/>
          <w:bCs/>
        </w:rPr>
        <w:t xml:space="preserve">Objednatel není oprávněn odmítnout převzetí </w:t>
      </w:r>
      <w:r w:rsidR="002D01EA">
        <w:rPr>
          <w:rFonts w:ascii="Arial" w:hAnsi="Arial" w:cs="Arial"/>
          <w:bCs/>
        </w:rPr>
        <w:t xml:space="preserve">dokončeného </w:t>
      </w:r>
      <w:r w:rsidR="00D94715" w:rsidRPr="00F15EC6">
        <w:rPr>
          <w:rFonts w:ascii="Arial" w:hAnsi="Arial" w:cs="Arial"/>
          <w:bCs/>
        </w:rPr>
        <w:t xml:space="preserve">díla, </w:t>
      </w:r>
      <w:r w:rsidR="002D01EA">
        <w:rPr>
          <w:rFonts w:ascii="Arial" w:hAnsi="Arial" w:cs="Arial"/>
          <w:bCs/>
        </w:rPr>
        <w:t xml:space="preserve">tj. </w:t>
      </w:r>
      <w:r w:rsidR="00D94715" w:rsidRPr="00F15EC6">
        <w:rPr>
          <w:rFonts w:ascii="Arial" w:hAnsi="Arial" w:cs="Arial"/>
          <w:bCs/>
        </w:rPr>
        <w:t>pokud</w:t>
      </w:r>
      <w:r w:rsidR="002D01EA">
        <w:rPr>
          <w:rFonts w:ascii="Arial" w:hAnsi="Arial" w:cs="Arial"/>
          <w:bCs/>
        </w:rPr>
        <w:t xml:space="preserve"> byla předvedena jeho způsobilost sloužit danému účelu.</w:t>
      </w:r>
    </w:p>
    <w:p w14:paraId="69110434" w14:textId="77777777" w:rsidR="00F15EC6" w:rsidRPr="00F15EC6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Provádí-li se dílo postupně a lze-li jednotlivé stupně odlišit, může být dílo předáno a převzato po částech.</w:t>
      </w:r>
    </w:p>
    <w:p w14:paraId="4CDB2B89" w14:textId="77777777" w:rsidR="00D94715" w:rsidRPr="006C51E1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O předání a převzetí díla sepíší smluvní strany písemný zápis - předávací protokol, a to ve dvou vyhotoveních, z nichž každá smluvní strana obdrží po jednom. Zhotovitel písemně vyzve Objednatele k protokolárnímu převzetí díla nejpozději 5 pracovních dnů předem. Předání a převzetí díla musí být osobně přítomen zmocněnec Objednatele i Zhotovitele. V předávacím protokolu se uvedou i případné vady a nedodělky spolu s uvedením termínu, do kdy se je Zhotovitel zavazuje odstranit.</w:t>
      </w:r>
    </w:p>
    <w:p w14:paraId="0F220F26" w14:textId="6A74AF0C" w:rsidR="00D94715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při převzetí díla Objednatelem předá Objednateli tyto doklady, které tvoří přílohy předávacího protokolu: </w:t>
      </w:r>
    </w:p>
    <w:p w14:paraId="28ABD942" w14:textId="77777777" w:rsidR="00AA5247" w:rsidRPr="00AA5247" w:rsidRDefault="00AA5247" w:rsidP="00C5450B">
      <w:pPr>
        <w:pStyle w:val="Zkladntext"/>
        <w:numPr>
          <w:ilvl w:val="0"/>
          <w:numId w:val="9"/>
        </w:numPr>
        <w:spacing w:before="120" w:after="0"/>
        <w:ind w:left="357" w:hanging="357"/>
        <w:jc w:val="both"/>
        <w:rPr>
          <w:rFonts w:ascii="Arial" w:hAnsi="Arial" w:cs="Arial"/>
          <w:szCs w:val="24"/>
        </w:rPr>
      </w:pPr>
      <w:r w:rsidRPr="00AA5247">
        <w:rPr>
          <w:rFonts w:ascii="Arial" w:hAnsi="Arial" w:cs="Arial"/>
        </w:rPr>
        <w:t xml:space="preserve">V případě, že </w:t>
      </w:r>
      <w:r>
        <w:rPr>
          <w:rFonts w:ascii="Arial" w:hAnsi="Arial" w:cs="Arial"/>
        </w:rPr>
        <w:t>O</w:t>
      </w:r>
      <w:r w:rsidRPr="00AA5247">
        <w:rPr>
          <w:rFonts w:ascii="Arial" w:hAnsi="Arial" w:cs="Arial"/>
        </w:rPr>
        <w:t xml:space="preserve">bjednatel neposkytne potřebnou součinnost k převzetí díla nebo jeho části, je </w:t>
      </w:r>
      <w:r>
        <w:rPr>
          <w:rFonts w:ascii="Arial" w:hAnsi="Arial" w:cs="Arial"/>
        </w:rPr>
        <w:t>Z</w:t>
      </w:r>
      <w:r w:rsidRPr="00AA5247">
        <w:rPr>
          <w:rFonts w:ascii="Arial" w:hAnsi="Arial" w:cs="Arial"/>
        </w:rPr>
        <w:t xml:space="preserve">hotovitel oprávněn vystavit fakturu za </w:t>
      </w:r>
      <w:r>
        <w:rPr>
          <w:rFonts w:ascii="Arial" w:hAnsi="Arial" w:cs="Arial"/>
        </w:rPr>
        <w:t xml:space="preserve">provedení díla </w:t>
      </w:r>
      <w:r w:rsidRPr="00AA5247">
        <w:rPr>
          <w:rFonts w:ascii="Arial" w:hAnsi="Arial" w:cs="Arial"/>
        </w:rPr>
        <w:t xml:space="preserve">i tehdy, když dílo nebylo předáno v důsledku nedostatku součinnosti </w:t>
      </w:r>
      <w:r>
        <w:rPr>
          <w:rFonts w:ascii="Arial" w:hAnsi="Arial" w:cs="Arial"/>
        </w:rPr>
        <w:t>O</w:t>
      </w:r>
      <w:r w:rsidRPr="00AA5247">
        <w:rPr>
          <w:rFonts w:ascii="Arial" w:hAnsi="Arial" w:cs="Arial"/>
        </w:rPr>
        <w:t>bjednatele.</w:t>
      </w:r>
    </w:p>
    <w:p w14:paraId="63BA7225" w14:textId="77777777" w:rsidR="00C466D2" w:rsidRDefault="00C466D2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Vlastnické právo k díl</w:t>
      </w:r>
      <w:r w:rsidR="00E56945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přechází na </w:t>
      </w:r>
      <w:r w:rsidR="00AA524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bjednatele okamžikem úplného zaplacení ceny za dílo. </w:t>
      </w:r>
    </w:p>
    <w:p w14:paraId="02B9E5FD" w14:textId="77777777" w:rsidR="00AA5247" w:rsidRPr="006C51E1" w:rsidRDefault="00AA5247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Nebezpečí škody na díle přechází na Objednatele okamžikem převzetí díla, případně jeho samostatně předávané části. </w:t>
      </w:r>
    </w:p>
    <w:p w14:paraId="30B8C7A5" w14:textId="77777777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26524672" w14:textId="77777777" w:rsidR="00CF102D" w:rsidRDefault="00CF102D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372CCDDE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4CE28CFF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2A47FA30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2655DE54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473EFCA7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566F7F17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0E6B68D4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49A14DD4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4C339C6D" w14:textId="77777777" w:rsidR="007F639B" w:rsidRPr="006C51E1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3BCFC947" w14:textId="6A9721B1" w:rsidR="00D94715" w:rsidRPr="00843712" w:rsidRDefault="007F639B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xx</w:t>
      </w:r>
    </w:p>
    <w:p w14:paraId="2D698C73" w14:textId="34AB93FB" w:rsidR="00D94715" w:rsidRPr="006C51E1" w:rsidRDefault="007F639B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453DE195" w14:textId="2E83AFC2" w:rsidR="00D94715" w:rsidRPr="006C51E1" w:rsidRDefault="007F639B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7203E7BE" w14:textId="7CCE67D1" w:rsidR="00D94715" w:rsidRPr="006C51E1" w:rsidRDefault="007F639B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</w:t>
      </w:r>
    </w:p>
    <w:p w14:paraId="1ADE6354" w14:textId="77777777" w:rsidR="009B216E" w:rsidRDefault="009B216E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0579A241" w14:textId="77777777" w:rsidR="00CF102D" w:rsidRDefault="00CF102D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6F48D93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EE82448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AC4BCDE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E5C617F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9151EAE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088E5AE8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84229FB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D5168C2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095585E" w14:textId="77777777"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Změny Smlouvy, odstoupení</w:t>
      </w:r>
    </w:p>
    <w:p w14:paraId="5C6BF998" w14:textId="77777777" w:rsidR="00D94715" w:rsidRPr="00F15EC6" w:rsidRDefault="00D94715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Tuto Smlouvu lze změnit pouze písemnými číslovanými dodatky podepsaným oprávněnými zástupci obou smluvních stran. Toto ujednání se týká zejména podnětu k omezení rozsahu díla nebo k jeho rozšíření nad rámec této Smlouvy, popřípadě změny použitých materiálu nebo technologií, stejně tak změny termínu pro dokončení díla. </w:t>
      </w:r>
    </w:p>
    <w:p w14:paraId="35532831" w14:textId="77777777" w:rsidR="00611FDB" w:rsidRPr="00F15EC6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  <w:bCs/>
        </w:rPr>
        <w:t>Objednatel je oprávněn od této Smlouvy odstoupit ze zákonných důvodů.</w:t>
      </w:r>
    </w:p>
    <w:p w14:paraId="5239AFD3" w14:textId="77777777"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oprávněn od této Smlouvy odstoupit ze zákonných důvodů, zejména pak v případě, jestliže je Objednatel v prodlení se zaplacením ceny díla nebo kterékoliv její části po dobu delší než 1</w:t>
      </w:r>
      <w:r>
        <w:rPr>
          <w:rFonts w:ascii="Arial" w:hAnsi="Arial" w:cs="Arial"/>
          <w:bCs/>
        </w:rPr>
        <w:t>0</w:t>
      </w:r>
      <w:r w:rsidRPr="006C51E1">
        <w:rPr>
          <w:rFonts w:ascii="Arial" w:hAnsi="Arial" w:cs="Arial"/>
          <w:bCs/>
        </w:rPr>
        <w:t xml:space="preserve"> dnů ode dne její splatnosti</w:t>
      </w:r>
      <w:r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nebo jestliže Objednatel nezajistí Zhotoviteli podmínky pro řádný výkon jeho činností podle této Smlouvy a tuto skutečnost nenapraví ani po písemném upozornění v dodatečné přiměřené lhůtě poskytnuté mu Zhotovitelem.</w:t>
      </w:r>
    </w:p>
    <w:p w14:paraId="0A1B0B32" w14:textId="77777777"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 případě oprávněného odstoupení kterékoli ze smluvních stran od této Smlouvy jsou smluvní</w:t>
      </w:r>
      <w:r w:rsidR="00BC19A3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>strany povinny uhradit si navzájem účelně vynaložené náklady spojené s plněním této Smlouvy.</w:t>
      </w:r>
    </w:p>
    <w:p w14:paraId="4A8932F6" w14:textId="77777777"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04F30B6F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B0A5459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652CEEB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1D8FF7D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3CCE2A63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C3CF8D9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A23715A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CC05F57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B1657B0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32EAE90" w14:textId="77777777" w:rsidR="007F639B" w:rsidRDefault="007F639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71AAD5C" w14:textId="77777777" w:rsidR="00CF102D" w:rsidRDefault="00CF102D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0C74F13F" w14:textId="77777777" w:rsidR="00630F65" w:rsidRPr="00843712" w:rsidRDefault="00630F6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Doručování</w:t>
      </w:r>
    </w:p>
    <w:p w14:paraId="7D57A43F" w14:textId="77777777" w:rsidR="00630F65" w:rsidRPr="00630F65" w:rsidRDefault="00630F65" w:rsidP="008437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Veškerá oznámení, žádosti nebo jiná sdělení učiněná některou smluvní stranou na základě této smlouvy budou učiněna písemně a budou považována za řádně učiněná, jakmile budou doručena druhé smluvní straně osobně, kurýrní službou poskytující potvrzení o doručení nebo doporučenou poštou na adresu příslušné smluvní strany uvedenou níže nebo na jinou adresu, kterou příslušná smluvní strana písemně</w:t>
      </w:r>
      <w:r w:rsidR="00843712">
        <w:rPr>
          <w:rFonts w:ascii="Arial" w:hAnsi="Arial" w:cs="Arial"/>
          <w:color w:val="000000"/>
          <w:lang w:eastAsia="de-DE"/>
        </w:rPr>
        <w:t xml:space="preserve"> oznámí druhé smluvní straně. </w:t>
      </w:r>
    </w:p>
    <w:p w14:paraId="26450517" w14:textId="77777777" w:rsidR="00630F65" w:rsidRPr="00CF102D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CF102D">
        <w:rPr>
          <w:rFonts w:ascii="Arial" w:hAnsi="Arial" w:cs="Arial"/>
          <w:color w:val="000000"/>
          <w:lang w:eastAsia="de-DE"/>
        </w:rPr>
        <w:t xml:space="preserve">Oznámení určená Objednateli </w:t>
      </w:r>
    </w:p>
    <w:p w14:paraId="40E1151A" w14:textId="76F12B05" w:rsidR="00630F65" w:rsidRPr="00CF102D" w:rsidRDefault="00CF102D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CF102D">
        <w:rPr>
          <w:rFonts w:ascii="Arial" w:hAnsi="Arial" w:cs="Arial"/>
          <w:color w:val="000000"/>
          <w:lang w:eastAsia="de-DE"/>
        </w:rPr>
        <w:t>Město Letohrad</w:t>
      </w:r>
    </w:p>
    <w:p w14:paraId="15F366CE" w14:textId="7D5003E0" w:rsidR="00630F65" w:rsidRPr="00CF102D" w:rsidRDefault="00CF102D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CF102D">
        <w:rPr>
          <w:rFonts w:ascii="Arial" w:hAnsi="Arial" w:cs="Arial"/>
          <w:color w:val="000000"/>
          <w:lang w:eastAsia="de-DE"/>
        </w:rPr>
        <w:t>Václavské náměstí 10</w:t>
      </w:r>
    </w:p>
    <w:p w14:paraId="35BBB6F1" w14:textId="164CB6B9" w:rsidR="00630F65" w:rsidRDefault="00CF102D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CF102D">
        <w:rPr>
          <w:rFonts w:ascii="Arial" w:hAnsi="Arial" w:cs="Arial"/>
          <w:color w:val="000000"/>
          <w:lang w:eastAsia="de-DE"/>
        </w:rPr>
        <w:t>561 51 Letohrad</w:t>
      </w:r>
    </w:p>
    <w:p w14:paraId="6742F2F7" w14:textId="0E6FDBCE" w:rsidR="007F639B" w:rsidRPr="00CF102D" w:rsidRDefault="007F639B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xx</w:t>
      </w:r>
    </w:p>
    <w:p w14:paraId="3E0C7A79" w14:textId="59E6CAF2"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Z</w:t>
      </w:r>
      <w:r w:rsidRPr="00630F65">
        <w:rPr>
          <w:rFonts w:ascii="Arial" w:hAnsi="Arial" w:cs="Arial"/>
          <w:color w:val="000000"/>
          <w:lang w:eastAsia="de-DE"/>
        </w:rPr>
        <w:t>hotoviteli</w:t>
      </w:r>
      <w:r w:rsidR="002F0DA8">
        <w:rPr>
          <w:rFonts w:ascii="Arial" w:hAnsi="Arial" w:cs="Arial"/>
          <w:color w:val="000000"/>
          <w:lang w:eastAsia="de-DE"/>
        </w:rPr>
        <w:t xml:space="preserve"> ve věcech obchodních:</w:t>
      </w:r>
    </w:p>
    <w:p w14:paraId="7FC35150" w14:textId="77777777"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ČD – Telematika a.s.</w:t>
      </w:r>
    </w:p>
    <w:p w14:paraId="031376B5" w14:textId="0887D0AD" w:rsidR="00630F65" w:rsidRDefault="002F0DA8" w:rsidP="00843712">
      <w:pPr>
        <w:suppressAutoHyphens/>
        <w:spacing w:before="60"/>
        <w:ind w:left="672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Bílinská 3449/30</w:t>
      </w:r>
    </w:p>
    <w:p w14:paraId="1CBDAEFC" w14:textId="35D39891" w:rsidR="00630F65" w:rsidRPr="00630F65" w:rsidRDefault="002F0DA8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lang w:eastAsia="de-DE"/>
        </w:rPr>
        <w:t>400 01 Ústí nad Labem</w:t>
      </w:r>
    </w:p>
    <w:p w14:paraId="6D36C32A" w14:textId="27AE5D6D" w:rsidR="0040518C" w:rsidRPr="00751B0B" w:rsidRDefault="007F639B" w:rsidP="00843712">
      <w:pPr>
        <w:suppressAutoHyphens/>
        <w:spacing w:before="60"/>
        <w:ind w:left="672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color w:val="000000"/>
          <w:lang w:eastAsia="de-DE"/>
        </w:rPr>
        <w:t>xx</w:t>
      </w:r>
    </w:p>
    <w:p w14:paraId="2A1BC4E0" w14:textId="77777777" w:rsidR="0040518C" w:rsidRDefault="0040518C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264C7D74" w14:textId="18A54C89" w:rsidR="0040518C" w:rsidRDefault="0040518C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Oznámení určená Zhotoviteli ve věcech technických:</w:t>
      </w:r>
    </w:p>
    <w:p w14:paraId="196C5FCA" w14:textId="4DFB0F61" w:rsidR="00EF1B99" w:rsidRDefault="00EF1B99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ČD – Telematika a.s.</w:t>
      </w:r>
    </w:p>
    <w:p w14:paraId="6323C5DF" w14:textId="4020B6FC" w:rsidR="00EF1B99" w:rsidRDefault="007F639B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xx</w:t>
      </w:r>
    </w:p>
    <w:p w14:paraId="0BFD5809" w14:textId="77777777" w:rsidR="00EF1B99" w:rsidRDefault="00EF1B99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1126F95C" w14:textId="31CBD5C3" w:rsidR="00EF1B99" w:rsidRDefault="00EF1B99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Oznámení určená Zhotoviteli ve věcech realizace (stavbyvedoucí):</w:t>
      </w:r>
    </w:p>
    <w:p w14:paraId="73D47746" w14:textId="4DD919C8" w:rsidR="00EF1B99" w:rsidRDefault="00EF1B99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ČD – Telematika a.s.</w:t>
      </w:r>
    </w:p>
    <w:p w14:paraId="1C61DCBB" w14:textId="4BC80064" w:rsidR="00EF1B99" w:rsidRDefault="007F639B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xx</w:t>
      </w:r>
    </w:p>
    <w:p w14:paraId="1875ED31" w14:textId="77777777" w:rsidR="0040518C" w:rsidRPr="00630F65" w:rsidRDefault="0040518C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1079DBF8" w14:textId="77777777" w:rsidR="00CC03C6" w:rsidRPr="00CC03C6" w:rsidRDefault="00CC03C6" w:rsidP="00843712">
      <w:pPr>
        <w:numPr>
          <w:ilvl w:val="0"/>
          <w:numId w:val="23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14:paraId="2DF87C3B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jejich fyzického přijetí adresátem v případě osobního doručení nebo doručení kurýrní službou; nebo</w:t>
      </w:r>
    </w:p>
    <w:p w14:paraId="30C2B3AF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14:paraId="387408A8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potvrzení o provedení nepřerušeného faxového přenosu v případě doručení faxem; nebo</w:t>
      </w:r>
    </w:p>
    <w:p w14:paraId="567CE4D4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14:paraId="10638404" w14:textId="77777777"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541483E4" w14:textId="77777777" w:rsidR="007F639B" w:rsidRDefault="007F639B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3214ADCD" w14:textId="77777777" w:rsidR="007F639B" w:rsidRDefault="007F639B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54CC4F9D" w14:textId="77777777" w:rsidR="00350DBE" w:rsidRPr="006B5843" w:rsidRDefault="00350DBE" w:rsidP="00350DB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6B5843">
        <w:rPr>
          <w:rFonts w:ascii="Arial" w:hAnsi="Arial" w:cs="Arial"/>
          <w:b/>
          <w:bCs/>
          <w:sz w:val="22"/>
          <w:u w:val="single"/>
        </w:rPr>
        <w:t>Zpracování a ochrana osobních údajů</w:t>
      </w:r>
    </w:p>
    <w:p w14:paraId="3D1722C9" w14:textId="77777777" w:rsidR="00350DBE" w:rsidRPr="00B372D9" w:rsidRDefault="00350DBE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 w:rsidRPr="00B372D9">
        <w:rPr>
          <w:rFonts w:ascii="Arial" w:hAnsi="Arial" w:cs="Arial"/>
          <w:sz w:val="20"/>
          <w:szCs w:val="20"/>
        </w:rPr>
        <w:t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</w:t>
      </w:r>
      <w:r>
        <w:rPr>
          <w:rFonts w:ascii="Arial" w:hAnsi="Arial" w:cs="Arial"/>
          <w:sz w:val="20"/>
          <w:szCs w:val="20"/>
        </w:rPr>
        <w:t xml:space="preserve">, </w:t>
      </w:r>
      <w:r w:rsidRPr="008936DC">
        <w:rPr>
          <w:rFonts w:ascii="Arial" w:hAnsi="Arial" w:cs="Arial"/>
          <w:sz w:val="20"/>
          <w:szCs w:val="20"/>
        </w:rPr>
        <w:t xml:space="preserve">a dále v souladu s relevantními vnitrostátními právními předpisy, kterým je zejména zákon č. </w:t>
      </w:r>
      <w:r w:rsidR="00922BAD" w:rsidRPr="00922BAD">
        <w:rPr>
          <w:rFonts w:ascii="Arial" w:hAnsi="Arial" w:cs="Arial"/>
          <w:sz w:val="20"/>
          <w:szCs w:val="20"/>
        </w:rPr>
        <w:t>110/2019 Sb., o zpracování osobních údajů, v platném znění (dále jen „ZZOU“).</w:t>
      </w:r>
      <w:r w:rsidR="00922BAD">
        <w:rPr>
          <w:rFonts w:ascii="Arial" w:hAnsi="Arial" w:cs="Arial"/>
        </w:rPr>
        <w:t xml:space="preserve"> </w:t>
      </w:r>
      <w:r w:rsidRPr="00B372D9">
        <w:rPr>
          <w:rFonts w:ascii="Arial" w:hAnsi="Arial" w:cs="Arial"/>
          <w:sz w:val="20"/>
          <w:szCs w:val="20"/>
        </w:rPr>
        <w:t xml:space="preserve">Podrobnosti ke zpracování osobních údajů jsou uvedeny v Podmínkách ochrany osobních údajů a Zásadách zpracování osobních údajů (oba dokumenty dále jen „Dokumenty“). Dokumenty jsou ke stažení na </w:t>
      </w:r>
      <w:hyperlink r:id="rId10" w:history="1">
        <w:r w:rsidRPr="00BC5595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Pr="00B372D9">
        <w:rPr>
          <w:rFonts w:ascii="Arial" w:hAnsi="Arial" w:cs="Arial"/>
          <w:sz w:val="20"/>
          <w:szCs w:val="20"/>
        </w:rPr>
        <w:t xml:space="preserve"> </w:t>
      </w:r>
    </w:p>
    <w:p w14:paraId="3B9E5050" w14:textId="77777777" w:rsidR="00350DBE" w:rsidRDefault="006D7D23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50DBE" w:rsidRPr="00B372D9">
        <w:rPr>
          <w:rFonts w:ascii="Arial" w:hAnsi="Arial" w:cs="Arial"/>
          <w:sz w:val="20"/>
          <w:szCs w:val="20"/>
        </w:rPr>
        <w:t xml:space="preserve"> výslovně prohlašuje, že se s obsahem Dokumentů před podpisem této smlouvy seznámil a nemá vůči nim námitek. </w:t>
      </w:r>
    </w:p>
    <w:p w14:paraId="437BD7FE" w14:textId="77777777" w:rsidR="00350DBE" w:rsidRDefault="00350DBE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0D364A">
        <w:rPr>
          <w:rFonts w:ascii="Arial" w:hAnsi="Arial" w:cs="Arial"/>
          <w:sz w:val="20"/>
          <w:szCs w:val="20"/>
        </w:rPr>
        <w:t xml:space="preserve"> prohlašuje a zavazuje se, že veškeré osobní údaje z jím zajišťovaného či dodávaného plnění na základě této smlouvy</w:t>
      </w:r>
      <w:r>
        <w:rPr>
          <w:rFonts w:ascii="Arial" w:hAnsi="Arial" w:cs="Arial"/>
          <w:sz w:val="20"/>
          <w:szCs w:val="20"/>
        </w:rPr>
        <w:t>,</w:t>
      </w:r>
      <w:r w:rsidRPr="000D364A">
        <w:rPr>
          <w:rFonts w:ascii="Arial" w:hAnsi="Arial" w:cs="Arial"/>
          <w:sz w:val="20"/>
          <w:szCs w:val="20"/>
        </w:rPr>
        <w:t xml:space="preserve"> včetně osobních údajů plynoucích či obdržených v souvislosti s uzavřením smlouvy, jsou zpracovávány v souladu s ochranou soukromí a standardy nastavení ochrany soukromí dle platné evropské a české legislativy.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0D364A">
        <w:rPr>
          <w:rFonts w:ascii="Arial" w:hAnsi="Arial" w:cs="Arial"/>
          <w:sz w:val="20"/>
          <w:szCs w:val="20"/>
        </w:rPr>
        <w:t xml:space="preserve">se zavazuje v případě porušení ujednání tohoto odstavce bez námitek uhradit </w:t>
      </w:r>
      <w:r>
        <w:rPr>
          <w:rFonts w:ascii="Arial" w:hAnsi="Arial" w:cs="Arial"/>
          <w:sz w:val="20"/>
          <w:szCs w:val="20"/>
        </w:rPr>
        <w:t>Zhotoviteli</w:t>
      </w:r>
      <w:r w:rsidRPr="000D364A">
        <w:rPr>
          <w:rFonts w:ascii="Arial" w:hAnsi="Arial" w:cs="Arial"/>
          <w:sz w:val="20"/>
          <w:szCs w:val="20"/>
        </w:rPr>
        <w:t xml:space="preserve"> veškeré škody tímto porušením vzniklé.</w:t>
      </w:r>
    </w:p>
    <w:p w14:paraId="70EBA9EB" w14:textId="77777777" w:rsidR="007F639B" w:rsidRDefault="007F639B" w:rsidP="007F639B">
      <w:pPr>
        <w:tabs>
          <w:tab w:val="left" w:pos="360"/>
        </w:tabs>
        <w:spacing w:before="120"/>
        <w:rPr>
          <w:rFonts w:ascii="Arial" w:hAnsi="Arial" w:cs="Arial"/>
        </w:rPr>
      </w:pPr>
    </w:p>
    <w:p w14:paraId="5A46AF02" w14:textId="77777777" w:rsidR="007F639B" w:rsidRDefault="007F639B" w:rsidP="007F639B">
      <w:pPr>
        <w:tabs>
          <w:tab w:val="left" w:pos="360"/>
        </w:tabs>
        <w:spacing w:before="120"/>
        <w:rPr>
          <w:rFonts w:ascii="Arial" w:hAnsi="Arial" w:cs="Arial"/>
        </w:rPr>
      </w:pPr>
    </w:p>
    <w:p w14:paraId="64B4C999" w14:textId="77777777" w:rsidR="007F639B" w:rsidRPr="007F639B" w:rsidRDefault="007F639B" w:rsidP="007F639B">
      <w:pPr>
        <w:tabs>
          <w:tab w:val="left" w:pos="360"/>
        </w:tabs>
        <w:spacing w:before="120"/>
        <w:rPr>
          <w:rFonts w:ascii="Arial" w:hAnsi="Arial" w:cs="Arial"/>
        </w:rPr>
      </w:pPr>
      <w:bookmarkStart w:id="1" w:name="_GoBack"/>
      <w:bookmarkEnd w:id="1"/>
    </w:p>
    <w:p w14:paraId="0119F754" w14:textId="77777777"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5C321300" w14:textId="77777777"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Závěrečná ustanovení</w:t>
      </w:r>
    </w:p>
    <w:p w14:paraId="080FDDC4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Tato Smlouva je vyhotovena ve čtyřech vyhotoveních, z nichž každá smluvní strana obdrží po dvou. </w:t>
      </w:r>
    </w:p>
    <w:p w14:paraId="63BB6352" w14:textId="77777777" w:rsidR="00D46B72" w:rsidRPr="00A22ECE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  <w:b/>
        </w:rPr>
        <w:t>.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povinným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subjektem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340/2015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zvláštních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podmínkách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některých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uveřejňování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těchto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(</w:t>
      </w:r>
      <w:r w:rsidRPr="009950A6">
        <w:rPr>
          <w:rFonts w:ascii="Arial" w:eastAsia="Calibri" w:hAnsi="Arial" w:cs="Arial"/>
        </w:rPr>
        <w:t>zákon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>) (</w:t>
      </w:r>
      <w:r w:rsidRPr="009950A6">
        <w:rPr>
          <w:rFonts w:ascii="Arial" w:eastAsia="Calibri" w:hAnsi="Arial" w:cs="Arial"/>
        </w:rPr>
        <w:t>dále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jako</w:t>
      </w:r>
      <w:r w:rsidRPr="009950A6">
        <w:rPr>
          <w:rFonts w:ascii="Arial" w:hAnsi="Arial" w:cs="Arial"/>
        </w:rPr>
        <w:t xml:space="preserve"> „</w:t>
      </w:r>
      <w:r w:rsidRPr="009950A6">
        <w:rPr>
          <w:rFonts w:ascii="Arial" w:eastAsia="Calibri" w:hAnsi="Arial" w:cs="Arial"/>
        </w:rPr>
        <w:t>ZoRS</w:t>
      </w:r>
      <w:r w:rsidRPr="009950A6">
        <w:rPr>
          <w:rFonts w:ascii="Arial" w:hAnsi="Arial" w:cs="Arial"/>
        </w:rPr>
        <w:t xml:space="preserve">“). </w:t>
      </w:r>
      <w:r w:rsidRPr="009950A6">
        <w:rPr>
          <w:rFonts w:ascii="Arial" w:eastAsia="Calibri" w:hAnsi="Arial" w:cs="Arial"/>
        </w:rPr>
        <w:t>Dle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ZoRS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povinna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uveřejňovat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vybrané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smlouvy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provozovaných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Ministerstvem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vnitra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což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Zhotovitel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svým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podpisem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závěr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bere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vědomí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</w:t>
      </w:r>
      <w:r w:rsidRPr="00A22ECE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>u</w:t>
      </w:r>
      <w:r w:rsidRPr="00A22ECE">
        <w:rPr>
          <w:rFonts w:ascii="Arial" w:eastAsia="Calibri" w:hAnsi="Arial" w:cs="Arial"/>
        </w:rPr>
        <w:t>veřejněním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souhlasí</w:t>
      </w:r>
      <w:r w:rsidRPr="00A22ECE">
        <w:rPr>
          <w:rFonts w:ascii="Arial" w:hAnsi="Arial" w:cs="Arial"/>
        </w:rPr>
        <w:t>.</w:t>
      </w:r>
    </w:p>
    <w:p w14:paraId="26DE26B2" w14:textId="77777777" w:rsidR="00D46B72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byla</w:t>
      </w:r>
      <w:r w:rsidRPr="009950A6">
        <w:rPr>
          <w:rFonts w:ascii="Arial" w:hAnsi="Arial" w:cs="Arial"/>
        </w:rPr>
        <w:t>-</w:t>
      </w:r>
      <w:r w:rsidRPr="009950A6">
        <w:rPr>
          <w:rFonts w:ascii="Arial" w:eastAsia="Calibri" w:hAnsi="Arial" w:cs="Arial"/>
        </w:rPr>
        <w:t>li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uzavřena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</w:t>
      </w:r>
      <w:r w:rsidRPr="009950A6">
        <w:rPr>
          <w:rFonts w:ascii="Arial" w:hAnsi="Arial" w:cs="Arial"/>
        </w:rPr>
        <w:t xml:space="preserve"> </w:t>
      </w:r>
      <w:r w:rsidR="002706BE" w:rsidRPr="009950A6">
        <w:rPr>
          <w:rFonts w:ascii="Arial" w:hAnsi="Arial" w:cs="Arial"/>
        </w:rPr>
        <w:t>1. 7. 2017</w:t>
      </w:r>
      <w:r>
        <w:rPr>
          <w:rFonts w:ascii="Arial" w:eastAsia="Calibri" w:hAnsi="Arial" w:cs="Arial"/>
        </w:rPr>
        <w:t xml:space="preserve"> </w:t>
      </w:r>
      <w:r w:rsidRPr="002A2541">
        <w:rPr>
          <w:rFonts w:ascii="Arial" w:eastAsia="Calibri" w:hAnsi="Arial" w:cs="Arial"/>
        </w:rPr>
        <w:t xml:space="preserve">a </w:t>
      </w:r>
      <w:r w:rsidR="002706BE">
        <w:rPr>
          <w:rFonts w:ascii="Arial" w:hAnsi="Arial" w:cs="Arial"/>
          <w:color w:val="000000"/>
        </w:rPr>
        <w:t>podléhá</w:t>
      </w:r>
      <w:r w:rsidR="002706BE" w:rsidRPr="002706BE">
        <w:rPr>
          <w:rFonts w:ascii="Arial" w:hAnsi="Arial" w:cs="Arial"/>
          <w:color w:val="000000"/>
        </w:rPr>
        <w:t xml:space="preserve">-li </w:t>
      </w:r>
      <w:r w:rsidR="002706BE" w:rsidRPr="002706BE">
        <w:rPr>
          <w:rFonts w:ascii="Arial" w:hAnsi="Arial" w:cs="Arial"/>
          <w:bCs/>
          <w:color w:val="000000"/>
        </w:rPr>
        <w:t>povinnosti uveřejnění dle</w:t>
      </w:r>
      <w:r w:rsidR="002706BE" w:rsidRPr="002706BE">
        <w:rPr>
          <w:rFonts w:ascii="Arial" w:hAnsi="Arial" w:cs="Arial"/>
          <w:color w:val="000000"/>
        </w:rPr>
        <w:t xml:space="preserve"> Zo</w:t>
      </w:r>
      <w:r w:rsidR="002706BE">
        <w:rPr>
          <w:rFonts w:ascii="Arial" w:hAnsi="Arial" w:cs="Arial"/>
          <w:color w:val="000000"/>
        </w:rPr>
        <w:t>RS</w:t>
      </w:r>
      <w:r w:rsidRPr="002A2541">
        <w:rPr>
          <w:rFonts w:ascii="Arial" w:eastAsia="Calibri" w:hAnsi="Arial" w:cs="Arial"/>
        </w:rPr>
        <w:t>,</w:t>
      </w:r>
      <w:r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nabývá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se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zavazuje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bez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zbytečného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odkladu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nejpozději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však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9950A6">
        <w:rPr>
          <w:rFonts w:ascii="Arial" w:hAnsi="Arial" w:cs="Arial"/>
        </w:rPr>
        <w:t xml:space="preserve">0 </w:t>
      </w:r>
      <w:r w:rsidRPr="009950A6">
        <w:rPr>
          <w:rFonts w:ascii="Arial" w:eastAsia="Calibri" w:hAnsi="Arial" w:cs="Arial"/>
        </w:rPr>
        <w:t>dnů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</w:t>
      </w:r>
      <w:r w:rsidR="00730478">
        <w:rPr>
          <w:rFonts w:ascii="Arial" w:eastAsia="Calibri" w:hAnsi="Arial" w:cs="Arial"/>
        </w:rPr>
        <w:t xml:space="preserve"> uzavření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9950A6">
        <w:rPr>
          <w:rFonts w:ascii="Arial" w:eastAsia="Calibri" w:hAnsi="Arial" w:cs="Arial"/>
        </w:rPr>
        <w:t>mlouvy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zajistit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>
        <w:rPr>
          <w:rFonts w:ascii="Arial" w:eastAsia="Calibri" w:hAnsi="Arial" w:cs="Arial"/>
        </w:rPr>
        <w:t xml:space="preserve"> smluv</w:t>
      </w:r>
      <w:r w:rsidRPr="00A22ECE">
        <w:rPr>
          <w:rFonts w:ascii="Arial" w:hAnsi="Arial" w:cs="Arial"/>
        </w:rPr>
        <w:t>.</w:t>
      </w:r>
    </w:p>
    <w:p w14:paraId="337F2F57" w14:textId="77777777" w:rsidR="00D46B72" w:rsidRPr="00A22ECE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DF731C">
        <w:rPr>
          <w:rFonts w:ascii="Arial" w:hAnsi="Arial" w:cs="Arial"/>
        </w:rPr>
        <w:t xml:space="preserve">V případě, že by došlo k uveřejnění v registru smluv dle ZoRS jinou smluvní stranou odlišnou od ČD – Telematika a.s., zavazuje </w:t>
      </w:r>
      <w:r>
        <w:rPr>
          <w:rFonts w:ascii="Arial" w:hAnsi="Arial" w:cs="Arial"/>
        </w:rPr>
        <w:t>se smluvní strana, která takto S</w:t>
      </w:r>
      <w:r w:rsidRPr="00DF731C">
        <w:rPr>
          <w:rFonts w:ascii="Arial" w:hAnsi="Arial" w:cs="Arial"/>
        </w:rPr>
        <w:t>mlouvu uveřejní, na výzvu nahradit škodu, bude-li tato, jakož i její výše jednoznačně a prokazatelně doložena smluvní straně, která porušila povinnost dle toh</w:t>
      </w:r>
      <w:r>
        <w:rPr>
          <w:rFonts w:ascii="Arial" w:hAnsi="Arial" w:cs="Arial"/>
        </w:rPr>
        <w:t>oto odstavce S</w:t>
      </w:r>
      <w:r w:rsidRPr="00DF731C">
        <w:rPr>
          <w:rFonts w:ascii="Arial" w:hAnsi="Arial" w:cs="Arial"/>
        </w:rPr>
        <w:t>mlouvy</w:t>
      </w:r>
      <w:r>
        <w:rPr>
          <w:rFonts w:ascii="Arial" w:hAnsi="Arial" w:cs="Arial"/>
        </w:rPr>
        <w:t>.</w:t>
      </w:r>
    </w:p>
    <w:p w14:paraId="3147EAAF" w14:textId="77777777" w:rsidR="009B48DE" w:rsidRPr="00A51E99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  <w:bCs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tímto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výslovně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konstatují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považují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celý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obsah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mlouvy včetně souvisejících příloh</w:t>
      </w:r>
      <w:r w:rsidRPr="009950A6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 xml:space="preserve">Smlouvy </w:t>
      </w:r>
      <w:r w:rsidRPr="009950A6">
        <w:rPr>
          <w:rFonts w:ascii="Arial" w:eastAsia="Calibri" w:hAnsi="Arial" w:cs="Arial"/>
        </w:rPr>
        <w:t>za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předmět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obchodního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tajemství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§</w:t>
      </w:r>
      <w:r w:rsidRPr="009950A6">
        <w:rPr>
          <w:rFonts w:ascii="Arial" w:hAnsi="Arial" w:cs="Arial"/>
        </w:rPr>
        <w:t xml:space="preserve"> 504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89/2012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občanský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zákoník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výjimkou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článků</w:t>
      </w:r>
      <w:r w:rsidRPr="00A22ECE">
        <w:rPr>
          <w:rFonts w:ascii="Arial" w:eastAsia="Calibri" w:hAnsi="Arial" w:cs="Arial"/>
        </w:rPr>
        <w:t xml:space="preserve"> čl. I, </w:t>
      </w:r>
      <w:r w:rsidR="00730478">
        <w:rPr>
          <w:rFonts w:ascii="Arial" w:eastAsia="Calibri" w:hAnsi="Arial" w:cs="Arial"/>
        </w:rPr>
        <w:t xml:space="preserve">čl. </w:t>
      </w:r>
      <w:r w:rsidRPr="00A22ECE">
        <w:rPr>
          <w:rFonts w:ascii="Arial" w:eastAsia="Calibri" w:hAnsi="Arial" w:cs="Arial"/>
        </w:rPr>
        <w:t xml:space="preserve">II, </w:t>
      </w:r>
      <w:r w:rsidR="00730478">
        <w:rPr>
          <w:rFonts w:ascii="Arial" w:eastAsia="Calibri" w:hAnsi="Arial" w:cs="Arial"/>
        </w:rPr>
        <w:t xml:space="preserve">čl. V vyjma odst. 2, čl. VII vyjma odst. 2, čl. VIII, IX, XI, </w:t>
      </w:r>
      <w:r>
        <w:rPr>
          <w:rFonts w:ascii="Arial" w:eastAsia="Calibri" w:hAnsi="Arial" w:cs="Arial"/>
        </w:rPr>
        <w:t>XII</w:t>
      </w:r>
      <w:r w:rsidR="00751736">
        <w:rPr>
          <w:rFonts w:ascii="Arial" w:eastAsia="Calibri" w:hAnsi="Arial" w:cs="Arial"/>
        </w:rPr>
        <w:t>, XIII</w:t>
      </w:r>
      <w:r w:rsidRPr="00A22ECE">
        <w:rPr>
          <w:rFonts w:ascii="Arial" w:eastAsia="Calibri" w:hAnsi="Arial" w:cs="Arial"/>
        </w:rPr>
        <w:t xml:space="preserve"> a </w:t>
      </w:r>
      <w:r>
        <w:rPr>
          <w:rFonts w:ascii="Arial" w:eastAsia="Calibri" w:hAnsi="Arial" w:cs="Arial"/>
        </w:rPr>
        <w:t>XI</w:t>
      </w:r>
      <w:r w:rsidR="00751736">
        <w:rPr>
          <w:rFonts w:ascii="Arial" w:eastAsia="Calibri" w:hAnsi="Arial" w:cs="Arial"/>
        </w:rPr>
        <w:t>V</w:t>
      </w:r>
      <w:r>
        <w:rPr>
          <w:rFonts w:ascii="Arial" w:eastAsia="Calibri" w:hAnsi="Arial" w:cs="Arial"/>
        </w:rPr>
        <w:t xml:space="preserve"> této Smlouvy</w:t>
      </w:r>
      <w:r w:rsidRPr="00A22EC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DF731C">
        <w:rPr>
          <w:rFonts w:ascii="Arial" w:eastAsia="Calibri" w:hAnsi="Arial" w:cs="Arial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9B48DE" w:rsidRPr="00662EB5">
        <w:rPr>
          <w:rFonts w:ascii="Arial" w:hAnsi="Arial" w:cs="Arial"/>
        </w:rPr>
        <w:t>.</w:t>
      </w:r>
    </w:p>
    <w:p w14:paraId="2F02F964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Přílohami této Smlouvy jsou:</w:t>
      </w:r>
    </w:p>
    <w:p w14:paraId="2026458D" w14:textId="4AC71503" w:rsidR="00D94715" w:rsidRDefault="00C16472" w:rsidP="00C16472">
      <w:pPr>
        <w:pStyle w:val="Odstavecseseznamem"/>
        <w:numPr>
          <w:ilvl w:val="1"/>
          <w:numId w:val="25"/>
        </w:numPr>
        <w:tabs>
          <w:tab w:val="left" w:pos="360"/>
          <w:tab w:val="left" w:pos="705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soupis prací – nabídka Zhotovitele</w:t>
      </w:r>
    </w:p>
    <w:p w14:paraId="56187DE0" w14:textId="5DE0997D" w:rsidR="00C16472" w:rsidRPr="00C16472" w:rsidRDefault="00C16472" w:rsidP="00C16472">
      <w:pPr>
        <w:pStyle w:val="Odstavecseseznamem"/>
        <w:numPr>
          <w:ilvl w:val="1"/>
          <w:numId w:val="25"/>
        </w:numPr>
        <w:tabs>
          <w:tab w:val="left" w:pos="360"/>
          <w:tab w:val="left" w:pos="705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plná moc </w:t>
      </w:r>
      <w:r w:rsidR="009730B8">
        <w:rPr>
          <w:rFonts w:ascii="Arial" w:hAnsi="Arial" w:cs="Arial"/>
          <w:bCs/>
        </w:rPr>
        <w:t>Mgr. Jan Bartoš, ev.č. 055/19/N</w:t>
      </w:r>
    </w:p>
    <w:p w14:paraId="7746EBFD" w14:textId="77777777" w:rsidR="00D94715" w:rsidRPr="006C51E1" w:rsidRDefault="00D94715" w:rsidP="00843712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Tyto dokumenty jsou součástí této Smlouvy ve své podobě opatřené podpisy za obě smluvní strany.</w:t>
      </w:r>
    </w:p>
    <w:p w14:paraId="76D84AD5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14:paraId="62BBCC61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14:paraId="599CA0F2" w14:textId="77777777" w:rsidR="00D94715" w:rsidRDefault="00CF191D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Žádná se smluvních stran není odpovědná za porušení svých závazků z této Smlouvy, pokud je toto porušení způsobeno </w:t>
      </w:r>
      <w:r w:rsidR="007C2236">
        <w:rPr>
          <w:rFonts w:ascii="Arial" w:hAnsi="Arial" w:cs="Arial"/>
          <w:bCs/>
        </w:rPr>
        <w:t xml:space="preserve">mimořádnou nepředvídatelnou a nepřekonatelnou překážkou, vzniklou nezávisle na její vůli ve smyslu § 2913 odst. 2 </w:t>
      </w:r>
      <w:r w:rsidR="00A059CF">
        <w:rPr>
          <w:rFonts w:ascii="Arial" w:hAnsi="Arial" w:cs="Arial"/>
          <w:bCs/>
        </w:rPr>
        <w:t>Občanského zákoníku</w:t>
      </w:r>
      <w:r>
        <w:rPr>
          <w:rFonts w:ascii="Arial" w:hAnsi="Arial" w:cs="Arial"/>
          <w:bCs/>
        </w:rPr>
        <w:t>.</w:t>
      </w:r>
    </w:p>
    <w:p w14:paraId="68D7397B" w14:textId="77777777" w:rsidR="007C2236" w:rsidRPr="00E0374B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</w:rPr>
        <w:t xml:space="preserve">Změní-li se po uzavření Smlouvy okolnosti do té míry, že se plnění podle této Smlouvy stane pro </w:t>
      </w:r>
      <w:r w:rsidR="00FB7ED8">
        <w:rPr>
          <w:rFonts w:ascii="Arial" w:hAnsi="Arial" w:cs="Arial"/>
        </w:rPr>
        <w:t xml:space="preserve">některou ze stran </w:t>
      </w:r>
      <w:r w:rsidRPr="00F15EC6">
        <w:rPr>
          <w:rFonts w:ascii="Arial" w:hAnsi="Arial" w:cs="Arial"/>
        </w:rPr>
        <w:t xml:space="preserve">obtížnější, nemění to nic na jeho povinnosti splnit závazky ze Smlouvy. </w:t>
      </w:r>
      <w:r w:rsidR="00E0374B">
        <w:rPr>
          <w:rFonts w:ascii="Arial" w:hAnsi="Arial" w:cs="Arial"/>
        </w:rPr>
        <w:t xml:space="preserve"> Objednatel</w:t>
      </w:r>
      <w:r w:rsidR="00E0374B">
        <w:rPr>
          <w:rFonts w:ascii="Arial" w:hAnsi="Arial" w:cs="Arial"/>
          <w:bCs/>
        </w:rPr>
        <w:t xml:space="preserve"> </w:t>
      </w:r>
      <w:r w:rsidR="00E0374B" w:rsidRPr="00754D0D">
        <w:rPr>
          <w:rFonts w:ascii="Arial" w:hAnsi="Arial" w:cs="Arial"/>
        </w:rPr>
        <w:t>na sebe přebírá nebezpečí změny</w:t>
      </w:r>
      <w:r w:rsidR="00E0374B" w:rsidRPr="00E34DE2">
        <w:rPr>
          <w:rFonts w:ascii="Arial" w:hAnsi="Arial" w:cs="Arial"/>
        </w:rPr>
        <w:t xml:space="preserve"> okolností</w:t>
      </w:r>
      <w:r w:rsidR="00E0374B">
        <w:rPr>
          <w:rFonts w:ascii="Arial" w:hAnsi="Arial" w:cs="Arial"/>
        </w:rPr>
        <w:t xml:space="preserve">; </w:t>
      </w:r>
      <w:r w:rsidR="00E0374B" w:rsidRPr="00754D0D">
        <w:rPr>
          <w:rFonts w:ascii="Arial" w:hAnsi="Arial" w:cs="Arial"/>
        </w:rPr>
        <w:t>ust. § 1765 odst. 1 občanského zákoníku se v tomto případě nepoužije</w:t>
      </w:r>
      <w:r w:rsidR="00E0374B">
        <w:rPr>
          <w:rFonts w:ascii="Arial" w:hAnsi="Arial" w:cs="Arial"/>
        </w:rPr>
        <w:t>.</w:t>
      </w:r>
    </w:p>
    <w:p w14:paraId="23C50E29" w14:textId="77777777" w:rsidR="00D94715" w:rsidRPr="006C51E1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504CC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>
        <w:rPr>
          <w:rFonts w:ascii="Arial" w:hAnsi="Arial" w:cs="Arial"/>
        </w:rPr>
        <w:t>89</w:t>
      </w:r>
      <w:r w:rsidRPr="00C504CC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Pr="00C504CC">
        <w:rPr>
          <w:rFonts w:ascii="Arial" w:hAnsi="Arial" w:cs="Arial"/>
        </w:rPr>
        <w:t xml:space="preserve"> Sb., Ob</w:t>
      </w:r>
      <w:r>
        <w:rPr>
          <w:rFonts w:ascii="Arial" w:hAnsi="Arial" w:cs="Arial"/>
        </w:rPr>
        <w:t>čanský</w:t>
      </w:r>
      <w:r w:rsidRPr="00C504CC">
        <w:rPr>
          <w:rFonts w:ascii="Arial" w:hAnsi="Arial" w:cs="Arial"/>
        </w:rPr>
        <w:t xml:space="preserve"> zákoník</w:t>
      </w:r>
      <w:r w:rsidR="003536EC">
        <w:rPr>
          <w:rFonts w:ascii="Arial" w:hAnsi="Arial" w:cs="Arial"/>
        </w:rPr>
        <w:t>.</w:t>
      </w:r>
      <w:r w:rsidR="00A059CF" w:rsidRPr="00A059CF">
        <w:rPr>
          <w:rFonts w:ascii="Arial" w:hAnsi="Arial" w:cs="Arial"/>
          <w:bCs/>
          <w:sz w:val="16"/>
        </w:rPr>
        <w:t xml:space="preserve"> </w:t>
      </w:r>
      <w:r w:rsidR="00A059CF" w:rsidRPr="00A059CF">
        <w:rPr>
          <w:rFonts w:ascii="Arial" w:hAnsi="Arial" w:cs="Arial"/>
          <w:szCs w:val="24"/>
        </w:rPr>
        <w:t xml:space="preserve">Smluvní strany pro účely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výslovně sjednávají, že případné obchodní zvyklosti týkající se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nemají přednost před ujednáním v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>mlouvě, ani před ustanoveními zákona, byť by tato ustanovení neměla donucující účinky.</w:t>
      </w:r>
    </w:p>
    <w:p w14:paraId="59BCF2A4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Tato Smlouva nabývá platnosti a účinnosti podpisem obou smluvních stran</w:t>
      </w:r>
      <w:r w:rsidR="00D46B72">
        <w:rPr>
          <w:rFonts w:ascii="Arial" w:hAnsi="Arial" w:cs="Arial"/>
          <w:bCs/>
        </w:rPr>
        <w:t>, není-li sjednána účinnost jiná, zejména dle odst. 3 tohoto článku</w:t>
      </w:r>
      <w:r w:rsidRPr="006C51E1">
        <w:rPr>
          <w:rFonts w:ascii="Arial" w:hAnsi="Arial" w:cs="Arial"/>
          <w:bCs/>
        </w:rPr>
        <w:t>.</w:t>
      </w:r>
    </w:p>
    <w:p w14:paraId="40B55CD0" w14:textId="77777777" w:rsidR="00D94715" w:rsidRPr="006C51E1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271A4">
        <w:rPr>
          <w:rFonts w:ascii="Arial" w:hAnsi="Arial" w:cs="Arial"/>
          <w:bCs/>
        </w:rPr>
        <w:t xml:space="preserve">Smluvní strany výslovně prohlašují, že si text </w:t>
      </w:r>
      <w:r>
        <w:rPr>
          <w:rFonts w:ascii="Arial" w:hAnsi="Arial" w:cs="Arial"/>
          <w:bCs/>
        </w:rPr>
        <w:t>S</w:t>
      </w:r>
      <w:r w:rsidRPr="00C271A4">
        <w:rPr>
          <w:rFonts w:ascii="Arial" w:hAnsi="Arial" w:cs="Arial"/>
          <w:bCs/>
        </w:rPr>
        <w:t>mlouvy důkladně přečetly, veškerým ustanovením rozumí a souhlasí s nimi, a že žádná ze smluvních stran nejedná v tísni ani za nápadně 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14:paraId="08B66C3C" w14:textId="77777777" w:rsidR="00F95E60" w:rsidRDefault="00F95E60" w:rsidP="00D94715">
      <w:pPr>
        <w:rPr>
          <w:rFonts w:ascii="Arial" w:hAnsi="Arial" w:cs="Arial"/>
        </w:rPr>
      </w:pPr>
    </w:p>
    <w:p w14:paraId="65D7CEFD" w14:textId="77777777" w:rsidR="00541419" w:rsidRDefault="00541419" w:rsidP="00D94715">
      <w:pPr>
        <w:rPr>
          <w:rFonts w:ascii="Arial" w:hAnsi="Arial" w:cs="Arial"/>
        </w:rPr>
      </w:pPr>
    </w:p>
    <w:p w14:paraId="232C9DB9" w14:textId="77777777" w:rsidR="00541419" w:rsidRDefault="00541419" w:rsidP="00D94715">
      <w:pPr>
        <w:rPr>
          <w:rFonts w:ascii="Arial" w:hAnsi="Arial" w:cs="Arial"/>
        </w:rPr>
      </w:pPr>
    </w:p>
    <w:p w14:paraId="5962F703" w14:textId="77777777" w:rsidR="00F26083" w:rsidRDefault="00F26083" w:rsidP="00D94715">
      <w:pPr>
        <w:rPr>
          <w:rFonts w:ascii="Arial" w:hAnsi="Arial" w:cs="Arial"/>
        </w:rPr>
      </w:pPr>
    </w:p>
    <w:p w14:paraId="44AB174A" w14:textId="77777777" w:rsidR="00F94216" w:rsidRPr="006C51E1" w:rsidRDefault="00F94216" w:rsidP="00D94715">
      <w:pPr>
        <w:rPr>
          <w:rFonts w:ascii="Arial" w:hAnsi="Arial" w:cs="Arial"/>
        </w:rPr>
      </w:pPr>
    </w:p>
    <w:p w14:paraId="72A94C9E" w14:textId="77777777" w:rsidR="00D94715" w:rsidRDefault="00D94715" w:rsidP="00843712">
      <w:pPr>
        <w:tabs>
          <w:tab w:val="left" w:pos="7020"/>
        </w:tabs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Zhotovitel: </w:t>
      </w:r>
      <w:r w:rsidRPr="006C51E1">
        <w:rPr>
          <w:rFonts w:ascii="Arial" w:hAnsi="Arial" w:cs="Arial"/>
        </w:rPr>
        <w:tab/>
        <w:t>Objednatel:</w:t>
      </w:r>
    </w:p>
    <w:p w14:paraId="63ED4853" w14:textId="77777777" w:rsidR="00F26083" w:rsidRPr="006C51E1" w:rsidRDefault="00F26083" w:rsidP="00843712">
      <w:pPr>
        <w:tabs>
          <w:tab w:val="left" w:pos="7020"/>
        </w:tabs>
        <w:rPr>
          <w:rFonts w:ascii="Arial" w:hAnsi="Arial" w:cs="Arial"/>
        </w:rPr>
      </w:pPr>
    </w:p>
    <w:tbl>
      <w:tblPr>
        <w:tblW w:w="4843" w:type="pct"/>
        <w:jc w:val="center"/>
        <w:tblLook w:val="01E0" w:firstRow="1" w:lastRow="1" w:firstColumn="1" w:lastColumn="1" w:noHBand="0" w:noVBand="0"/>
      </w:tblPr>
      <w:tblGrid>
        <w:gridCol w:w="3107"/>
        <w:gridCol w:w="284"/>
        <w:gridCol w:w="3102"/>
        <w:gridCol w:w="284"/>
        <w:gridCol w:w="3107"/>
      </w:tblGrid>
      <w:tr w:rsidR="00D94715" w:rsidRPr="006C51E1" w14:paraId="133A1B7A" w14:textId="77777777" w:rsidTr="009B216E">
        <w:trPr>
          <w:trHeight w:val="391"/>
          <w:jc w:val="center"/>
        </w:trPr>
        <w:tc>
          <w:tcPr>
            <w:tcW w:w="3119" w:type="dxa"/>
            <w:vAlign w:val="center"/>
          </w:tcPr>
          <w:p w14:paraId="20FC8CF8" w14:textId="62D3484D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  <w:r w:rsidR="007F639B">
              <w:rPr>
                <w:rFonts w:ascii="Arial" w:hAnsi="Arial" w:cs="Arial"/>
              </w:rPr>
              <w:t xml:space="preserve"> 15. 9. 2020</w:t>
            </w:r>
          </w:p>
        </w:tc>
        <w:tc>
          <w:tcPr>
            <w:tcW w:w="284" w:type="dxa"/>
            <w:vAlign w:val="center"/>
          </w:tcPr>
          <w:p w14:paraId="13B8C064" w14:textId="77777777"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1B97BF2" w14:textId="0CB61CC8"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33D4AE8F" w14:textId="77777777"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1396DE8" w14:textId="5DA2FDC9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  <w:r w:rsidR="007F639B">
              <w:rPr>
                <w:rFonts w:ascii="Arial" w:hAnsi="Arial" w:cs="Arial"/>
              </w:rPr>
              <w:t xml:space="preserve">  13. 8. 2020</w:t>
            </w:r>
          </w:p>
        </w:tc>
      </w:tr>
      <w:tr w:rsidR="00D94715" w:rsidRPr="006C51E1" w14:paraId="136A7AC0" w14:textId="77777777" w:rsidTr="009B216E">
        <w:trPr>
          <w:jc w:val="center"/>
        </w:trPr>
        <w:tc>
          <w:tcPr>
            <w:tcW w:w="3119" w:type="dxa"/>
          </w:tcPr>
          <w:p w14:paraId="373CC1A8" w14:textId="77777777" w:rsidR="00F95E60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  <w:p w14:paraId="30DE2110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 a.s.</w:t>
            </w:r>
          </w:p>
        </w:tc>
        <w:tc>
          <w:tcPr>
            <w:tcW w:w="284" w:type="dxa"/>
          </w:tcPr>
          <w:p w14:paraId="54A7287F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68863268" w14:textId="417AEC3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489C50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1FA1B5C8" w14:textId="77777777" w:rsidR="00D94715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  <w:p w14:paraId="19C771EE" w14:textId="10CE172E" w:rsidR="00F95E60" w:rsidRPr="006C51E1" w:rsidRDefault="00D67D93" w:rsidP="00D67D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Letohrad</w:t>
            </w:r>
          </w:p>
        </w:tc>
      </w:tr>
      <w:tr w:rsidR="00F95E60" w:rsidRPr="006C51E1" w14:paraId="1F349518" w14:textId="77777777" w:rsidTr="009B216E">
        <w:trPr>
          <w:trHeight w:val="790"/>
          <w:jc w:val="center"/>
        </w:trPr>
        <w:tc>
          <w:tcPr>
            <w:tcW w:w="3119" w:type="dxa"/>
          </w:tcPr>
          <w:p w14:paraId="76F3CF92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26EFA3F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682ED11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7CDAF80" w14:textId="77777777" w:rsidR="00F95E60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---------------------------------</w:t>
            </w:r>
          </w:p>
        </w:tc>
        <w:tc>
          <w:tcPr>
            <w:tcW w:w="284" w:type="dxa"/>
          </w:tcPr>
          <w:p w14:paraId="48D27187" w14:textId="77777777" w:rsidR="00F95E60" w:rsidRPr="006C51E1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1C8FB1D4" w14:textId="23C4BF5E" w:rsidR="009C4214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A5D2C1" w14:textId="77777777" w:rsidR="00F95E60" w:rsidRPr="006C51E1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27930D8E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F7BD973" w14:textId="77777777"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D51FAF3" w14:textId="77777777"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D1524E1" w14:textId="77777777" w:rsidR="009C4214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--------------------------------------</w:t>
            </w:r>
          </w:p>
        </w:tc>
      </w:tr>
      <w:tr w:rsidR="00D94715" w:rsidRPr="006C51E1" w14:paraId="63071EC2" w14:textId="77777777" w:rsidTr="009B216E">
        <w:trPr>
          <w:trHeight w:val="494"/>
          <w:jc w:val="center"/>
        </w:trPr>
        <w:tc>
          <w:tcPr>
            <w:tcW w:w="3119" w:type="dxa"/>
          </w:tcPr>
          <w:p w14:paraId="5D51D221" w14:textId="40ED1F69" w:rsidR="009730B8" w:rsidRPr="006C51E1" w:rsidRDefault="007F639B" w:rsidP="00843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284" w:type="dxa"/>
          </w:tcPr>
          <w:p w14:paraId="26F72AE2" w14:textId="77777777" w:rsidR="00D94715" w:rsidRPr="006C51E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1686F9A" w14:textId="4DEE3444" w:rsidR="00D94715" w:rsidRPr="006C51E1" w:rsidRDefault="00D94715" w:rsidP="009C4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E8E51DF" w14:textId="77777777" w:rsidR="00D94715" w:rsidRPr="006C51E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46F00F1" w14:textId="77777777" w:rsidR="00D94715" w:rsidRDefault="00791300" w:rsidP="00ED6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Fiala</w:t>
            </w:r>
          </w:p>
          <w:p w14:paraId="24E79335" w14:textId="01236D12" w:rsidR="00791300" w:rsidRPr="00791300" w:rsidRDefault="00791300" w:rsidP="00ED6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  <w:tr w:rsidR="00D94715" w:rsidRPr="006C51E1" w14:paraId="4BCBA49C" w14:textId="77777777" w:rsidTr="009B216E">
        <w:trPr>
          <w:trHeight w:val="258"/>
          <w:jc w:val="center"/>
        </w:trPr>
        <w:tc>
          <w:tcPr>
            <w:tcW w:w="3119" w:type="dxa"/>
          </w:tcPr>
          <w:p w14:paraId="2333F5C2" w14:textId="41840793"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E60">
              <w:rPr>
                <w:rFonts w:ascii="Arial" w:hAnsi="Arial" w:cs="Arial"/>
                <w:sz w:val="16"/>
                <w:szCs w:val="16"/>
              </w:rPr>
              <w:t>Podpis oprávněného zástupce Zhotovitele</w:t>
            </w:r>
          </w:p>
        </w:tc>
        <w:tc>
          <w:tcPr>
            <w:tcW w:w="284" w:type="dxa"/>
          </w:tcPr>
          <w:p w14:paraId="1B67E1EE" w14:textId="77777777"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B5321C0" w14:textId="4657FA9B"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3F42CF17" w14:textId="77777777"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10F8771" w14:textId="77777777" w:rsidR="00D94715" w:rsidRPr="0079130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300">
              <w:rPr>
                <w:rFonts w:ascii="Arial" w:hAnsi="Arial" w:cs="Arial"/>
                <w:sz w:val="16"/>
                <w:szCs w:val="16"/>
              </w:rPr>
              <w:t>Podpis oprávněného zástupce Objednatele</w:t>
            </w:r>
          </w:p>
        </w:tc>
      </w:tr>
    </w:tbl>
    <w:p w14:paraId="5E76D51B" w14:textId="77777777" w:rsidR="00405700" w:rsidRPr="009B216E" w:rsidRDefault="00405700">
      <w:pPr>
        <w:rPr>
          <w:sz w:val="10"/>
        </w:rPr>
      </w:pPr>
    </w:p>
    <w:sectPr w:rsidR="00405700" w:rsidRPr="009B216E" w:rsidSect="00E3167A">
      <w:headerReference w:type="default" r:id="rId11"/>
      <w:footerReference w:type="default" r:id="rId12"/>
      <w:pgSz w:w="11906" w:h="16838" w:code="9"/>
      <w:pgMar w:top="1985" w:right="851" w:bottom="1276" w:left="851" w:header="53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2F9425" w16cid:durableId="2291CE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CA957" w14:textId="77777777" w:rsidR="00F378AD" w:rsidRDefault="00F378AD">
      <w:r>
        <w:separator/>
      </w:r>
    </w:p>
  </w:endnote>
  <w:endnote w:type="continuationSeparator" w:id="0">
    <w:p w14:paraId="3DB523AA" w14:textId="77777777" w:rsidR="00F378AD" w:rsidRDefault="00F3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65412" w14:textId="77777777" w:rsidR="00C5092E" w:rsidRPr="006F38F3" w:rsidRDefault="00C5092E" w:rsidP="006F38F3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6F38F3">
      <w:rPr>
        <w:rFonts w:ascii="Arial" w:hAnsi="Arial" w:cs="Arial"/>
        <w:color w:val="7F7F7F"/>
      </w:rPr>
      <w:t xml:space="preserve">Strana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PAGE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7F639B">
      <w:rPr>
        <w:rStyle w:val="slostrnky"/>
        <w:rFonts w:ascii="Arial" w:hAnsi="Arial" w:cs="Arial"/>
        <w:noProof/>
        <w:color w:val="7F7F7F"/>
      </w:rPr>
      <w:t>7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 xml:space="preserve"> (celkem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NUMPAGES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7F639B">
      <w:rPr>
        <w:rStyle w:val="slostrnky"/>
        <w:rFonts w:ascii="Arial" w:hAnsi="Arial" w:cs="Arial"/>
        <w:noProof/>
        <w:color w:val="7F7F7F"/>
      </w:rPr>
      <w:t>7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E9897" w14:textId="77777777" w:rsidR="00F378AD" w:rsidRDefault="00F378AD">
      <w:r>
        <w:separator/>
      </w:r>
    </w:p>
  </w:footnote>
  <w:footnote w:type="continuationSeparator" w:id="0">
    <w:p w14:paraId="2FEC6AC7" w14:textId="77777777" w:rsidR="00F378AD" w:rsidRDefault="00F3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8FF3F" w14:textId="77777777" w:rsidR="00C5092E" w:rsidRDefault="00CB018C" w:rsidP="00CB018C">
    <w:pPr>
      <w:pStyle w:val="Zhlav"/>
      <w:ind w:left="-180"/>
    </w:pPr>
    <w:r>
      <w:rPr>
        <w:noProof/>
      </w:rPr>
      <w:drawing>
        <wp:inline distT="0" distB="0" distL="0" distR="0" wp14:anchorId="71904981" wp14:editId="4760C54F">
          <wp:extent cx="1350000" cy="739726"/>
          <wp:effectExtent l="0" t="0" r="3175" b="3810"/>
          <wp:docPr id="2" name="Obrázek 2" descr="W:\logo ČD-T\komprimovaná\logo_30m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ČD-T\komprimovaná\logo_30m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3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5A5B41"/>
    <w:multiLevelType w:val="hybridMultilevel"/>
    <w:tmpl w:val="DCBE1B3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3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7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7"/>
  </w:num>
  <w:num w:numId="10">
    <w:abstractNumId w:val="23"/>
  </w:num>
  <w:num w:numId="11">
    <w:abstractNumId w:val="13"/>
  </w:num>
  <w:num w:numId="12">
    <w:abstractNumId w:val="19"/>
  </w:num>
  <w:num w:numId="13">
    <w:abstractNumId w:val="14"/>
  </w:num>
  <w:num w:numId="14">
    <w:abstractNumId w:val="20"/>
  </w:num>
  <w:num w:numId="15">
    <w:abstractNumId w:val="25"/>
  </w:num>
  <w:num w:numId="16">
    <w:abstractNumId w:val="2"/>
  </w:num>
  <w:num w:numId="17">
    <w:abstractNumId w:val="24"/>
  </w:num>
  <w:num w:numId="18">
    <w:abstractNumId w:val="10"/>
  </w:num>
  <w:num w:numId="19">
    <w:abstractNumId w:val="12"/>
  </w:num>
  <w:num w:numId="20">
    <w:abstractNumId w:val="1"/>
  </w:num>
  <w:num w:numId="21">
    <w:abstractNumId w:val="18"/>
  </w:num>
  <w:num w:numId="22">
    <w:abstractNumId w:val="11"/>
  </w:num>
  <w:num w:numId="23">
    <w:abstractNumId w:val="15"/>
  </w:num>
  <w:num w:numId="24">
    <w:abstractNumId w:val="22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1DD8"/>
    <w:rsid w:val="00002014"/>
    <w:rsid w:val="000A0FD8"/>
    <w:rsid w:val="0010560D"/>
    <w:rsid w:val="00110FD4"/>
    <w:rsid w:val="00115AEB"/>
    <w:rsid w:val="00126FA2"/>
    <w:rsid w:val="001508F1"/>
    <w:rsid w:val="00182FA2"/>
    <w:rsid w:val="00194026"/>
    <w:rsid w:val="00195955"/>
    <w:rsid w:val="00196A51"/>
    <w:rsid w:val="001B266E"/>
    <w:rsid w:val="001C087C"/>
    <w:rsid w:val="001D395C"/>
    <w:rsid w:val="001F6695"/>
    <w:rsid w:val="0020269D"/>
    <w:rsid w:val="00217F36"/>
    <w:rsid w:val="0022691C"/>
    <w:rsid w:val="00243296"/>
    <w:rsid w:val="002706BE"/>
    <w:rsid w:val="002722F2"/>
    <w:rsid w:val="00290D38"/>
    <w:rsid w:val="00295AEE"/>
    <w:rsid w:val="002B61FB"/>
    <w:rsid w:val="002C198F"/>
    <w:rsid w:val="002C37E4"/>
    <w:rsid w:val="002D01EA"/>
    <w:rsid w:val="002F0DA8"/>
    <w:rsid w:val="002F6D7D"/>
    <w:rsid w:val="00303965"/>
    <w:rsid w:val="003352A7"/>
    <w:rsid w:val="00347060"/>
    <w:rsid w:val="00350DBE"/>
    <w:rsid w:val="00350F09"/>
    <w:rsid w:val="003536EC"/>
    <w:rsid w:val="00356F31"/>
    <w:rsid w:val="00395379"/>
    <w:rsid w:val="003A6EA8"/>
    <w:rsid w:val="003B16AD"/>
    <w:rsid w:val="003D5D25"/>
    <w:rsid w:val="004043F6"/>
    <w:rsid w:val="0040518C"/>
    <w:rsid w:val="00405700"/>
    <w:rsid w:val="00407D83"/>
    <w:rsid w:val="004142CD"/>
    <w:rsid w:val="00423840"/>
    <w:rsid w:val="00432467"/>
    <w:rsid w:val="0044464F"/>
    <w:rsid w:val="004E20FD"/>
    <w:rsid w:val="004E6BED"/>
    <w:rsid w:val="00505919"/>
    <w:rsid w:val="00541419"/>
    <w:rsid w:val="005521A5"/>
    <w:rsid w:val="005540A9"/>
    <w:rsid w:val="00583A50"/>
    <w:rsid w:val="005C7812"/>
    <w:rsid w:val="00611FDB"/>
    <w:rsid w:val="00630F65"/>
    <w:rsid w:val="006354E3"/>
    <w:rsid w:val="00665731"/>
    <w:rsid w:val="00665D7E"/>
    <w:rsid w:val="00665FA2"/>
    <w:rsid w:val="0067117A"/>
    <w:rsid w:val="0067192C"/>
    <w:rsid w:val="00680E77"/>
    <w:rsid w:val="006B3CDF"/>
    <w:rsid w:val="006B601B"/>
    <w:rsid w:val="006D7D23"/>
    <w:rsid w:val="006F38F3"/>
    <w:rsid w:val="00700AE3"/>
    <w:rsid w:val="00701281"/>
    <w:rsid w:val="007063F4"/>
    <w:rsid w:val="00716BB0"/>
    <w:rsid w:val="00730478"/>
    <w:rsid w:val="00744A80"/>
    <w:rsid w:val="00751736"/>
    <w:rsid w:val="0075173A"/>
    <w:rsid w:val="00751B0B"/>
    <w:rsid w:val="00755E6F"/>
    <w:rsid w:val="0077649A"/>
    <w:rsid w:val="00791300"/>
    <w:rsid w:val="007C2236"/>
    <w:rsid w:val="007D5872"/>
    <w:rsid w:val="007E5287"/>
    <w:rsid w:val="007F639B"/>
    <w:rsid w:val="008019C7"/>
    <w:rsid w:val="008157AA"/>
    <w:rsid w:val="0083005E"/>
    <w:rsid w:val="00833DF6"/>
    <w:rsid w:val="00843712"/>
    <w:rsid w:val="00845E9A"/>
    <w:rsid w:val="00861C1F"/>
    <w:rsid w:val="00880474"/>
    <w:rsid w:val="00897189"/>
    <w:rsid w:val="008B3C11"/>
    <w:rsid w:val="008C668F"/>
    <w:rsid w:val="008D33F4"/>
    <w:rsid w:val="008D72C0"/>
    <w:rsid w:val="008E0B47"/>
    <w:rsid w:val="008E2270"/>
    <w:rsid w:val="008E52B5"/>
    <w:rsid w:val="008E6111"/>
    <w:rsid w:val="008F074A"/>
    <w:rsid w:val="00902529"/>
    <w:rsid w:val="00922BAD"/>
    <w:rsid w:val="00932CB9"/>
    <w:rsid w:val="0093534F"/>
    <w:rsid w:val="009730B8"/>
    <w:rsid w:val="009956FC"/>
    <w:rsid w:val="009B216E"/>
    <w:rsid w:val="009B48DE"/>
    <w:rsid w:val="009C4214"/>
    <w:rsid w:val="009E24BE"/>
    <w:rsid w:val="009E3CA0"/>
    <w:rsid w:val="009F78F8"/>
    <w:rsid w:val="00A01CBE"/>
    <w:rsid w:val="00A027DF"/>
    <w:rsid w:val="00A059CF"/>
    <w:rsid w:val="00A43FF6"/>
    <w:rsid w:val="00A86D3F"/>
    <w:rsid w:val="00A91163"/>
    <w:rsid w:val="00AA5247"/>
    <w:rsid w:val="00AB4076"/>
    <w:rsid w:val="00AC6997"/>
    <w:rsid w:val="00B4304D"/>
    <w:rsid w:val="00B510C3"/>
    <w:rsid w:val="00BC19A3"/>
    <w:rsid w:val="00BD66C9"/>
    <w:rsid w:val="00C16472"/>
    <w:rsid w:val="00C1669E"/>
    <w:rsid w:val="00C466D2"/>
    <w:rsid w:val="00C5092E"/>
    <w:rsid w:val="00C5450B"/>
    <w:rsid w:val="00C630C7"/>
    <w:rsid w:val="00C9524F"/>
    <w:rsid w:val="00CA3DDF"/>
    <w:rsid w:val="00CB018C"/>
    <w:rsid w:val="00CC03C6"/>
    <w:rsid w:val="00CC70BE"/>
    <w:rsid w:val="00CF102D"/>
    <w:rsid w:val="00CF191D"/>
    <w:rsid w:val="00D039C9"/>
    <w:rsid w:val="00D16935"/>
    <w:rsid w:val="00D41CA6"/>
    <w:rsid w:val="00D46B72"/>
    <w:rsid w:val="00D536D9"/>
    <w:rsid w:val="00D64444"/>
    <w:rsid w:val="00D67D93"/>
    <w:rsid w:val="00D94715"/>
    <w:rsid w:val="00D96D09"/>
    <w:rsid w:val="00DE2FEE"/>
    <w:rsid w:val="00DE4491"/>
    <w:rsid w:val="00DF1920"/>
    <w:rsid w:val="00E0374B"/>
    <w:rsid w:val="00E1509D"/>
    <w:rsid w:val="00E304B6"/>
    <w:rsid w:val="00E3167A"/>
    <w:rsid w:val="00E4667A"/>
    <w:rsid w:val="00E56945"/>
    <w:rsid w:val="00E5748B"/>
    <w:rsid w:val="00E64171"/>
    <w:rsid w:val="00E86A3B"/>
    <w:rsid w:val="00EA03EE"/>
    <w:rsid w:val="00EA3B34"/>
    <w:rsid w:val="00EB0DF3"/>
    <w:rsid w:val="00EB2746"/>
    <w:rsid w:val="00EC0125"/>
    <w:rsid w:val="00EC3EF0"/>
    <w:rsid w:val="00ED60D9"/>
    <w:rsid w:val="00EE52B1"/>
    <w:rsid w:val="00EF1B99"/>
    <w:rsid w:val="00F012C2"/>
    <w:rsid w:val="00F15EC6"/>
    <w:rsid w:val="00F26083"/>
    <w:rsid w:val="00F263A4"/>
    <w:rsid w:val="00F378AD"/>
    <w:rsid w:val="00F87ED5"/>
    <w:rsid w:val="00F915DC"/>
    <w:rsid w:val="00F94216"/>
    <w:rsid w:val="00F95E60"/>
    <w:rsid w:val="00FB5A86"/>
    <w:rsid w:val="00FB7ED8"/>
    <w:rsid w:val="00F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627D40"/>
  <w15:docId w15:val="{C5877809-B5AC-4655-9B64-F3594A60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character" w:styleId="Hypertextovodkaz">
    <w:name w:val="Hyperlink"/>
    <w:uiPriority w:val="99"/>
    <w:rsid w:val="007517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1736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dt.cz/soubory-ke-stazeni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5DA36-F2B8-4BBD-AEB7-E95502053A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72EBAD-7BCB-41EB-8C4C-A17BF40D6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9ADAD-C1AF-4311-8AA2-D24DB69C9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~5514167.dot</Template>
  <TotalTime>0</TotalTime>
  <Pages>7</Pages>
  <Words>2104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Vaněčková Ivana</cp:lastModifiedBy>
  <cp:revision>2</cp:revision>
  <cp:lastPrinted>2020-07-15T08:09:00Z</cp:lastPrinted>
  <dcterms:created xsi:type="dcterms:W3CDTF">2020-09-22T06:35:00Z</dcterms:created>
  <dcterms:modified xsi:type="dcterms:W3CDTF">2020-09-22T06:35:00Z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