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E65" w:rsidRDefault="00E917A2">
      <w:pPr>
        <w:ind w:right="460"/>
        <w:jc w:val="right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noProof/>
          <w:sz w:val="24"/>
          <w:szCs w:val="24"/>
        </w:rPr>
        <w:drawing>
          <wp:anchor distT="0" distB="0" distL="114300" distR="114300" simplePos="0" relativeHeight="251642880" behindDoc="1" locked="0" layoutInCell="0" allowOverlap="1">
            <wp:simplePos x="0" y="0"/>
            <wp:positionH relativeFrom="page">
              <wp:posOffset>5598795</wp:posOffset>
            </wp:positionH>
            <wp:positionV relativeFrom="page">
              <wp:posOffset>0</wp:posOffset>
            </wp:positionV>
            <wp:extent cx="1959610" cy="19907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199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  <w:szCs w:val="24"/>
        </w:rPr>
        <w:t>2SMLO20097</w:t>
      </w:r>
    </w:p>
    <w:p w:rsidR="00B45E65" w:rsidRDefault="00B45E65">
      <w:pPr>
        <w:spacing w:line="200" w:lineRule="exact"/>
        <w:rPr>
          <w:sz w:val="24"/>
          <w:szCs w:val="24"/>
        </w:rPr>
      </w:pPr>
    </w:p>
    <w:p w:rsidR="00B45E65" w:rsidRDefault="00B45E65">
      <w:pPr>
        <w:spacing w:line="200" w:lineRule="exact"/>
        <w:rPr>
          <w:sz w:val="24"/>
          <w:szCs w:val="24"/>
        </w:rPr>
      </w:pPr>
    </w:p>
    <w:p w:rsidR="00B45E65" w:rsidRDefault="00B45E65">
      <w:pPr>
        <w:spacing w:line="297" w:lineRule="exact"/>
        <w:rPr>
          <w:sz w:val="24"/>
          <w:szCs w:val="24"/>
        </w:rPr>
      </w:pPr>
    </w:p>
    <w:p w:rsidR="00B45E65" w:rsidRDefault="00E917A2">
      <w:pPr>
        <w:ind w:right="97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KUPNÍ SMLOUVA</w:t>
      </w:r>
    </w:p>
    <w:p w:rsidR="00B45E65" w:rsidRDefault="00B45E65">
      <w:pPr>
        <w:spacing w:line="178" w:lineRule="exact"/>
        <w:rPr>
          <w:sz w:val="24"/>
          <w:szCs w:val="24"/>
        </w:rPr>
      </w:pPr>
    </w:p>
    <w:p w:rsidR="00B45E65" w:rsidRDefault="00E917A2">
      <w:pPr>
        <w:ind w:right="97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dle § 2079 a násl. zákona č. 89/2012 Sb., občanský zákoník, (dále jen „OZ“)</w:t>
      </w:r>
    </w:p>
    <w:p w:rsidR="00B45E65" w:rsidRDefault="00E917A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3904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217805</wp:posOffset>
            </wp:positionV>
            <wp:extent cx="5796915" cy="184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91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5E65" w:rsidRDefault="00B45E65">
      <w:pPr>
        <w:spacing w:line="200" w:lineRule="exact"/>
        <w:rPr>
          <w:sz w:val="24"/>
          <w:szCs w:val="24"/>
        </w:rPr>
      </w:pPr>
    </w:p>
    <w:p w:rsidR="00B45E65" w:rsidRDefault="00B45E65">
      <w:pPr>
        <w:spacing w:line="200" w:lineRule="exact"/>
        <w:rPr>
          <w:sz w:val="24"/>
          <w:szCs w:val="24"/>
        </w:rPr>
      </w:pPr>
    </w:p>
    <w:p w:rsidR="00B45E65" w:rsidRDefault="00B45E65">
      <w:pPr>
        <w:spacing w:line="200" w:lineRule="exact"/>
        <w:rPr>
          <w:sz w:val="24"/>
          <w:szCs w:val="24"/>
        </w:rPr>
      </w:pPr>
    </w:p>
    <w:p w:rsidR="00B45E65" w:rsidRDefault="00B45E65">
      <w:pPr>
        <w:spacing w:line="200" w:lineRule="exact"/>
        <w:rPr>
          <w:sz w:val="24"/>
          <w:szCs w:val="24"/>
        </w:rPr>
      </w:pPr>
    </w:p>
    <w:p w:rsidR="00B45E65" w:rsidRDefault="00B45E65">
      <w:pPr>
        <w:spacing w:line="200" w:lineRule="exact"/>
        <w:rPr>
          <w:sz w:val="24"/>
          <w:szCs w:val="24"/>
        </w:rPr>
      </w:pPr>
    </w:p>
    <w:p w:rsidR="00B45E65" w:rsidRDefault="00B45E65">
      <w:pPr>
        <w:spacing w:line="346" w:lineRule="exact"/>
        <w:rPr>
          <w:sz w:val="24"/>
          <w:szCs w:val="24"/>
        </w:rPr>
      </w:pPr>
    </w:p>
    <w:p w:rsidR="00B45E65" w:rsidRDefault="00E917A2">
      <w:pPr>
        <w:ind w:left="4421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I.</w:t>
      </w:r>
    </w:p>
    <w:p w:rsidR="00B45E65" w:rsidRDefault="00B45E65">
      <w:pPr>
        <w:spacing w:line="121" w:lineRule="exact"/>
        <w:rPr>
          <w:sz w:val="24"/>
          <w:szCs w:val="24"/>
        </w:rPr>
      </w:pPr>
    </w:p>
    <w:p w:rsidR="00B45E65" w:rsidRDefault="00E917A2">
      <w:pPr>
        <w:ind w:left="3821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Smluvní strany</w:t>
      </w:r>
    </w:p>
    <w:p w:rsidR="00B45E65" w:rsidRDefault="00B45E65">
      <w:pPr>
        <w:spacing w:line="200" w:lineRule="exact"/>
        <w:rPr>
          <w:sz w:val="24"/>
          <w:szCs w:val="24"/>
        </w:rPr>
      </w:pPr>
    </w:p>
    <w:p w:rsidR="00B45E65" w:rsidRDefault="00B45E65">
      <w:pPr>
        <w:spacing w:line="382" w:lineRule="exact"/>
        <w:rPr>
          <w:sz w:val="24"/>
          <w:szCs w:val="24"/>
        </w:rPr>
      </w:pPr>
    </w:p>
    <w:p w:rsidR="00B45E65" w:rsidRDefault="00E917A2">
      <w:pPr>
        <w:tabs>
          <w:tab w:val="left" w:pos="261"/>
        </w:tabs>
        <w:ind w:left="1"/>
        <w:rPr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9"/>
          <w:szCs w:val="19"/>
        </w:rPr>
        <w:t>Kupující</w:t>
      </w:r>
    </w:p>
    <w:p w:rsidR="00B45E65" w:rsidRDefault="00B45E65">
      <w:pPr>
        <w:spacing w:line="125" w:lineRule="exact"/>
        <w:rPr>
          <w:sz w:val="24"/>
          <w:szCs w:val="24"/>
        </w:rPr>
      </w:pPr>
    </w:p>
    <w:p w:rsidR="00B45E65" w:rsidRDefault="00E917A2">
      <w:pPr>
        <w:tabs>
          <w:tab w:val="left" w:pos="2961"/>
        </w:tabs>
        <w:ind w:left="28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Název: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Masarykova univerzita, Středoevropský technologický institut</w:t>
      </w:r>
    </w:p>
    <w:p w:rsidR="00B45E65" w:rsidRDefault="00B45E65">
      <w:pPr>
        <w:spacing w:line="47" w:lineRule="exact"/>
        <w:rPr>
          <w:sz w:val="24"/>
          <w:szCs w:val="24"/>
        </w:rPr>
      </w:pPr>
    </w:p>
    <w:p w:rsidR="00B45E65" w:rsidRDefault="00E917A2">
      <w:pPr>
        <w:tabs>
          <w:tab w:val="left" w:pos="2961"/>
        </w:tabs>
        <w:ind w:left="28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Sídlo: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Žerotínovo nám. 617/9, 601 77 </w:t>
      </w:r>
      <w:r>
        <w:rPr>
          <w:rFonts w:ascii="Arial" w:eastAsia="Arial" w:hAnsi="Arial" w:cs="Arial"/>
          <w:sz w:val="20"/>
          <w:szCs w:val="20"/>
        </w:rPr>
        <w:t>Brno</w:t>
      </w:r>
    </w:p>
    <w:p w:rsidR="00B45E65" w:rsidRDefault="00B45E65">
      <w:pPr>
        <w:spacing w:line="14" w:lineRule="exact"/>
        <w:rPr>
          <w:sz w:val="24"/>
          <w:szCs w:val="24"/>
        </w:rPr>
      </w:pPr>
    </w:p>
    <w:p w:rsidR="00B45E65" w:rsidRDefault="00E917A2">
      <w:pPr>
        <w:tabs>
          <w:tab w:val="left" w:pos="2961"/>
        </w:tabs>
        <w:ind w:left="28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Kontaktní adresa: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>Kamenice 753/5, 625 00 Brno</w:t>
      </w:r>
    </w:p>
    <w:p w:rsidR="00B45E65" w:rsidRDefault="00B45E65">
      <w:pPr>
        <w:spacing w:line="17" w:lineRule="exact"/>
        <w:rPr>
          <w:sz w:val="24"/>
          <w:szCs w:val="24"/>
        </w:rPr>
      </w:pPr>
    </w:p>
    <w:p w:rsidR="00B45E65" w:rsidRDefault="00E917A2">
      <w:pPr>
        <w:tabs>
          <w:tab w:val="left" w:pos="2961"/>
        </w:tabs>
        <w:ind w:left="28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>00216224</w:t>
      </w:r>
    </w:p>
    <w:p w:rsidR="00B45E65" w:rsidRDefault="00B45E65">
      <w:pPr>
        <w:spacing w:line="20" w:lineRule="exact"/>
        <w:rPr>
          <w:sz w:val="24"/>
          <w:szCs w:val="24"/>
        </w:rPr>
      </w:pPr>
    </w:p>
    <w:p w:rsidR="00B45E65" w:rsidRDefault="00E917A2">
      <w:pPr>
        <w:tabs>
          <w:tab w:val="left" w:pos="2961"/>
        </w:tabs>
        <w:ind w:left="28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DIČ: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CZ00216224</w:t>
      </w:r>
    </w:p>
    <w:p w:rsidR="00B45E65" w:rsidRDefault="00B45E65">
      <w:pPr>
        <w:spacing w:line="17" w:lineRule="exact"/>
        <w:rPr>
          <w:sz w:val="24"/>
          <w:szCs w:val="24"/>
        </w:rPr>
      </w:pPr>
    </w:p>
    <w:p w:rsidR="00B45E65" w:rsidRDefault="00E917A2">
      <w:pPr>
        <w:tabs>
          <w:tab w:val="left" w:pos="2961"/>
        </w:tabs>
        <w:ind w:left="28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Zastoupen: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Mgr. Jiřím Nantlem, LL.M., ředitelem</w:t>
      </w:r>
    </w:p>
    <w:p w:rsidR="00B45E65" w:rsidRDefault="00B45E65">
      <w:pPr>
        <w:spacing w:line="20" w:lineRule="exact"/>
        <w:rPr>
          <w:sz w:val="24"/>
          <w:szCs w:val="24"/>
        </w:rPr>
      </w:pPr>
    </w:p>
    <w:p w:rsidR="00B45E65" w:rsidRDefault="00E917A2">
      <w:pPr>
        <w:tabs>
          <w:tab w:val="left" w:pos="2961"/>
        </w:tabs>
        <w:ind w:left="28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Kontaktní osoba: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>Mgr. XXXXXX</w:t>
      </w:r>
      <w:r>
        <w:rPr>
          <w:rFonts w:ascii="Arial" w:eastAsia="Arial" w:hAnsi="Arial" w:cs="Arial"/>
          <w:sz w:val="19"/>
          <w:szCs w:val="19"/>
        </w:rPr>
        <w:t>, Ph.D., centrální laboratoř Kryo-elektronová</w:t>
      </w:r>
    </w:p>
    <w:p w:rsidR="00B45E65" w:rsidRDefault="00B45E65">
      <w:pPr>
        <w:spacing w:line="17" w:lineRule="exact"/>
        <w:rPr>
          <w:sz w:val="24"/>
          <w:szCs w:val="24"/>
        </w:rPr>
      </w:pPr>
    </w:p>
    <w:p w:rsidR="00B45E65" w:rsidRDefault="00E917A2" w:rsidP="00E917A2">
      <w:pPr>
        <w:ind w:left="296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mikroskopie a tomografie – vedoucí </w:t>
      </w:r>
      <w:r>
        <w:rPr>
          <w:rFonts w:ascii="Arial" w:eastAsia="Arial" w:hAnsi="Arial" w:cs="Arial"/>
          <w:sz w:val="20"/>
          <w:szCs w:val="20"/>
        </w:rPr>
        <w:t>pracoviště, tel.: +XXXXXXX</w:t>
      </w:r>
      <w:r>
        <w:rPr>
          <w:rFonts w:ascii="Arial" w:eastAsia="Arial" w:hAnsi="Arial" w:cs="Arial"/>
          <w:sz w:val="20"/>
          <w:szCs w:val="20"/>
        </w:rPr>
        <w:t>, e-mail: XXXXXX</w:t>
      </w:r>
      <w:r>
        <w:rPr>
          <w:rFonts w:ascii="Arial" w:eastAsia="Arial" w:hAnsi="Arial" w:cs="Arial"/>
          <w:sz w:val="20"/>
          <w:szCs w:val="20"/>
        </w:rPr>
        <w:t>@XXXXXXXX</w:t>
      </w:r>
    </w:p>
    <w:p w:rsidR="00B45E65" w:rsidRDefault="00B45E65">
      <w:pPr>
        <w:spacing w:line="247" w:lineRule="exact"/>
        <w:rPr>
          <w:sz w:val="24"/>
          <w:szCs w:val="24"/>
        </w:rPr>
      </w:pPr>
    </w:p>
    <w:p w:rsidR="00B45E65" w:rsidRDefault="00E917A2">
      <w:pPr>
        <w:spacing w:line="270" w:lineRule="auto"/>
        <w:ind w:left="281" w:right="14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Masarykova univerzita je veřejná vysoká škola dle zákona č. 111/1998 Sb., zákon o vysokých školách, v platném znění, nezapsaná v obchodním rejstříku</w:t>
      </w:r>
    </w:p>
    <w:p w:rsidR="00B45E65" w:rsidRDefault="00E917A2">
      <w:pPr>
        <w:ind w:left="281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(dále jen „kupující“)</w:t>
      </w:r>
    </w:p>
    <w:p w:rsidR="00B45E65" w:rsidRDefault="00B45E65">
      <w:pPr>
        <w:spacing w:line="200" w:lineRule="exact"/>
        <w:rPr>
          <w:sz w:val="24"/>
          <w:szCs w:val="24"/>
        </w:rPr>
      </w:pPr>
    </w:p>
    <w:p w:rsidR="00B45E65" w:rsidRDefault="00B45E65">
      <w:pPr>
        <w:spacing w:line="361" w:lineRule="exact"/>
        <w:rPr>
          <w:sz w:val="24"/>
          <w:szCs w:val="24"/>
        </w:rPr>
      </w:pPr>
    </w:p>
    <w:p w:rsidR="00B45E65" w:rsidRDefault="00E917A2">
      <w:pPr>
        <w:numPr>
          <w:ilvl w:val="0"/>
          <w:numId w:val="1"/>
        </w:numPr>
        <w:tabs>
          <w:tab w:val="left" w:pos="281"/>
        </w:tabs>
        <w:ind w:left="281" w:hanging="2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Prodávající</w:t>
      </w:r>
    </w:p>
    <w:p w:rsidR="00B45E65" w:rsidRDefault="00B45E65">
      <w:pPr>
        <w:spacing w:line="120" w:lineRule="exact"/>
        <w:rPr>
          <w:sz w:val="24"/>
          <w:szCs w:val="24"/>
        </w:rPr>
      </w:pPr>
    </w:p>
    <w:p w:rsidR="00B45E65" w:rsidRDefault="00E917A2">
      <w:pPr>
        <w:ind w:left="28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Obchodní firma/název/jméno: </w:t>
      </w:r>
      <w:r>
        <w:rPr>
          <w:rFonts w:ascii="Arial" w:eastAsia="Arial" w:hAnsi="Arial" w:cs="Arial"/>
          <w:b/>
          <w:bCs/>
          <w:sz w:val="20"/>
          <w:szCs w:val="20"/>
        </w:rPr>
        <w:t>M Computers s.r.o.</w:t>
      </w:r>
    </w:p>
    <w:p w:rsidR="00B45E65" w:rsidRDefault="00B45E65">
      <w:pPr>
        <w:spacing w:line="47" w:lineRule="exact"/>
        <w:rPr>
          <w:sz w:val="24"/>
          <w:szCs w:val="24"/>
        </w:rPr>
      </w:pPr>
    </w:p>
    <w:p w:rsidR="00B45E65" w:rsidRDefault="00E917A2">
      <w:pPr>
        <w:tabs>
          <w:tab w:val="left" w:pos="2961"/>
        </w:tabs>
        <w:ind w:left="28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Sídlo: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B. Smetany 206, 380 01 Dačice III</w:t>
      </w:r>
    </w:p>
    <w:p w:rsidR="00B45E65" w:rsidRDefault="00B45E65">
      <w:pPr>
        <w:spacing w:line="14" w:lineRule="exact"/>
        <w:rPr>
          <w:sz w:val="24"/>
          <w:szCs w:val="24"/>
        </w:rPr>
      </w:pPr>
    </w:p>
    <w:p w:rsidR="00B45E65" w:rsidRDefault="00E917A2">
      <w:pPr>
        <w:tabs>
          <w:tab w:val="left" w:pos="2961"/>
        </w:tabs>
        <w:ind w:left="28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>26042029</w:t>
      </w:r>
    </w:p>
    <w:p w:rsidR="00B45E65" w:rsidRDefault="00B45E65">
      <w:pPr>
        <w:spacing w:line="17" w:lineRule="exact"/>
        <w:rPr>
          <w:sz w:val="24"/>
          <w:szCs w:val="24"/>
        </w:rPr>
      </w:pPr>
    </w:p>
    <w:p w:rsidR="00B45E65" w:rsidRDefault="00E917A2">
      <w:pPr>
        <w:tabs>
          <w:tab w:val="left" w:pos="2961"/>
        </w:tabs>
        <w:ind w:left="28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DIČ/VAT ID: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CZ26042029</w:t>
      </w:r>
    </w:p>
    <w:p w:rsidR="00B45E65" w:rsidRDefault="00B45E65">
      <w:pPr>
        <w:spacing w:line="20" w:lineRule="exact"/>
        <w:rPr>
          <w:sz w:val="24"/>
          <w:szCs w:val="24"/>
        </w:rPr>
      </w:pPr>
    </w:p>
    <w:p w:rsidR="00B45E65" w:rsidRDefault="00E917A2">
      <w:pPr>
        <w:tabs>
          <w:tab w:val="left" w:pos="2961"/>
        </w:tabs>
        <w:ind w:left="28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Zastoupen: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Markem Vašíčkem, jednatelem</w:t>
      </w:r>
    </w:p>
    <w:p w:rsidR="00B45E65" w:rsidRDefault="00B45E65">
      <w:pPr>
        <w:spacing w:line="17" w:lineRule="exact"/>
        <w:rPr>
          <w:sz w:val="24"/>
          <w:szCs w:val="24"/>
        </w:rPr>
      </w:pPr>
    </w:p>
    <w:p w:rsidR="00B45E65" w:rsidRDefault="00E917A2">
      <w:pPr>
        <w:tabs>
          <w:tab w:val="left" w:pos="2961"/>
        </w:tabs>
        <w:ind w:left="28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Zápis v obchodním rejstříku: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 xml:space="preserve">OR vedeném KS v Českých Budějovicích oddíl C, </w:t>
      </w:r>
      <w:r>
        <w:rPr>
          <w:rFonts w:ascii="Arial" w:eastAsia="Arial" w:hAnsi="Arial" w:cs="Arial"/>
          <w:sz w:val="19"/>
          <w:szCs w:val="19"/>
        </w:rPr>
        <w:t>vložka 10669</w:t>
      </w:r>
    </w:p>
    <w:p w:rsidR="00B45E65" w:rsidRDefault="00B45E65">
      <w:pPr>
        <w:spacing w:line="20" w:lineRule="exact"/>
        <w:rPr>
          <w:sz w:val="24"/>
          <w:szCs w:val="24"/>
        </w:rPr>
      </w:pPr>
    </w:p>
    <w:p w:rsidR="00B45E65" w:rsidRDefault="00E917A2">
      <w:pPr>
        <w:tabs>
          <w:tab w:val="left" w:pos="2961"/>
        </w:tabs>
        <w:ind w:left="28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Bankovní spojení: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>ČSOB a.s., (XXXXXXXXXXXXX</w:t>
      </w:r>
      <w:r>
        <w:rPr>
          <w:rFonts w:ascii="Arial" w:eastAsia="Arial" w:hAnsi="Arial" w:cs="Arial"/>
          <w:sz w:val="19"/>
          <w:szCs w:val="19"/>
        </w:rPr>
        <w:t>)</w:t>
      </w:r>
    </w:p>
    <w:p w:rsidR="00B45E65" w:rsidRDefault="00B45E65">
      <w:pPr>
        <w:spacing w:line="17" w:lineRule="exact"/>
        <w:rPr>
          <w:sz w:val="24"/>
          <w:szCs w:val="24"/>
        </w:rPr>
      </w:pPr>
    </w:p>
    <w:p w:rsidR="00B45E65" w:rsidRDefault="00E917A2">
      <w:pPr>
        <w:tabs>
          <w:tab w:val="left" w:pos="2961"/>
        </w:tabs>
        <w:ind w:left="28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IBAN: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XXXXXXXXXXXXXXXXXXXX</w:t>
      </w:r>
    </w:p>
    <w:p w:rsidR="00B45E65" w:rsidRDefault="00B45E65">
      <w:pPr>
        <w:spacing w:line="17" w:lineRule="exact"/>
        <w:rPr>
          <w:sz w:val="24"/>
          <w:szCs w:val="24"/>
        </w:rPr>
      </w:pPr>
    </w:p>
    <w:p w:rsidR="00B45E65" w:rsidRDefault="00E917A2">
      <w:pPr>
        <w:tabs>
          <w:tab w:val="left" w:pos="2961"/>
        </w:tabs>
        <w:ind w:left="28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Korespondenční adresa: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>Úlehlova 3100/10, 628 00 Brno-Líšeň</w:t>
      </w:r>
    </w:p>
    <w:p w:rsidR="00B45E65" w:rsidRDefault="00B45E65">
      <w:pPr>
        <w:spacing w:line="20" w:lineRule="exact"/>
        <w:rPr>
          <w:sz w:val="24"/>
          <w:szCs w:val="24"/>
        </w:rPr>
      </w:pPr>
    </w:p>
    <w:p w:rsidR="00B45E65" w:rsidRDefault="00E917A2">
      <w:pPr>
        <w:tabs>
          <w:tab w:val="left" w:pos="2961"/>
        </w:tabs>
        <w:ind w:left="28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Kontaktní osoby: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XXXXXX</w:t>
      </w:r>
      <w:r>
        <w:rPr>
          <w:rFonts w:ascii="Arial" w:eastAsia="Arial" w:hAnsi="Arial" w:cs="Arial"/>
          <w:sz w:val="20"/>
          <w:szCs w:val="20"/>
        </w:rPr>
        <w:t>, tel. č.: +XXXXXXXXXXXX</w:t>
      </w:r>
      <w:r>
        <w:rPr>
          <w:rFonts w:ascii="Arial" w:eastAsia="Arial" w:hAnsi="Arial" w:cs="Arial"/>
          <w:sz w:val="20"/>
          <w:szCs w:val="20"/>
        </w:rPr>
        <w:t>,</w:t>
      </w:r>
    </w:p>
    <w:p w:rsidR="00B45E65" w:rsidRDefault="00B45E65">
      <w:pPr>
        <w:spacing w:line="17" w:lineRule="exact"/>
        <w:rPr>
          <w:sz w:val="24"/>
          <w:szCs w:val="24"/>
        </w:rPr>
      </w:pPr>
    </w:p>
    <w:p w:rsidR="00B45E65" w:rsidRDefault="00E917A2">
      <w:pPr>
        <w:ind w:left="298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e-mail: XXXXXXXXX</w:t>
      </w:r>
      <w:r>
        <w:rPr>
          <w:rFonts w:ascii="Arial" w:eastAsia="Arial" w:hAnsi="Arial" w:cs="Arial"/>
          <w:sz w:val="20"/>
          <w:szCs w:val="20"/>
        </w:rPr>
        <w:t>@XXXXXXX</w:t>
      </w:r>
      <w:r>
        <w:rPr>
          <w:rFonts w:ascii="Arial" w:eastAsia="Arial" w:hAnsi="Arial" w:cs="Arial"/>
          <w:sz w:val="20"/>
          <w:szCs w:val="20"/>
        </w:rPr>
        <w:t>.XX</w:t>
      </w:r>
    </w:p>
    <w:p w:rsidR="00B45E65" w:rsidRDefault="00B45E65">
      <w:pPr>
        <w:spacing w:line="20" w:lineRule="exact"/>
        <w:rPr>
          <w:sz w:val="24"/>
          <w:szCs w:val="24"/>
        </w:rPr>
      </w:pPr>
    </w:p>
    <w:p w:rsidR="00B45E65" w:rsidRDefault="00E917A2">
      <w:pPr>
        <w:ind w:left="281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(dále jen </w:t>
      </w:r>
      <w:r>
        <w:rPr>
          <w:rFonts w:ascii="Arial" w:eastAsia="Arial" w:hAnsi="Arial" w:cs="Arial"/>
          <w:b/>
          <w:bCs/>
          <w:sz w:val="20"/>
          <w:szCs w:val="20"/>
        </w:rPr>
        <w:t>„prodávající“; prodávající společně s kupujícím také jen „smluvní strany“)</w:t>
      </w:r>
    </w:p>
    <w:p w:rsidR="00B45E65" w:rsidRDefault="00B45E65">
      <w:pPr>
        <w:sectPr w:rsidR="00B45E65">
          <w:pgSz w:w="11920" w:h="16845"/>
          <w:pgMar w:top="1272" w:right="450" w:bottom="48" w:left="1419" w:header="0" w:footer="0" w:gutter="0"/>
          <w:cols w:space="708" w:equalWidth="0">
            <w:col w:w="10041"/>
          </w:cols>
        </w:sectPr>
      </w:pPr>
    </w:p>
    <w:p w:rsidR="00B45E65" w:rsidRDefault="00B45E65">
      <w:pPr>
        <w:spacing w:line="200" w:lineRule="exact"/>
        <w:rPr>
          <w:sz w:val="24"/>
          <w:szCs w:val="24"/>
        </w:rPr>
      </w:pPr>
    </w:p>
    <w:p w:rsidR="00B45E65" w:rsidRDefault="00B45E65">
      <w:pPr>
        <w:spacing w:line="200" w:lineRule="exact"/>
        <w:rPr>
          <w:sz w:val="24"/>
          <w:szCs w:val="24"/>
        </w:rPr>
      </w:pPr>
    </w:p>
    <w:p w:rsidR="00B45E65" w:rsidRDefault="00B45E65">
      <w:pPr>
        <w:spacing w:line="200" w:lineRule="exact"/>
        <w:rPr>
          <w:sz w:val="24"/>
          <w:szCs w:val="24"/>
        </w:rPr>
      </w:pPr>
    </w:p>
    <w:p w:rsidR="00B45E65" w:rsidRDefault="00B45E65">
      <w:pPr>
        <w:spacing w:line="200" w:lineRule="exact"/>
        <w:rPr>
          <w:sz w:val="24"/>
          <w:szCs w:val="24"/>
        </w:rPr>
      </w:pPr>
    </w:p>
    <w:p w:rsidR="00B45E65" w:rsidRDefault="00B45E65">
      <w:pPr>
        <w:spacing w:line="200" w:lineRule="exact"/>
        <w:rPr>
          <w:sz w:val="24"/>
          <w:szCs w:val="24"/>
        </w:rPr>
      </w:pPr>
    </w:p>
    <w:p w:rsidR="00B45E65" w:rsidRDefault="00B45E65">
      <w:pPr>
        <w:spacing w:line="200" w:lineRule="exact"/>
        <w:rPr>
          <w:sz w:val="24"/>
          <w:szCs w:val="24"/>
        </w:rPr>
      </w:pPr>
    </w:p>
    <w:p w:rsidR="00B45E65" w:rsidRDefault="00B45E65">
      <w:pPr>
        <w:spacing w:line="200" w:lineRule="exact"/>
        <w:rPr>
          <w:sz w:val="24"/>
          <w:szCs w:val="24"/>
        </w:rPr>
      </w:pPr>
    </w:p>
    <w:p w:rsidR="00B45E65" w:rsidRDefault="00B45E65">
      <w:pPr>
        <w:spacing w:line="200" w:lineRule="exact"/>
        <w:rPr>
          <w:sz w:val="24"/>
          <w:szCs w:val="24"/>
        </w:rPr>
      </w:pPr>
    </w:p>
    <w:p w:rsidR="00B45E65" w:rsidRDefault="00B45E65">
      <w:pPr>
        <w:spacing w:line="200" w:lineRule="exact"/>
        <w:rPr>
          <w:sz w:val="24"/>
          <w:szCs w:val="24"/>
        </w:rPr>
      </w:pPr>
    </w:p>
    <w:p w:rsidR="00B45E65" w:rsidRDefault="00B45E65">
      <w:pPr>
        <w:spacing w:line="200" w:lineRule="exact"/>
        <w:rPr>
          <w:sz w:val="24"/>
          <w:szCs w:val="24"/>
        </w:rPr>
      </w:pPr>
    </w:p>
    <w:p w:rsidR="00B45E65" w:rsidRDefault="00B45E65">
      <w:pPr>
        <w:spacing w:line="200" w:lineRule="exact"/>
        <w:rPr>
          <w:sz w:val="24"/>
          <w:szCs w:val="24"/>
        </w:rPr>
      </w:pPr>
    </w:p>
    <w:p w:rsidR="00B45E65" w:rsidRDefault="00B45E65">
      <w:pPr>
        <w:spacing w:line="279" w:lineRule="exact"/>
        <w:rPr>
          <w:sz w:val="24"/>
          <w:szCs w:val="24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3520"/>
        <w:gridCol w:w="20"/>
      </w:tblGrid>
      <w:tr w:rsidR="00B45E65">
        <w:trPr>
          <w:trHeight w:val="187"/>
        </w:trPr>
        <w:tc>
          <w:tcPr>
            <w:tcW w:w="652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CEITEC – Central European Institute of Technology</w:t>
            </w:r>
          </w:p>
        </w:tc>
        <w:tc>
          <w:tcPr>
            <w:tcW w:w="3520" w:type="dxa"/>
            <w:vAlign w:val="bottom"/>
          </w:tcPr>
          <w:p w:rsidR="00B45E65" w:rsidRDefault="00B45E6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85"/>
        </w:trPr>
        <w:tc>
          <w:tcPr>
            <w:tcW w:w="652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Masaryk University</w:t>
            </w:r>
          </w:p>
        </w:tc>
        <w:tc>
          <w:tcPr>
            <w:tcW w:w="3520" w:type="dxa"/>
            <w:vAlign w:val="bottom"/>
          </w:tcPr>
          <w:p w:rsidR="00B45E65" w:rsidRDefault="00B45E6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83"/>
        </w:trPr>
        <w:tc>
          <w:tcPr>
            <w:tcW w:w="652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Kamenice 753/5, 625 00 Brno, Czech Republic</w:t>
            </w:r>
          </w:p>
        </w:tc>
        <w:tc>
          <w:tcPr>
            <w:tcW w:w="3520" w:type="dxa"/>
            <w:vAlign w:val="bottom"/>
          </w:tcPr>
          <w:p w:rsidR="00B45E65" w:rsidRDefault="00B45E6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98"/>
        </w:trPr>
        <w:tc>
          <w:tcPr>
            <w:tcW w:w="652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1A9C0"/>
                <w:sz w:val="14"/>
                <w:szCs w:val="14"/>
              </w:rPr>
              <w:t>www.ceitec.eu</w:t>
            </w:r>
          </w:p>
        </w:tc>
        <w:tc>
          <w:tcPr>
            <w:tcW w:w="3520" w:type="dxa"/>
            <w:vMerge w:val="restart"/>
            <w:vAlign w:val="bottom"/>
          </w:tcPr>
          <w:p w:rsidR="00B45E65" w:rsidRDefault="00E917A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1/20</w:t>
            </w: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03"/>
        </w:trPr>
        <w:tc>
          <w:tcPr>
            <w:tcW w:w="6520" w:type="dxa"/>
            <w:vAlign w:val="bottom"/>
          </w:tcPr>
          <w:p w:rsidR="00B45E65" w:rsidRDefault="00B45E65">
            <w:pPr>
              <w:rPr>
                <w:sz w:val="8"/>
                <w:szCs w:val="8"/>
              </w:rPr>
            </w:pPr>
          </w:p>
        </w:tc>
        <w:tc>
          <w:tcPr>
            <w:tcW w:w="3520" w:type="dxa"/>
            <w:vMerge/>
            <w:vAlign w:val="bottom"/>
          </w:tcPr>
          <w:p w:rsidR="00B45E65" w:rsidRDefault="00B45E6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</w:tbl>
    <w:p w:rsidR="00B45E65" w:rsidRDefault="00E917A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4928" behindDoc="1" locked="0" layoutInCell="0" allowOverlap="1">
            <wp:simplePos x="0" y="0"/>
            <wp:positionH relativeFrom="column">
              <wp:posOffset>5085715</wp:posOffset>
            </wp:positionH>
            <wp:positionV relativeFrom="paragraph">
              <wp:posOffset>-535940</wp:posOffset>
            </wp:positionV>
            <wp:extent cx="903605" cy="2590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25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5E65" w:rsidRDefault="00B45E65">
      <w:pPr>
        <w:sectPr w:rsidR="00B45E65">
          <w:type w:val="continuous"/>
          <w:pgSz w:w="11920" w:h="16845"/>
          <w:pgMar w:top="1272" w:right="450" w:bottom="48" w:left="1419" w:header="0" w:footer="0" w:gutter="0"/>
          <w:cols w:space="708" w:equalWidth="0">
            <w:col w:w="10041"/>
          </w:cols>
        </w:sectPr>
      </w:pPr>
    </w:p>
    <w:p w:rsidR="00B45E65" w:rsidRDefault="00E917A2">
      <w:pPr>
        <w:spacing w:line="200" w:lineRule="exact"/>
        <w:rPr>
          <w:sz w:val="20"/>
          <w:szCs w:val="20"/>
        </w:rPr>
      </w:pPr>
      <w:bookmarkStart w:id="1" w:name="page2"/>
      <w:bookmarkEnd w:id="1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45952" behindDoc="1" locked="0" layoutInCell="0" allowOverlap="1">
            <wp:simplePos x="0" y="0"/>
            <wp:positionH relativeFrom="page">
              <wp:posOffset>5598795</wp:posOffset>
            </wp:positionH>
            <wp:positionV relativeFrom="page">
              <wp:posOffset>0</wp:posOffset>
            </wp:positionV>
            <wp:extent cx="1959610" cy="19907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199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5" w:lineRule="exact"/>
        <w:rPr>
          <w:sz w:val="20"/>
          <w:szCs w:val="20"/>
        </w:rPr>
      </w:pPr>
    </w:p>
    <w:p w:rsidR="00B45E65" w:rsidRDefault="00E917A2">
      <w:pPr>
        <w:ind w:left="4438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II.</w:t>
      </w:r>
    </w:p>
    <w:p w:rsidR="00B45E65" w:rsidRDefault="00B45E65">
      <w:pPr>
        <w:spacing w:line="120" w:lineRule="exact"/>
        <w:rPr>
          <w:sz w:val="20"/>
          <w:szCs w:val="20"/>
        </w:rPr>
      </w:pPr>
    </w:p>
    <w:p w:rsidR="00B45E65" w:rsidRDefault="00E917A2">
      <w:pPr>
        <w:ind w:left="3978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Účel smlouvy</w:t>
      </w: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386" w:lineRule="exact"/>
        <w:rPr>
          <w:sz w:val="20"/>
          <w:szCs w:val="20"/>
        </w:rPr>
      </w:pPr>
    </w:p>
    <w:p w:rsidR="00B45E65" w:rsidRDefault="00E917A2">
      <w:pPr>
        <w:numPr>
          <w:ilvl w:val="0"/>
          <w:numId w:val="2"/>
        </w:numPr>
        <w:tabs>
          <w:tab w:val="left" w:pos="358"/>
        </w:tabs>
        <w:spacing w:line="251" w:lineRule="auto"/>
        <w:ind w:left="358" w:right="980" w:hanging="358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Kupující, jakožto zadavatel veřejné zakázky s názvem „</w:t>
      </w:r>
      <w:r>
        <w:rPr>
          <w:rFonts w:ascii="Arial" w:eastAsia="Arial" w:hAnsi="Arial" w:cs="Arial"/>
          <w:b/>
          <w:bCs/>
          <w:sz w:val="20"/>
          <w:szCs w:val="20"/>
        </w:rPr>
        <w:t>Výpočetní klastr</w:t>
      </w:r>
      <w:r>
        <w:rPr>
          <w:rFonts w:ascii="Arial" w:eastAsia="Arial" w:hAnsi="Arial" w:cs="Arial"/>
          <w:sz w:val="20"/>
          <w:szCs w:val="20"/>
        </w:rPr>
        <w:t xml:space="preserve">“ </w:t>
      </w:r>
      <w:r>
        <w:rPr>
          <w:rFonts w:ascii="Arial" w:eastAsia="Arial" w:hAnsi="Arial" w:cs="Arial"/>
          <w:b/>
          <w:bCs/>
          <w:sz w:val="20"/>
          <w:szCs w:val="20"/>
        </w:rPr>
        <w:t>(dále jen „veřejná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zakázka“) </w:t>
      </w:r>
      <w:r>
        <w:rPr>
          <w:rFonts w:ascii="Arial" w:eastAsia="Arial" w:hAnsi="Arial" w:cs="Arial"/>
          <w:sz w:val="20"/>
          <w:szCs w:val="20"/>
        </w:rPr>
        <w:t>zadávané v zadávacím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řízení v souladu se zákonem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č. 134/2016 Sb., o zadávání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veřejných zakázek, v </w:t>
      </w:r>
      <w:r>
        <w:rPr>
          <w:rFonts w:ascii="Arial" w:eastAsia="Arial" w:hAnsi="Arial" w:cs="Arial"/>
          <w:sz w:val="20"/>
          <w:szCs w:val="20"/>
        </w:rPr>
        <w:t xml:space="preserve">platném znění, </w:t>
      </w:r>
      <w:r>
        <w:rPr>
          <w:rFonts w:ascii="Arial" w:eastAsia="Arial" w:hAnsi="Arial" w:cs="Arial"/>
          <w:b/>
          <w:bCs/>
          <w:sz w:val="20"/>
          <w:szCs w:val="20"/>
        </w:rPr>
        <w:t>(dále jen „ZZVZ“)</w:t>
      </w:r>
      <w:r>
        <w:rPr>
          <w:rFonts w:ascii="Arial" w:eastAsia="Arial" w:hAnsi="Arial" w:cs="Arial"/>
          <w:sz w:val="20"/>
          <w:szCs w:val="20"/>
        </w:rPr>
        <w:t xml:space="preserve">, rozhodl o výběru nabídky prodávajícího jako nejvhodnější ke splnění veřejné zakázky. Smluvní strany tak ke splnění předmětu veřejné zakázky uzavírají níže uvedeného dne, měsíce a roku tuto kupní smlouvu </w:t>
      </w:r>
      <w:r>
        <w:rPr>
          <w:rFonts w:ascii="Arial" w:eastAsia="Arial" w:hAnsi="Arial" w:cs="Arial"/>
          <w:b/>
          <w:bCs/>
          <w:sz w:val="20"/>
          <w:szCs w:val="20"/>
        </w:rPr>
        <w:t>(dále také jen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„sml</w:t>
      </w:r>
      <w:r>
        <w:rPr>
          <w:rFonts w:ascii="Arial" w:eastAsia="Arial" w:hAnsi="Arial" w:cs="Arial"/>
          <w:b/>
          <w:bCs/>
          <w:sz w:val="20"/>
          <w:szCs w:val="20"/>
        </w:rPr>
        <w:t>ouva“)</w:t>
      </w:r>
      <w:r>
        <w:rPr>
          <w:rFonts w:ascii="Arial" w:eastAsia="Arial" w:hAnsi="Arial" w:cs="Arial"/>
          <w:sz w:val="20"/>
          <w:szCs w:val="20"/>
        </w:rPr>
        <w:t>.</w:t>
      </w:r>
    </w:p>
    <w:p w:rsidR="00B45E65" w:rsidRDefault="00B45E65">
      <w:pPr>
        <w:spacing w:line="61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0"/>
          <w:numId w:val="2"/>
        </w:numPr>
        <w:tabs>
          <w:tab w:val="left" w:pos="358"/>
        </w:tabs>
        <w:spacing w:line="246" w:lineRule="auto"/>
        <w:ind w:left="358" w:right="980" w:hanging="358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Účelem této smlouvy je kompletní řešení, sestávající se z dodávky, instalace a zprovoznění výpočetního clusteru a poskytnutí rozšířené záruky včetně technické podpory ve formě reakce next business day, on site v lokalitě CEITEC MU, místnost 2S027 </w:t>
      </w:r>
      <w:r>
        <w:rPr>
          <w:rFonts w:ascii="Arial" w:eastAsia="Arial" w:hAnsi="Arial" w:cs="Arial"/>
          <w:sz w:val="20"/>
          <w:szCs w:val="20"/>
        </w:rPr>
        <w:t>budovy A35, Kamenice 5, Brno. Předmět smlouvy je blíže specifikován v příloze č. 1 – Technická specifikace (</w:t>
      </w:r>
      <w:r>
        <w:rPr>
          <w:rFonts w:ascii="Arial" w:eastAsia="Arial" w:hAnsi="Arial" w:cs="Arial"/>
          <w:b/>
          <w:bCs/>
          <w:sz w:val="20"/>
          <w:szCs w:val="20"/>
        </w:rPr>
        <w:t>dále jen „příloha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č.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1“</w:t>
      </w:r>
      <w:r>
        <w:rPr>
          <w:rFonts w:ascii="Arial" w:eastAsia="Arial" w:hAnsi="Arial" w:cs="Arial"/>
          <w:sz w:val="20"/>
          <w:szCs w:val="20"/>
        </w:rPr>
        <w:t>) této smlouvy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(dále také jen „věc“; je-li na základě této smlouvy pořizováno více věcí, vztahují se ustanovení pojednávající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o „věci“ na všechny věci, jež mají být na základě této smlouvy pořízeny, není-li výslovně uvedeno jinak) </w:t>
      </w:r>
      <w:r>
        <w:rPr>
          <w:rFonts w:ascii="Arial" w:eastAsia="Arial" w:hAnsi="Arial" w:cs="Arial"/>
          <w:sz w:val="20"/>
          <w:szCs w:val="20"/>
        </w:rPr>
        <w:t>Součástí předmětu smlouvy je i jeho instalace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tak, aby mohl spolehlivě plnit svůj účel.</w:t>
      </w:r>
    </w:p>
    <w:p w:rsidR="00B45E65" w:rsidRDefault="00B45E65">
      <w:pPr>
        <w:spacing w:line="72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0"/>
          <w:numId w:val="2"/>
        </w:numPr>
        <w:tabs>
          <w:tab w:val="left" w:pos="358"/>
        </w:tabs>
        <w:spacing w:line="264" w:lineRule="auto"/>
        <w:ind w:left="358" w:right="980" w:hanging="358"/>
        <w:jc w:val="both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Věc bude sloužit k plnění úkolů kupujícího, obzvláště úkolů v</w:t>
      </w:r>
      <w:r>
        <w:rPr>
          <w:rFonts w:ascii="Arial" w:eastAsia="Arial" w:hAnsi="Arial" w:cs="Arial"/>
          <w:sz w:val="19"/>
          <w:szCs w:val="19"/>
        </w:rPr>
        <w:t xml:space="preserve">yplývajících ze zákona č. 111/1998 Sb., o vysokých školách a o změně a doplnění dalších zákonů, ve znění pozdějších předpisů, zejména pro zajištění vědecké a výzkumné činnosti kupujícího. Pracoviště kupujícího je interdisciplinárním vědeckým pracovištěm a </w:t>
      </w:r>
      <w:r>
        <w:rPr>
          <w:rFonts w:ascii="Arial" w:eastAsia="Arial" w:hAnsi="Arial" w:cs="Arial"/>
          <w:sz w:val="19"/>
          <w:szCs w:val="19"/>
        </w:rPr>
        <w:t>centrem vědecké excelence v oblasti věd o živé přírodě a pokročilých materiálů a technologií, jehož hlavním posláním je budování významného evropského centra vědy a vzdělanosti se špičkovým zázemím a podmínkami pro nejlepší vědecké pracovníky.</w:t>
      </w:r>
    </w:p>
    <w:p w:rsidR="00B45E65" w:rsidRDefault="00B45E65">
      <w:pPr>
        <w:spacing w:line="58" w:lineRule="exact"/>
        <w:rPr>
          <w:rFonts w:ascii="Arial Narrow" w:eastAsia="Arial Narrow" w:hAnsi="Arial Narrow" w:cs="Arial Narrow"/>
          <w:sz w:val="19"/>
          <w:szCs w:val="19"/>
        </w:rPr>
      </w:pPr>
    </w:p>
    <w:p w:rsidR="00B45E65" w:rsidRDefault="00E917A2">
      <w:pPr>
        <w:numPr>
          <w:ilvl w:val="0"/>
          <w:numId w:val="2"/>
        </w:numPr>
        <w:tabs>
          <w:tab w:val="left" w:pos="358"/>
        </w:tabs>
        <w:spacing w:line="266" w:lineRule="auto"/>
        <w:ind w:left="358" w:right="980" w:hanging="358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Kupující po</w:t>
      </w:r>
      <w:r>
        <w:rPr>
          <w:rFonts w:ascii="Arial" w:eastAsia="Arial" w:hAnsi="Arial" w:cs="Arial"/>
          <w:sz w:val="20"/>
          <w:szCs w:val="20"/>
        </w:rPr>
        <w:t>řizuje věc z dotačních prostředků projektu CIISB4HEALTH, reg. č. CZ.02.1.01/0.0/0.0/16_013/0001776 (dále jen „projekt“) financovaného z Operačního programu Výzkum, vývoj a vzdělávání (</w:t>
      </w:r>
      <w:r>
        <w:rPr>
          <w:rFonts w:ascii="Arial" w:eastAsia="Arial" w:hAnsi="Arial" w:cs="Arial"/>
          <w:b/>
          <w:bCs/>
          <w:sz w:val="20"/>
          <w:szCs w:val="20"/>
        </w:rPr>
        <w:t>dále jen „OP VVV“</w:t>
      </w:r>
      <w:r>
        <w:rPr>
          <w:rFonts w:ascii="Arial" w:eastAsia="Arial" w:hAnsi="Arial" w:cs="Arial"/>
          <w:sz w:val="20"/>
          <w:szCs w:val="20"/>
        </w:rPr>
        <w:t>).</w:t>
      </w:r>
    </w:p>
    <w:p w:rsidR="00B45E65" w:rsidRDefault="00B45E65">
      <w:pPr>
        <w:spacing w:line="46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0"/>
          <w:numId w:val="2"/>
        </w:numPr>
        <w:tabs>
          <w:tab w:val="left" w:pos="358"/>
        </w:tabs>
        <w:spacing w:line="248" w:lineRule="auto"/>
        <w:ind w:left="358" w:right="960" w:hanging="358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Smluvní strany berou na vědomí, že jakékoli, byť</w:t>
      </w:r>
      <w:r>
        <w:rPr>
          <w:rFonts w:ascii="Arial" w:eastAsia="Arial" w:hAnsi="Arial" w:cs="Arial"/>
          <w:sz w:val="20"/>
          <w:szCs w:val="20"/>
        </w:rPr>
        <w:t xml:space="preserve"> jen částečné, neplnění povinností vyplývajících z této smlouvy, ať už na straně prodávajícího či kupujícího, může ohrozit čerpání dotačních prostředků poskytnutých na realizaci předmětu smlouvy, příp. může vést k udělení sankcí kupujícímu ze strany orgánů</w:t>
      </w:r>
      <w:r>
        <w:rPr>
          <w:rFonts w:ascii="Arial" w:eastAsia="Arial" w:hAnsi="Arial" w:cs="Arial"/>
          <w:sz w:val="20"/>
          <w:szCs w:val="20"/>
        </w:rPr>
        <w:t xml:space="preserve"> oprávněných k výkonu kontroly projektu, v jejichž rámci jsou dotační prostředky poskytovány. Škoda, která může kupujícímu neplněním povinností vyplývajících z této smlouvy vzniknout, tak může i přesáhnout sjednanou kupní cenu.</w:t>
      </w: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87" w:lineRule="exact"/>
        <w:rPr>
          <w:sz w:val="20"/>
          <w:szCs w:val="20"/>
        </w:rPr>
      </w:pPr>
    </w:p>
    <w:p w:rsidR="00B45E65" w:rsidRDefault="00E917A2">
      <w:pPr>
        <w:ind w:left="4398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III.</w:t>
      </w:r>
    </w:p>
    <w:p w:rsidR="00B45E65" w:rsidRDefault="00B45E65">
      <w:pPr>
        <w:spacing w:line="120" w:lineRule="exact"/>
        <w:rPr>
          <w:sz w:val="20"/>
          <w:szCs w:val="20"/>
        </w:rPr>
      </w:pPr>
    </w:p>
    <w:p w:rsidR="00B45E65" w:rsidRDefault="00E917A2">
      <w:pPr>
        <w:ind w:left="3778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Předmět smlouvy</w:t>
      </w: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390" w:lineRule="exact"/>
        <w:rPr>
          <w:sz w:val="20"/>
          <w:szCs w:val="20"/>
        </w:rPr>
      </w:pPr>
    </w:p>
    <w:p w:rsidR="00B45E65" w:rsidRDefault="00E917A2">
      <w:pPr>
        <w:numPr>
          <w:ilvl w:val="0"/>
          <w:numId w:val="3"/>
        </w:numPr>
        <w:tabs>
          <w:tab w:val="left" w:pos="358"/>
        </w:tabs>
        <w:spacing w:line="261" w:lineRule="auto"/>
        <w:ind w:left="358" w:right="980" w:hanging="281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 se zavazuje, že kupujícímu odevzdá věc, která je předmětem koupě, a umožní mu nabýt vlastnické právo k této věci, a že splní další s tím související závazky uvedené ve smlouvě. Kupující se zavazuje, že věc převezme a zaplatí prodávajícímu kupní</w:t>
      </w:r>
      <w:r>
        <w:rPr>
          <w:rFonts w:ascii="Arial" w:eastAsia="Arial" w:hAnsi="Arial" w:cs="Arial"/>
          <w:sz w:val="20"/>
          <w:szCs w:val="20"/>
        </w:rPr>
        <w:t xml:space="preserve"> cenu.</w:t>
      </w:r>
    </w:p>
    <w:p w:rsidR="00B45E65" w:rsidRDefault="00B45E65">
      <w:pPr>
        <w:spacing w:line="58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0"/>
          <w:numId w:val="3"/>
        </w:numPr>
        <w:tabs>
          <w:tab w:val="left" w:pos="358"/>
        </w:tabs>
        <w:spacing w:line="282" w:lineRule="auto"/>
        <w:ind w:left="358" w:right="980" w:hanging="2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Množství, jakost a provedení, jakož i další vlastnosti věci jsou ujednány touto smlouvou, zejména pak v příloze č. 1 této smlouvy.</w:t>
      </w:r>
    </w:p>
    <w:p w:rsidR="00B45E65" w:rsidRDefault="00B45E65">
      <w:pPr>
        <w:spacing w:line="40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0"/>
          <w:numId w:val="3"/>
        </w:numPr>
        <w:tabs>
          <w:tab w:val="left" w:pos="358"/>
        </w:tabs>
        <w:ind w:left="358" w:hanging="2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 prohlašuje, že:</w:t>
      </w:r>
    </w:p>
    <w:p w:rsidR="00B45E65" w:rsidRDefault="00B45E65">
      <w:pPr>
        <w:spacing w:line="120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1"/>
          <w:numId w:val="3"/>
        </w:numPr>
        <w:tabs>
          <w:tab w:val="left" w:pos="638"/>
        </w:tabs>
        <w:ind w:left="638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 výlučným vlastníkem věci, kterou kupujícímu odevzdá,</w:t>
      </w:r>
    </w:p>
    <w:p w:rsidR="00B45E65" w:rsidRDefault="00B45E65">
      <w:pPr>
        <w:spacing w:line="120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3"/>
        </w:numPr>
        <w:tabs>
          <w:tab w:val="left" w:pos="638"/>
        </w:tabs>
        <w:ind w:left="638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věc je nová, tzn. nikoli dříve</w:t>
      </w:r>
      <w:r>
        <w:rPr>
          <w:rFonts w:ascii="Arial" w:eastAsia="Arial" w:hAnsi="Arial" w:cs="Arial"/>
          <w:sz w:val="20"/>
          <w:szCs w:val="20"/>
        </w:rPr>
        <w:t xml:space="preserve"> použitá, a to ani repasovaná,</w:t>
      </w:r>
    </w:p>
    <w:p w:rsidR="00B45E65" w:rsidRDefault="00B45E65">
      <w:pPr>
        <w:spacing w:line="387" w:lineRule="exact"/>
        <w:rPr>
          <w:sz w:val="20"/>
          <w:szCs w:val="20"/>
        </w:rPr>
      </w:pPr>
    </w:p>
    <w:tbl>
      <w:tblPr>
        <w:tblW w:w="0" w:type="auto"/>
        <w:tblInd w:w="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3520"/>
        <w:gridCol w:w="20"/>
      </w:tblGrid>
      <w:tr w:rsidR="00B45E65">
        <w:trPr>
          <w:trHeight w:val="187"/>
        </w:trPr>
        <w:tc>
          <w:tcPr>
            <w:tcW w:w="652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CEITEC – Central European Institute of Technology</w:t>
            </w:r>
          </w:p>
        </w:tc>
        <w:tc>
          <w:tcPr>
            <w:tcW w:w="3520" w:type="dxa"/>
            <w:vAlign w:val="bottom"/>
          </w:tcPr>
          <w:p w:rsidR="00B45E65" w:rsidRDefault="00B45E6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85"/>
        </w:trPr>
        <w:tc>
          <w:tcPr>
            <w:tcW w:w="652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Masaryk University</w:t>
            </w:r>
          </w:p>
        </w:tc>
        <w:tc>
          <w:tcPr>
            <w:tcW w:w="3520" w:type="dxa"/>
            <w:vAlign w:val="bottom"/>
          </w:tcPr>
          <w:p w:rsidR="00B45E65" w:rsidRDefault="00B45E6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83"/>
        </w:trPr>
        <w:tc>
          <w:tcPr>
            <w:tcW w:w="652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Kamenice 753/5, 625 00 Brno, Czech Republic</w:t>
            </w:r>
          </w:p>
        </w:tc>
        <w:tc>
          <w:tcPr>
            <w:tcW w:w="3520" w:type="dxa"/>
            <w:vAlign w:val="bottom"/>
          </w:tcPr>
          <w:p w:rsidR="00B45E65" w:rsidRDefault="00B45E6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98"/>
        </w:trPr>
        <w:tc>
          <w:tcPr>
            <w:tcW w:w="652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1A9C0"/>
                <w:sz w:val="14"/>
                <w:szCs w:val="14"/>
              </w:rPr>
              <w:t>www.ceitec.eu</w:t>
            </w:r>
          </w:p>
        </w:tc>
        <w:tc>
          <w:tcPr>
            <w:tcW w:w="3520" w:type="dxa"/>
            <w:vMerge w:val="restart"/>
            <w:vAlign w:val="bottom"/>
          </w:tcPr>
          <w:p w:rsidR="00B45E65" w:rsidRDefault="00E917A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2/20</w:t>
            </w: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03"/>
        </w:trPr>
        <w:tc>
          <w:tcPr>
            <w:tcW w:w="6520" w:type="dxa"/>
            <w:vAlign w:val="bottom"/>
          </w:tcPr>
          <w:p w:rsidR="00B45E65" w:rsidRDefault="00B45E65">
            <w:pPr>
              <w:rPr>
                <w:sz w:val="8"/>
                <w:szCs w:val="8"/>
              </w:rPr>
            </w:pPr>
          </w:p>
        </w:tc>
        <w:tc>
          <w:tcPr>
            <w:tcW w:w="3520" w:type="dxa"/>
            <w:vMerge/>
            <w:vAlign w:val="bottom"/>
          </w:tcPr>
          <w:p w:rsidR="00B45E65" w:rsidRDefault="00B45E6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</w:tbl>
    <w:p w:rsidR="00B45E65" w:rsidRDefault="00E917A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6976" behindDoc="1" locked="0" layoutInCell="0" allowOverlap="1">
            <wp:simplePos x="0" y="0"/>
            <wp:positionH relativeFrom="column">
              <wp:posOffset>5134610</wp:posOffset>
            </wp:positionH>
            <wp:positionV relativeFrom="paragraph">
              <wp:posOffset>-535940</wp:posOffset>
            </wp:positionV>
            <wp:extent cx="903605" cy="25908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25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5E65" w:rsidRDefault="00B45E65">
      <w:pPr>
        <w:sectPr w:rsidR="00B45E65">
          <w:pgSz w:w="11920" w:h="16845"/>
          <w:pgMar w:top="1440" w:right="450" w:bottom="48" w:left="1342" w:header="0" w:footer="0" w:gutter="0"/>
          <w:cols w:space="708" w:equalWidth="0">
            <w:col w:w="10118"/>
          </w:cols>
        </w:sectPr>
      </w:pPr>
    </w:p>
    <w:p w:rsidR="00B45E65" w:rsidRDefault="00E917A2">
      <w:pPr>
        <w:spacing w:line="200" w:lineRule="exact"/>
        <w:rPr>
          <w:sz w:val="20"/>
          <w:szCs w:val="20"/>
        </w:rPr>
      </w:pPr>
      <w:bookmarkStart w:id="2" w:name="page3"/>
      <w:bookmarkEnd w:id="2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48000" behindDoc="1" locked="0" layoutInCell="0" allowOverlap="1">
            <wp:simplePos x="0" y="0"/>
            <wp:positionH relativeFrom="page">
              <wp:posOffset>5598795</wp:posOffset>
            </wp:positionH>
            <wp:positionV relativeFrom="page">
              <wp:posOffset>0</wp:posOffset>
            </wp:positionV>
            <wp:extent cx="1959610" cy="199072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199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9" w:lineRule="exact"/>
        <w:rPr>
          <w:sz w:val="20"/>
          <w:szCs w:val="20"/>
        </w:rPr>
      </w:pPr>
    </w:p>
    <w:p w:rsidR="00B45E65" w:rsidRDefault="00E917A2">
      <w:pPr>
        <w:numPr>
          <w:ilvl w:val="1"/>
          <w:numId w:val="4"/>
        </w:numPr>
        <w:tabs>
          <w:tab w:val="left" w:pos="561"/>
        </w:tabs>
        <w:spacing w:line="250" w:lineRule="auto"/>
        <w:ind w:left="561" w:right="980" w:hanging="2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věc odpovídá této smlouvě; tzn., že má </w:t>
      </w:r>
      <w:r>
        <w:rPr>
          <w:rFonts w:ascii="Arial" w:eastAsia="Arial" w:hAnsi="Arial" w:cs="Arial"/>
          <w:sz w:val="20"/>
          <w:szCs w:val="20"/>
        </w:rPr>
        <w:t xml:space="preserve">vlastnosti, které si strany ujednaly, a chybí-li ujednání, takové vlastnosti, které prodávající nebo výrobce popsal nebo které kupující očekával s ohledem na povahu věci a na základě reklamy jimi prováděné, že se hodí k účelu, který vyplývá zejména z této </w:t>
      </w:r>
      <w:r>
        <w:rPr>
          <w:rFonts w:ascii="Arial" w:eastAsia="Arial" w:hAnsi="Arial" w:cs="Arial"/>
          <w:sz w:val="20"/>
          <w:szCs w:val="20"/>
        </w:rPr>
        <w:t>smlouvy, že vyhovuje požadavkům právních předpisů, že je bez jakýchkoli jiných vad, a to i právních.</w:t>
      </w:r>
    </w:p>
    <w:p w:rsidR="00B45E65" w:rsidRDefault="00B45E65">
      <w:pPr>
        <w:spacing w:line="71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0"/>
          <w:numId w:val="5"/>
        </w:numPr>
        <w:tabs>
          <w:tab w:val="left" w:pos="281"/>
        </w:tabs>
        <w:spacing w:line="254" w:lineRule="auto"/>
        <w:ind w:left="281" w:right="980" w:hanging="281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Pokud jsou k řádnému a včasnému splnění požadavků kupujícího uvedených v této smlouvě potřebné i další dodávky či služby ve smlouvě výslovně neuvedené, je</w:t>
      </w:r>
      <w:r>
        <w:rPr>
          <w:rFonts w:ascii="Arial" w:eastAsia="Arial" w:hAnsi="Arial" w:cs="Arial"/>
          <w:sz w:val="20"/>
          <w:szCs w:val="20"/>
        </w:rPr>
        <w:t xml:space="preserve"> prodávající povinen tyto dodávky či služby na své náklady obstarat či provést jako součást závazku odevzdat věc bez dopadu na kupní cenu.</w:t>
      </w: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81" w:lineRule="exact"/>
        <w:rPr>
          <w:sz w:val="20"/>
          <w:szCs w:val="20"/>
        </w:rPr>
      </w:pPr>
    </w:p>
    <w:p w:rsidR="00B45E65" w:rsidRDefault="00E917A2">
      <w:pPr>
        <w:ind w:left="4281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IV.</w:t>
      </w:r>
    </w:p>
    <w:p w:rsidR="00B45E65" w:rsidRDefault="00B45E65">
      <w:pPr>
        <w:spacing w:line="118" w:lineRule="exact"/>
        <w:rPr>
          <w:sz w:val="20"/>
          <w:szCs w:val="20"/>
        </w:rPr>
      </w:pPr>
    </w:p>
    <w:p w:rsidR="00B45E65" w:rsidRDefault="00E917A2">
      <w:pPr>
        <w:ind w:left="2821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Podmínky plnění předmětu smlouvy</w:t>
      </w: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390" w:lineRule="exact"/>
        <w:rPr>
          <w:sz w:val="20"/>
          <w:szCs w:val="20"/>
        </w:rPr>
      </w:pPr>
    </w:p>
    <w:p w:rsidR="00B45E65" w:rsidRDefault="00E917A2">
      <w:pPr>
        <w:numPr>
          <w:ilvl w:val="0"/>
          <w:numId w:val="6"/>
        </w:numPr>
        <w:tabs>
          <w:tab w:val="left" w:pos="281"/>
        </w:tabs>
        <w:spacing w:line="254" w:lineRule="auto"/>
        <w:ind w:left="281" w:right="980" w:hanging="281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Smluvní strany prohlašují, že svoje závazky budou plnit řádně a včas. </w:t>
      </w:r>
      <w:r>
        <w:rPr>
          <w:rFonts w:ascii="Arial" w:eastAsia="Arial" w:hAnsi="Arial" w:cs="Arial"/>
          <w:sz w:val="20"/>
          <w:szCs w:val="20"/>
        </w:rPr>
        <w:t>Prodávající odevzdá věc s potřebnou odbornou péčí v souladu s touto smlouvou, příslušnými právními předpisy a technickými</w:t>
      </w:r>
    </w:p>
    <w:p w:rsidR="00B45E65" w:rsidRDefault="00E917A2">
      <w:pPr>
        <w:numPr>
          <w:ilvl w:val="1"/>
          <w:numId w:val="6"/>
        </w:numPr>
        <w:tabs>
          <w:tab w:val="left" w:pos="381"/>
        </w:tabs>
        <w:ind w:left="381" w:hanging="9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jinými normami, které se na odevzdání věci přímo či nepřímo vztahují.</w:t>
      </w:r>
    </w:p>
    <w:p w:rsidR="00B45E65" w:rsidRDefault="00B45E65">
      <w:pPr>
        <w:spacing w:line="94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0"/>
          <w:numId w:val="6"/>
        </w:numPr>
        <w:tabs>
          <w:tab w:val="left" w:pos="281"/>
        </w:tabs>
        <w:ind w:left="281" w:hanging="2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Závazek prodávajícího odevzdat věc zahrnuje i:</w:t>
      </w:r>
    </w:p>
    <w:p w:rsidR="00B45E65" w:rsidRDefault="00B45E65">
      <w:pPr>
        <w:spacing w:line="107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2"/>
          <w:numId w:val="6"/>
        </w:numPr>
        <w:tabs>
          <w:tab w:val="left" w:pos="721"/>
        </w:tabs>
        <w:ind w:left="721" w:hanging="364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dopravu věci na</w:t>
      </w:r>
      <w:r>
        <w:rPr>
          <w:rFonts w:ascii="Arial Narrow" w:eastAsia="Arial Narrow" w:hAnsi="Arial Narrow" w:cs="Arial Narrow"/>
        </w:rPr>
        <w:t xml:space="preserve"> místo jejich odevzdání, jejich vybalení a kontrola,</w:t>
      </w:r>
    </w:p>
    <w:p w:rsidR="00B45E65" w:rsidRDefault="00B45E65">
      <w:pPr>
        <w:spacing w:line="119" w:lineRule="exact"/>
        <w:rPr>
          <w:rFonts w:ascii="Arial Narrow" w:eastAsia="Arial Narrow" w:hAnsi="Arial Narrow" w:cs="Arial Narrow"/>
        </w:rPr>
      </w:pPr>
    </w:p>
    <w:p w:rsidR="00B45E65" w:rsidRDefault="00E917A2">
      <w:pPr>
        <w:numPr>
          <w:ilvl w:val="2"/>
          <w:numId w:val="6"/>
        </w:numPr>
        <w:tabs>
          <w:tab w:val="left" w:pos="721"/>
        </w:tabs>
        <w:ind w:left="721" w:hanging="364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provedení instalace věci tak, aby mohla spolehlivě plnit svůj účel,</w:t>
      </w:r>
    </w:p>
    <w:p w:rsidR="00B45E65" w:rsidRDefault="00B45E65">
      <w:pPr>
        <w:spacing w:line="119" w:lineRule="exact"/>
        <w:rPr>
          <w:rFonts w:ascii="Arial Narrow" w:eastAsia="Arial Narrow" w:hAnsi="Arial Narrow" w:cs="Arial Narrow"/>
        </w:rPr>
      </w:pPr>
    </w:p>
    <w:p w:rsidR="00B45E65" w:rsidRDefault="00E917A2">
      <w:pPr>
        <w:numPr>
          <w:ilvl w:val="2"/>
          <w:numId w:val="6"/>
        </w:numPr>
        <w:tabs>
          <w:tab w:val="left" w:pos="721"/>
        </w:tabs>
        <w:ind w:left="721" w:hanging="364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odzkoušení a ověření správné funkčnosti věci;</w:t>
      </w:r>
    </w:p>
    <w:p w:rsidR="00B45E65" w:rsidRDefault="00B45E65">
      <w:pPr>
        <w:spacing w:line="119" w:lineRule="exact"/>
        <w:rPr>
          <w:rFonts w:ascii="Arial Narrow" w:eastAsia="Arial Narrow" w:hAnsi="Arial Narrow" w:cs="Arial Narrow"/>
        </w:rPr>
      </w:pPr>
    </w:p>
    <w:p w:rsidR="00B45E65" w:rsidRDefault="00E917A2">
      <w:pPr>
        <w:numPr>
          <w:ilvl w:val="2"/>
          <w:numId w:val="6"/>
        </w:numPr>
        <w:tabs>
          <w:tab w:val="left" w:pos="721"/>
        </w:tabs>
        <w:ind w:left="721" w:hanging="364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zaškolení obsluhy věci,</w:t>
      </w:r>
    </w:p>
    <w:p w:rsidR="00B45E65" w:rsidRDefault="00B45E65">
      <w:pPr>
        <w:spacing w:line="121" w:lineRule="exact"/>
        <w:rPr>
          <w:rFonts w:ascii="Arial Narrow" w:eastAsia="Arial Narrow" w:hAnsi="Arial Narrow" w:cs="Arial Narrow"/>
        </w:rPr>
      </w:pPr>
    </w:p>
    <w:p w:rsidR="00B45E65" w:rsidRDefault="00E917A2">
      <w:pPr>
        <w:numPr>
          <w:ilvl w:val="2"/>
          <w:numId w:val="6"/>
        </w:numPr>
        <w:tabs>
          <w:tab w:val="left" w:pos="721"/>
        </w:tabs>
        <w:spacing w:line="289" w:lineRule="auto"/>
        <w:ind w:left="721" w:right="1200" w:hanging="364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provedení veškerých předepsaných revizí vč. vystavení dokladů</w:t>
      </w:r>
      <w:r>
        <w:rPr>
          <w:rFonts w:ascii="Arial Narrow" w:eastAsia="Arial Narrow" w:hAnsi="Arial Narrow" w:cs="Arial Narrow"/>
        </w:rPr>
        <w:t xml:space="preserve"> o jejich provedení, předání atestů, certifikátů a prohlášen o shodě věci s požadavky příslušných právních předpisů či technických norem,</w:t>
      </w:r>
    </w:p>
    <w:p w:rsidR="00B45E65" w:rsidRDefault="00B45E65">
      <w:pPr>
        <w:spacing w:line="16" w:lineRule="exact"/>
        <w:rPr>
          <w:rFonts w:ascii="Arial Narrow" w:eastAsia="Arial Narrow" w:hAnsi="Arial Narrow" w:cs="Arial Narrow"/>
        </w:rPr>
      </w:pPr>
    </w:p>
    <w:p w:rsidR="00B45E65" w:rsidRDefault="00E917A2">
      <w:pPr>
        <w:numPr>
          <w:ilvl w:val="2"/>
          <w:numId w:val="6"/>
        </w:numPr>
        <w:tabs>
          <w:tab w:val="left" w:pos="721"/>
        </w:tabs>
        <w:spacing w:line="289" w:lineRule="auto"/>
        <w:ind w:left="721" w:right="1320" w:hanging="364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předání dokladů, které jsou nutné k užívání věcí, zejména návodů k použití, a příp. které se k věcem jinak vztahují (</w:t>
      </w:r>
      <w:r>
        <w:rPr>
          <w:rFonts w:ascii="Arial Narrow" w:eastAsia="Arial Narrow" w:hAnsi="Arial Narrow" w:cs="Arial Narrow"/>
          <w:b/>
          <w:bCs/>
        </w:rPr>
        <w:t>dále jen „doklady k věci“</w:t>
      </w:r>
      <w:r>
        <w:rPr>
          <w:rFonts w:ascii="Arial Narrow" w:eastAsia="Arial Narrow" w:hAnsi="Arial Narrow" w:cs="Arial Narrow"/>
        </w:rPr>
        <w:t>) a</w:t>
      </w:r>
    </w:p>
    <w:p w:rsidR="00B45E65" w:rsidRDefault="00B45E65">
      <w:pPr>
        <w:spacing w:line="16" w:lineRule="exact"/>
        <w:rPr>
          <w:rFonts w:ascii="Arial Narrow" w:eastAsia="Arial Narrow" w:hAnsi="Arial Narrow" w:cs="Arial Narrow"/>
        </w:rPr>
      </w:pPr>
    </w:p>
    <w:p w:rsidR="00B45E65" w:rsidRDefault="00E917A2">
      <w:pPr>
        <w:numPr>
          <w:ilvl w:val="2"/>
          <w:numId w:val="6"/>
        </w:numPr>
        <w:tabs>
          <w:tab w:val="left" w:pos="721"/>
        </w:tabs>
        <w:ind w:left="721" w:hanging="364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předání dodacího listu kupujícímu.</w:t>
      </w:r>
    </w:p>
    <w:p w:rsidR="00B45E65" w:rsidRDefault="00B45E65">
      <w:pPr>
        <w:spacing w:line="131" w:lineRule="exact"/>
        <w:rPr>
          <w:rFonts w:ascii="Arial Narrow" w:eastAsia="Arial Narrow" w:hAnsi="Arial Narrow" w:cs="Arial Narrow"/>
        </w:rPr>
      </w:pPr>
    </w:p>
    <w:p w:rsidR="00B45E65" w:rsidRDefault="00E917A2">
      <w:pPr>
        <w:numPr>
          <w:ilvl w:val="0"/>
          <w:numId w:val="6"/>
        </w:numPr>
        <w:tabs>
          <w:tab w:val="left" w:pos="281"/>
        </w:tabs>
        <w:ind w:left="281" w:hanging="2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Požadavky na instalaci věci</w:t>
      </w:r>
    </w:p>
    <w:p w:rsidR="00B45E65" w:rsidRDefault="00B45E65">
      <w:pPr>
        <w:spacing w:line="122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spacing w:line="254" w:lineRule="auto"/>
        <w:ind w:left="561" w:right="980" w:hanging="283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a) Prodávající se zavazuje provést instalaci věci, tj. její usazení v místě odevzdání věci, napojení na zdroje a dále vzájemné funkční propojení s dalšími věcmi </w:t>
      </w:r>
      <w:r>
        <w:rPr>
          <w:rFonts w:ascii="Arial" w:eastAsia="Arial" w:hAnsi="Arial" w:cs="Arial"/>
          <w:sz w:val="20"/>
          <w:szCs w:val="20"/>
        </w:rPr>
        <w:t>či dalším vybavením kupujícího, je-li plný provoz věci podmíněn takovým napojením nebo propojením tak, aby věc mohla spolehlivě plnit svůj účel.</w:t>
      </w:r>
    </w:p>
    <w:p w:rsidR="00B45E65" w:rsidRDefault="00B45E65">
      <w:pPr>
        <w:spacing w:line="65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spacing w:line="248" w:lineRule="auto"/>
        <w:ind w:left="561" w:right="980" w:hanging="283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b) Prodávající se zavazuje s kupujícím konzultovat návrh napojení věci na zdroje, jakož i návrh na vzájemné </w:t>
      </w:r>
      <w:r>
        <w:rPr>
          <w:rFonts w:ascii="Arial" w:eastAsia="Arial" w:hAnsi="Arial" w:cs="Arial"/>
          <w:sz w:val="20"/>
          <w:szCs w:val="20"/>
        </w:rPr>
        <w:t xml:space="preserve">funkční propojení věci s dalšími věcmi či dalším vybavením kupujícího ve smyslu předchozího písmene </w:t>
      </w:r>
      <w:r>
        <w:rPr>
          <w:rFonts w:ascii="Arial" w:eastAsia="Arial" w:hAnsi="Arial" w:cs="Arial"/>
          <w:b/>
          <w:bCs/>
          <w:sz w:val="20"/>
          <w:szCs w:val="20"/>
        </w:rPr>
        <w:t>(dále také jen „návrh napojení“)</w:t>
      </w:r>
      <w:r>
        <w:rPr>
          <w:rFonts w:ascii="Arial" w:eastAsia="Arial" w:hAnsi="Arial" w:cs="Arial"/>
          <w:sz w:val="20"/>
          <w:szCs w:val="20"/>
        </w:rPr>
        <w:t>. Návrh napojení předloží prodávající kupujícímu v termínu umožňujícím včasné splnění závazku odevzdat věc. Prodávající nesm</w:t>
      </w:r>
      <w:r>
        <w:rPr>
          <w:rFonts w:ascii="Arial" w:eastAsia="Arial" w:hAnsi="Arial" w:cs="Arial"/>
          <w:sz w:val="20"/>
          <w:szCs w:val="20"/>
        </w:rPr>
        <w:t>í před schválením návrhu napojení kupujícím plnit ty závazky vyplývající ze smlouvy, pokud by tím vznikl nebo mohl vzniknout rozpor se schváleným návrhem napojení.</w:t>
      </w:r>
    </w:p>
    <w:p w:rsidR="00B45E65" w:rsidRDefault="00B45E65">
      <w:pPr>
        <w:spacing w:line="72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0"/>
          <w:numId w:val="6"/>
        </w:numPr>
        <w:tabs>
          <w:tab w:val="left" w:pos="281"/>
        </w:tabs>
        <w:ind w:left="281" w:hanging="2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Odzkoušení a ověření správné funkčnosti věci</w:t>
      </w:r>
    </w:p>
    <w:p w:rsidR="00B45E65" w:rsidRDefault="00B45E65">
      <w:pPr>
        <w:spacing w:line="122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spacing w:line="280" w:lineRule="auto"/>
        <w:ind w:left="281" w:right="138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Prodávající se zavazuje provést odzkoušení a </w:t>
      </w:r>
      <w:r>
        <w:rPr>
          <w:rFonts w:ascii="Arial" w:eastAsia="Arial" w:hAnsi="Arial" w:cs="Arial"/>
          <w:sz w:val="20"/>
          <w:szCs w:val="20"/>
        </w:rPr>
        <w:t>ověření správné funkčnosti věci, případně její seřízení, revizi včetně předložení dokladů o odborné způsobilosti osoby, která seřízení či revizi prováděla, jakož i jiné úkony a činnosti nutné pro to, aby věc mohla spolehlivě plnit svůj účel.</w:t>
      </w: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318" w:lineRule="exact"/>
        <w:rPr>
          <w:sz w:val="20"/>
          <w:szCs w:val="20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3520"/>
        <w:gridCol w:w="20"/>
      </w:tblGrid>
      <w:tr w:rsidR="00B45E65">
        <w:trPr>
          <w:trHeight w:val="187"/>
        </w:trPr>
        <w:tc>
          <w:tcPr>
            <w:tcW w:w="652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CEITEC – Cen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tral European Institute of Technology</w:t>
            </w:r>
          </w:p>
        </w:tc>
        <w:tc>
          <w:tcPr>
            <w:tcW w:w="3520" w:type="dxa"/>
            <w:vAlign w:val="bottom"/>
          </w:tcPr>
          <w:p w:rsidR="00B45E65" w:rsidRDefault="00B45E6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85"/>
        </w:trPr>
        <w:tc>
          <w:tcPr>
            <w:tcW w:w="652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Masaryk University</w:t>
            </w:r>
          </w:p>
        </w:tc>
        <w:tc>
          <w:tcPr>
            <w:tcW w:w="3520" w:type="dxa"/>
            <w:vAlign w:val="bottom"/>
          </w:tcPr>
          <w:p w:rsidR="00B45E65" w:rsidRDefault="00B45E6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83"/>
        </w:trPr>
        <w:tc>
          <w:tcPr>
            <w:tcW w:w="652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Kamenice 753/5, 625 00 Brno, Czech Republic</w:t>
            </w:r>
          </w:p>
        </w:tc>
        <w:tc>
          <w:tcPr>
            <w:tcW w:w="3520" w:type="dxa"/>
            <w:vAlign w:val="bottom"/>
          </w:tcPr>
          <w:p w:rsidR="00B45E65" w:rsidRDefault="00B45E6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98"/>
        </w:trPr>
        <w:tc>
          <w:tcPr>
            <w:tcW w:w="652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1A9C0"/>
                <w:sz w:val="14"/>
                <w:szCs w:val="14"/>
              </w:rPr>
              <w:t>www.ceitec.eu</w:t>
            </w:r>
          </w:p>
        </w:tc>
        <w:tc>
          <w:tcPr>
            <w:tcW w:w="3520" w:type="dxa"/>
            <w:vMerge w:val="restart"/>
            <w:vAlign w:val="bottom"/>
          </w:tcPr>
          <w:p w:rsidR="00B45E65" w:rsidRDefault="00E917A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3/20</w:t>
            </w: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03"/>
        </w:trPr>
        <w:tc>
          <w:tcPr>
            <w:tcW w:w="6520" w:type="dxa"/>
            <w:vAlign w:val="bottom"/>
          </w:tcPr>
          <w:p w:rsidR="00B45E65" w:rsidRDefault="00B45E65">
            <w:pPr>
              <w:rPr>
                <w:sz w:val="8"/>
                <w:szCs w:val="8"/>
              </w:rPr>
            </w:pPr>
          </w:p>
        </w:tc>
        <w:tc>
          <w:tcPr>
            <w:tcW w:w="3520" w:type="dxa"/>
            <w:vMerge/>
            <w:vAlign w:val="bottom"/>
          </w:tcPr>
          <w:p w:rsidR="00B45E65" w:rsidRDefault="00B45E6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</w:tbl>
    <w:p w:rsidR="00B45E65" w:rsidRDefault="00E917A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5085715</wp:posOffset>
            </wp:positionH>
            <wp:positionV relativeFrom="paragraph">
              <wp:posOffset>-535940</wp:posOffset>
            </wp:positionV>
            <wp:extent cx="903605" cy="25908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25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5E65" w:rsidRDefault="00B45E65">
      <w:pPr>
        <w:sectPr w:rsidR="00B45E65">
          <w:pgSz w:w="11920" w:h="16845"/>
          <w:pgMar w:top="1440" w:right="450" w:bottom="48" w:left="1419" w:header="0" w:footer="0" w:gutter="0"/>
          <w:cols w:space="708" w:equalWidth="0">
            <w:col w:w="10041"/>
          </w:cols>
        </w:sectPr>
      </w:pPr>
    </w:p>
    <w:p w:rsidR="00B45E65" w:rsidRDefault="00E917A2">
      <w:pPr>
        <w:spacing w:line="200" w:lineRule="exact"/>
        <w:rPr>
          <w:sz w:val="20"/>
          <w:szCs w:val="20"/>
        </w:rPr>
      </w:pPr>
      <w:bookmarkStart w:id="3" w:name="page4"/>
      <w:bookmarkEnd w:id="3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0048" behindDoc="1" locked="0" layoutInCell="0" allowOverlap="1">
            <wp:simplePos x="0" y="0"/>
            <wp:positionH relativeFrom="page">
              <wp:posOffset>5598795</wp:posOffset>
            </wp:positionH>
            <wp:positionV relativeFrom="page">
              <wp:posOffset>0</wp:posOffset>
            </wp:positionV>
            <wp:extent cx="1959610" cy="199072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199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13" w:lineRule="exact"/>
        <w:rPr>
          <w:sz w:val="20"/>
          <w:szCs w:val="20"/>
        </w:rPr>
      </w:pPr>
    </w:p>
    <w:p w:rsidR="00B45E65" w:rsidRDefault="00E917A2">
      <w:pPr>
        <w:numPr>
          <w:ilvl w:val="0"/>
          <w:numId w:val="7"/>
        </w:numPr>
        <w:tabs>
          <w:tab w:val="left" w:pos="281"/>
        </w:tabs>
        <w:ind w:left="281" w:hanging="2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Zaškolení obsluhy věci</w:t>
      </w:r>
    </w:p>
    <w:p w:rsidR="00B45E65" w:rsidRDefault="00B45E65">
      <w:pPr>
        <w:spacing w:line="124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1"/>
          <w:numId w:val="7"/>
        </w:numPr>
        <w:tabs>
          <w:tab w:val="left" w:pos="561"/>
        </w:tabs>
        <w:spacing w:line="253" w:lineRule="auto"/>
        <w:ind w:left="561" w:right="980" w:hanging="2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 se zavazuje provést zaškolení obsluhy věci. Zaškolením</w:t>
      </w:r>
      <w:r>
        <w:rPr>
          <w:rFonts w:ascii="Arial" w:eastAsia="Arial" w:hAnsi="Arial" w:cs="Arial"/>
          <w:sz w:val="20"/>
          <w:szCs w:val="20"/>
        </w:rPr>
        <w:t xml:space="preserve"> obsluhy věci se pro účely této smlouvy rozumí seznámení pracovníků kupujícího s obsluhou věci, zejména s technickými a provozními podmínkami, všeobecnými pokyny pro bezpečnost a ochranu zdraví při práci a požární ochranu a veškerými dalšími náležitostmi v</w:t>
      </w:r>
      <w:r>
        <w:rPr>
          <w:rFonts w:ascii="Arial" w:eastAsia="Arial" w:hAnsi="Arial" w:cs="Arial"/>
          <w:sz w:val="20"/>
          <w:szCs w:val="20"/>
        </w:rPr>
        <w:t>yplývajícími z příslušných právních předpisů.</w:t>
      </w:r>
    </w:p>
    <w:p w:rsidR="00B45E65" w:rsidRDefault="00B45E65">
      <w:pPr>
        <w:spacing w:line="69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7"/>
        </w:numPr>
        <w:tabs>
          <w:tab w:val="left" w:pos="561"/>
        </w:tabs>
        <w:ind w:left="561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 provedení zaškolení obsluhy věci vypracuje prodávající protokol.</w:t>
      </w:r>
    </w:p>
    <w:p w:rsidR="00B45E65" w:rsidRDefault="00B45E65">
      <w:pPr>
        <w:spacing w:line="116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0"/>
          <w:numId w:val="7"/>
        </w:numPr>
        <w:tabs>
          <w:tab w:val="left" w:pos="281"/>
        </w:tabs>
        <w:ind w:left="281" w:hanging="2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Předávané dokumenty a doklady k věci</w:t>
      </w:r>
    </w:p>
    <w:p w:rsidR="00B45E65" w:rsidRDefault="00B45E65">
      <w:pPr>
        <w:spacing w:line="125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spacing w:line="280" w:lineRule="auto"/>
        <w:ind w:left="281" w:right="168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Veškeré dokumenty a doklady k věci, které se prodávající dle této smlouvy zavazuje př</w:t>
      </w:r>
      <w:r>
        <w:rPr>
          <w:rFonts w:ascii="Arial" w:eastAsia="Arial" w:hAnsi="Arial" w:cs="Arial"/>
          <w:sz w:val="20"/>
          <w:szCs w:val="20"/>
        </w:rPr>
        <w:t>edat kupujícímu, budou zpracovány v českém jazyce a předány kupujícímu v listinném nebo elektronickém vyhotovení (na DVD).</w:t>
      </w:r>
    </w:p>
    <w:p w:rsidR="00B45E65" w:rsidRDefault="00B45E65">
      <w:pPr>
        <w:spacing w:line="95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0"/>
          <w:numId w:val="7"/>
        </w:numPr>
        <w:tabs>
          <w:tab w:val="left" w:pos="281"/>
        </w:tabs>
        <w:ind w:left="281" w:hanging="2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Atesty, certifikáty a prohlášení o shodě věci</w:t>
      </w:r>
    </w:p>
    <w:p w:rsidR="00B45E65" w:rsidRDefault="00B45E65">
      <w:pPr>
        <w:spacing w:line="124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spacing w:line="278" w:lineRule="auto"/>
        <w:ind w:left="281" w:right="14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 se zavazuje obstarat a předat kupujícímu ke dni odevzdání věci veškeré at</w:t>
      </w:r>
      <w:r>
        <w:rPr>
          <w:rFonts w:ascii="Arial" w:eastAsia="Arial" w:hAnsi="Arial" w:cs="Arial"/>
          <w:sz w:val="20"/>
          <w:szCs w:val="20"/>
        </w:rPr>
        <w:t>esty, certifikáty a prohlášení o shodě věci s požadavky příslušných právních předpisů či technických norem.</w:t>
      </w:r>
    </w:p>
    <w:p w:rsidR="00B45E65" w:rsidRDefault="00B45E65">
      <w:pPr>
        <w:spacing w:line="99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0"/>
          <w:numId w:val="7"/>
        </w:numPr>
        <w:tabs>
          <w:tab w:val="left" w:pos="281"/>
        </w:tabs>
        <w:ind w:left="281" w:hanging="2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Licence</w:t>
      </w:r>
    </w:p>
    <w:p w:rsidR="00B45E65" w:rsidRDefault="00B45E65">
      <w:pPr>
        <w:spacing w:line="124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1"/>
          <w:numId w:val="7"/>
        </w:numPr>
        <w:tabs>
          <w:tab w:val="left" w:pos="561"/>
        </w:tabs>
        <w:spacing w:line="248" w:lineRule="auto"/>
        <w:ind w:left="561" w:right="980" w:hanging="2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Prodávající poskytuje kupujícímu podpisem této smlouvy nevýhradní oprávnění k výkonu práva duševního vlastnictví ve smyslu § 2358 a násl. </w:t>
      </w:r>
      <w:r>
        <w:rPr>
          <w:rFonts w:ascii="Arial" w:eastAsia="Arial" w:hAnsi="Arial" w:cs="Arial"/>
          <w:sz w:val="20"/>
          <w:szCs w:val="20"/>
        </w:rPr>
        <w:t>OZ ve spojení s příslušnými ustanoveními zákona č. 121/2000 Sb., o právu autorském, o právech souvisejících s právem autorským a o změně některých zákonů (autorský zákon), ve znění pozdějších předpisů, (dále jen „licence“), a to k jakémukoli plnění, k němu</w:t>
      </w:r>
      <w:r>
        <w:rPr>
          <w:rFonts w:ascii="Arial" w:eastAsia="Arial" w:hAnsi="Arial" w:cs="Arial"/>
          <w:sz w:val="20"/>
          <w:szCs w:val="20"/>
        </w:rPr>
        <w:t>ž se zavázal podle této smlouvy a které je nebo bude chráněno autorským právem.</w:t>
      </w:r>
    </w:p>
    <w:p w:rsidR="00B45E65" w:rsidRDefault="00B45E65">
      <w:pPr>
        <w:spacing w:line="74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7"/>
        </w:numPr>
        <w:tabs>
          <w:tab w:val="left" w:pos="561"/>
        </w:tabs>
        <w:spacing w:line="250" w:lineRule="auto"/>
        <w:ind w:left="561" w:right="980" w:hanging="2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Licence je poskytnuta na dobu trvání majetkových práv autorských k předmětnému plnění, a to v neomezeném rozsahu množstevním a ke všem způsobům užití. Prodávající prohlašuje, </w:t>
      </w:r>
      <w:r>
        <w:rPr>
          <w:rFonts w:ascii="Arial" w:eastAsia="Arial" w:hAnsi="Arial" w:cs="Arial"/>
          <w:sz w:val="20"/>
          <w:szCs w:val="20"/>
        </w:rPr>
        <w:t>že předmětné plnění je vytvořeno jejím autorem či autory jakožto dílo zaměstnanecké, případně že je oprávněn poskytnout kupujícímu licenci na základě smluvního ujednání s jejím autorem či autory, a to v plném rozsahu dle této smlouvy.</w:t>
      </w:r>
    </w:p>
    <w:p w:rsidR="00B45E65" w:rsidRDefault="00B45E65">
      <w:pPr>
        <w:spacing w:line="71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7"/>
        </w:numPr>
        <w:tabs>
          <w:tab w:val="left" w:pos="561"/>
        </w:tabs>
        <w:ind w:left="561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Kupující není povine</w:t>
      </w:r>
      <w:r>
        <w:rPr>
          <w:rFonts w:ascii="Arial" w:eastAsia="Arial" w:hAnsi="Arial" w:cs="Arial"/>
          <w:sz w:val="20"/>
          <w:szCs w:val="20"/>
        </w:rPr>
        <w:t>n licenci využít.</w:t>
      </w:r>
    </w:p>
    <w:p w:rsidR="00B45E65" w:rsidRDefault="00B45E65">
      <w:pPr>
        <w:spacing w:line="116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0"/>
          <w:numId w:val="7"/>
        </w:numPr>
        <w:tabs>
          <w:tab w:val="left" w:pos="281"/>
        </w:tabs>
        <w:ind w:left="281" w:hanging="2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Pokyny kupujícího</w:t>
      </w:r>
    </w:p>
    <w:p w:rsidR="00B45E65" w:rsidRDefault="00B45E65">
      <w:pPr>
        <w:spacing w:line="124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1"/>
          <w:numId w:val="7"/>
        </w:numPr>
        <w:tabs>
          <w:tab w:val="left" w:pos="561"/>
        </w:tabs>
        <w:ind w:left="561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Při plnění závazků dle této smlouvy postupuje prodávající samostatně, není-li uvedeno jinak.</w:t>
      </w:r>
    </w:p>
    <w:p w:rsidR="00B45E65" w:rsidRDefault="00B45E65">
      <w:pPr>
        <w:spacing w:line="121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7"/>
        </w:numPr>
        <w:tabs>
          <w:tab w:val="left" w:pos="561"/>
        </w:tabs>
        <w:spacing w:line="282" w:lineRule="auto"/>
        <w:ind w:left="561" w:right="980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 se zavazuje respektovat pokyny kupujícího, kterými jej kupující upozorňuje na možné porušení jeho smluvních či j</w:t>
      </w:r>
      <w:r>
        <w:rPr>
          <w:rFonts w:ascii="Arial" w:eastAsia="Arial" w:hAnsi="Arial" w:cs="Arial"/>
          <w:sz w:val="20"/>
          <w:szCs w:val="20"/>
        </w:rPr>
        <w:t>iných povinností.</w:t>
      </w:r>
    </w:p>
    <w:p w:rsidR="00B45E65" w:rsidRDefault="00B45E65">
      <w:pPr>
        <w:spacing w:line="37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7"/>
        </w:numPr>
        <w:tabs>
          <w:tab w:val="left" w:pos="561"/>
        </w:tabs>
        <w:spacing w:line="261" w:lineRule="auto"/>
        <w:ind w:left="561" w:right="980" w:hanging="2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 upozorní kupujícího bez zbytečného odkladu na nevhodnou povahu věci, kterou mu ke splnění závazků dle této smlouvy předal, nebo pokynu, který mu kupující dal. To neplatí, nemohl-li nevhodnost zjistit ani při vynaložení potř</w:t>
      </w:r>
      <w:r>
        <w:rPr>
          <w:rFonts w:ascii="Arial" w:eastAsia="Arial" w:hAnsi="Arial" w:cs="Arial"/>
          <w:sz w:val="20"/>
          <w:szCs w:val="20"/>
        </w:rPr>
        <w:t>ebné péče.</w:t>
      </w:r>
    </w:p>
    <w:p w:rsidR="00B45E65" w:rsidRDefault="00B45E65">
      <w:pPr>
        <w:spacing w:line="56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0"/>
          <w:numId w:val="7"/>
        </w:numPr>
        <w:tabs>
          <w:tab w:val="left" w:pos="281"/>
        </w:tabs>
        <w:ind w:left="281" w:hanging="2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Odborná způsobilost pracovníků prodávajícího</w:t>
      </w:r>
    </w:p>
    <w:p w:rsidR="00B45E65" w:rsidRDefault="00B45E65">
      <w:pPr>
        <w:spacing w:line="124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1"/>
          <w:numId w:val="7"/>
        </w:numPr>
        <w:tabs>
          <w:tab w:val="left" w:pos="561"/>
        </w:tabs>
        <w:spacing w:line="282" w:lineRule="auto"/>
        <w:ind w:left="561" w:right="980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Veškeré odborné práce musí vykonávat pracovníci prodávajícího nebo jeho poddodavatelů mající příslušnou odbornou způsobilost.</w:t>
      </w:r>
    </w:p>
    <w:p w:rsidR="00B45E65" w:rsidRDefault="00B45E65">
      <w:pPr>
        <w:spacing w:line="37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7"/>
        </w:numPr>
        <w:tabs>
          <w:tab w:val="left" w:pos="561"/>
        </w:tabs>
        <w:spacing w:line="282" w:lineRule="auto"/>
        <w:ind w:left="561" w:right="980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Doklad o odborné způsobilosti pracovníků je prodávající povinen na požá</w:t>
      </w:r>
      <w:r>
        <w:rPr>
          <w:rFonts w:ascii="Arial" w:eastAsia="Arial" w:hAnsi="Arial" w:cs="Arial"/>
          <w:sz w:val="20"/>
          <w:szCs w:val="20"/>
        </w:rPr>
        <w:t>dání kupujícímu předložit.</w:t>
      </w:r>
    </w:p>
    <w:p w:rsidR="00B45E65" w:rsidRDefault="00B45E65">
      <w:pPr>
        <w:spacing w:line="40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7"/>
        </w:numPr>
        <w:tabs>
          <w:tab w:val="left" w:pos="561"/>
        </w:tabs>
        <w:spacing w:line="253" w:lineRule="auto"/>
        <w:ind w:left="561" w:right="960" w:hanging="2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Kupující je oprávněn po prodávajícím požadovat, aby odvolal z plnění závazků dle této smlouvy pracovníka, který nemá příslušnou odbornou způsobilost, který si počíná tak, že to ohrožuje bezpečnost a zdraví jeho, jiných pracovník</w:t>
      </w:r>
      <w:r>
        <w:rPr>
          <w:rFonts w:ascii="Arial" w:eastAsia="Arial" w:hAnsi="Arial" w:cs="Arial"/>
          <w:sz w:val="20"/>
          <w:szCs w:val="20"/>
        </w:rPr>
        <w:t>ů či třetích osob, příp. je-li jeho chování hrubě nemravné. Neodvolá-li prodávající takového pracovníka, je kupující zejména oprávněn takového</w:t>
      </w: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3520"/>
        <w:gridCol w:w="20"/>
      </w:tblGrid>
      <w:tr w:rsidR="00B45E65">
        <w:trPr>
          <w:trHeight w:val="187"/>
        </w:trPr>
        <w:tc>
          <w:tcPr>
            <w:tcW w:w="652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CEITEC – Central European Institute of Technology</w:t>
            </w:r>
          </w:p>
        </w:tc>
        <w:tc>
          <w:tcPr>
            <w:tcW w:w="3520" w:type="dxa"/>
            <w:vAlign w:val="bottom"/>
          </w:tcPr>
          <w:p w:rsidR="00B45E65" w:rsidRDefault="00B45E6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85"/>
        </w:trPr>
        <w:tc>
          <w:tcPr>
            <w:tcW w:w="652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Masaryk University</w:t>
            </w:r>
          </w:p>
        </w:tc>
        <w:tc>
          <w:tcPr>
            <w:tcW w:w="3520" w:type="dxa"/>
            <w:vAlign w:val="bottom"/>
          </w:tcPr>
          <w:p w:rsidR="00B45E65" w:rsidRDefault="00B45E6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83"/>
        </w:trPr>
        <w:tc>
          <w:tcPr>
            <w:tcW w:w="652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Kamenice 753/5, 625 00 Brno, Czech </w:t>
            </w:r>
            <w:r>
              <w:rPr>
                <w:rFonts w:ascii="Arial" w:eastAsia="Arial" w:hAnsi="Arial" w:cs="Arial"/>
                <w:sz w:val="14"/>
                <w:szCs w:val="14"/>
              </w:rPr>
              <w:t>Republic</w:t>
            </w:r>
          </w:p>
        </w:tc>
        <w:tc>
          <w:tcPr>
            <w:tcW w:w="3520" w:type="dxa"/>
            <w:vAlign w:val="bottom"/>
          </w:tcPr>
          <w:p w:rsidR="00B45E65" w:rsidRDefault="00B45E6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98"/>
        </w:trPr>
        <w:tc>
          <w:tcPr>
            <w:tcW w:w="652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1A9C0"/>
                <w:sz w:val="14"/>
                <w:szCs w:val="14"/>
              </w:rPr>
              <w:t>www.ceitec.eu</w:t>
            </w:r>
          </w:p>
        </w:tc>
        <w:tc>
          <w:tcPr>
            <w:tcW w:w="3520" w:type="dxa"/>
            <w:vMerge w:val="restart"/>
            <w:vAlign w:val="bottom"/>
          </w:tcPr>
          <w:p w:rsidR="00B45E65" w:rsidRDefault="00E917A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4/20</w:t>
            </w: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03"/>
        </w:trPr>
        <w:tc>
          <w:tcPr>
            <w:tcW w:w="6520" w:type="dxa"/>
            <w:vAlign w:val="bottom"/>
          </w:tcPr>
          <w:p w:rsidR="00B45E65" w:rsidRDefault="00B45E65">
            <w:pPr>
              <w:rPr>
                <w:sz w:val="8"/>
                <w:szCs w:val="8"/>
              </w:rPr>
            </w:pPr>
          </w:p>
        </w:tc>
        <w:tc>
          <w:tcPr>
            <w:tcW w:w="3520" w:type="dxa"/>
            <w:vMerge/>
            <w:vAlign w:val="bottom"/>
          </w:tcPr>
          <w:p w:rsidR="00B45E65" w:rsidRDefault="00B45E6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</w:tbl>
    <w:p w:rsidR="00B45E65" w:rsidRDefault="00E917A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5085715</wp:posOffset>
            </wp:positionH>
            <wp:positionV relativeFrom="paragraph">
              <wp:posOffset>-535940</wp:posOffset>
            </wp:positionV>
            <wp:extent cx="903605" cy="25908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25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5E65" w:rsidRDefault="00B45E65">
      <w:pPr>
        <w:sectPr w:rsidR="00B45E65">
          <w:pgSz w:w="11920" w:h="16845"/>
          <w:pgMar w:top="1440" w:right="450" w:bottom="48" w:left="1419" w:header="0" w:footer="0" w:gutter="0"/>
          <w:cols w:space="708" w:equalWidth="0">
            <w:col w:w="10041"/>
          </w:cols>
        </w:sectPr>
      </w:pPr>
    </w:p>
    <w:p w:rsidR="00B45E65" w:rsidRDefault="00E917A2">
      <w:pPr>
        <w:spacing w:line="200" w:lineRule="exact"/>
        <w:rPr>
          <w:sz w:val="20"/>
          <w:szCs w:val="20"/>
        </w:rPr>
      </w:pPr>
      <w:bookmarkStart w:id="4" w:name="page5"/>
      <w:bookmarkEnd w:id="4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2096" behindDoc="1" locked="0" layoutInCell="0" allowOverlap="1">
            <wp:simplePos x="0" y="0"/>
            <wp:positionH relativeFrom="page">
              <wp:posOffset>5598795</wp:posOffset>
            </wp:positionH>
            <wp:positionV relativeFrom="page">
              <wp:posOffset>0</wp:posOffset>
            </wp:positionV>
            <wp:extent cx="1959610" cy="199072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199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9" w:lineRule="exact"/>
        <w:rPr>
          <w:sz w:val="20"/>
          <w:szCs w:val="20"/>
        </w:rPr>
      </w:pPr>
    </w:p>
    <w:p w:rsidR="00B45E65" w:rsidRDefault="00E917A2">
      <w:pPr>
        <w:spacing w:line="282" w:lineRule="auto"/>
        <w:ind w:left="561" w:right="9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pracovníka vykázat z místa odevzdání věci. Uvedené platí přiměřeně i ve vztahu k pracovníkům poddodavatele prodávajícího.</w:t>
      </w:r>
    </w:p>
    <w:p w:rsidR="00B45E65" w:rsidRDefault="00B45E65">
      <w:pPr>
        <w:spacing w:line="36" w:lineRule="exact"/>
        <w:rPr>
          <w:sz w:val="20"/>
          <w:szCs w:val="20"/>
        </w:rPr>
      </w:pPr>
    </w:p>
    <w:p w:rsidR="00B45E65" w:rsidRDefault="00E917A2">
      <w:pPr>
        <w:numPr>
          <w:ilvl w:val="0"/>
          <w:numId w:val="8"/>
        </w:numPr>
        <w:tabs>
          <w:tab w:val="left" w:pos="281"/>
        </w:tabs>
        <w:ind w:left="281" w:hanging="2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Poddodavatelé prodávajícího</w:t>
      </w:r>
    </w:p>
    <w:p w:rsidR="00B45E65" w:rsidRDefault="00B45E65">
      <w:pPr>
        <w:spacing w:line="122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1"/>
          <w:numId w:val="8"/>
        </w:numPr>
        <w:tabs>
          <w:tab w:val="left" w:pos="561"/>
        </w:tabs>
        <w:spacing w:line="261" w:lineRule="auto"/>
        <w:ind w:left="561" w:right="980" w:hanging="2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 žádost kupujícího se prodávající </w:t>
      </w:r>
      <w:r>
        <w:rPr>
          <w:rFonts w:ascii="Arial" w:eastAsia="Arial" w:hAnsi="Arial" w:cs="Arial"/>
          <w:sz w:val="20"/>
          <w:szCs w:val="20"/>
        </w:rPr>
        <w:t>zavazuje bezodkladně, nejpozději však do 3 (slovy: tří) pracovních dnů po sdělení takové žádosti, předložit písemný seznam poddodavatelů, které hodlá pověřit plněním části závazků dle této smlouvy.</w:t>
      </w:r>
    </w:p>
    <w:p w:rsidR="00B45E65" w:rsidRDefault="00B45E65">
      <w:pPr>
        <w:spacing w:line="60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8"/>
        </w:numPr>
        <w:tabs>
          <w:tab w:val="left" w:pos="561"/>
        </w:tabs>
        <w:spacing w:line="261" w:lineRule="auto"/>
        <w:ind w:left="561" w:right="960" w:hanging="2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Kupující si vyhrazuje právo schválit účast jednotlivých p</w:t>
      </w:r>
      <w:r>
        <w:rPr>
          <w:rFonts w:ascii="Arial" w:eastAsia="Arial" w:hAnsi="Arial" w:cs="Arial"/>
          <w:sz w:val="20"/>
          <w:szCs w:val="20"/>
        </w:rPr>
        <w:t>oddodavatelů prodávajícího na plnění části závazků dle této smlouvy. Prodávající však odpovídá za plnění takových závazků poddodavateli, jako by je plnil sám.</w:t>
      </w:r>
    </w:p>
    <w:p w:rsidR="00B45E65" w:rsidRDefault="00B45E65">
      <w:pPr>
        <w:spacing w:line="59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8"/>
        </w:numPr>
        <w:tabs>
          <w:tab w:val="left" w:pos="561"/>
        </w:tabs>
        <w:spacing w:line="261" w:lineRule="auto"/>
        <w:ind w:left="561" w:right="980" w:hanging="2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 se zavazuje, že ve smlouvách s případnými poddodavateli zaváže poddodavatele k plněn</w:t>
      </w:r>
      <w:r>
        <w:rPr>
          <w:rFonts w:ascii="Arial" w:eastAsia="Arial" w:hAnsi="Arial" w:cs="Arial"/>
          <w:sz w:val="20"/>
          <w:szCs w:val="20"/>
        </w:rPr>
        <w:t>í těch závazků, k jejichž splnění se zavázal v této smlouvě, a to v rozsahu, v jakém budou poddodavatelem tyto závazky plněny.</w:t>
      </w:r>
    </w:p>
    <w:p w:rsidR="00B45E65" w:rsidRDefault="00B45E65">
      <w:pPr>
        <w:spacing w:line="60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8"/>
        </w:numPr>
        <w:tabs>
          <w:tab w:val="left" w:pos="561"/>
        </w:tabs>
        <w:spacing w:line="250" w:lineRule="auto"/>
        <w:ind w:left="561" w:right="980" w:hanging="2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 je oprávněn změnit poddodavatele, kterým prokázal kvalifikaci v zadávacím řízení k veřejné zakázce, pouze s předchoz</w:t>
      </w:r>
      <w:r>
        <w:rPr>
          <w:rFonts w:ascii="Arial" w:eastAsia="Arial" w:hAnsi="Arial" w:cs="Arial"/>
          <w:sz w:val="20"/>
          <w:szCs w:val="20"/>
        </w:rPr>
        <w:t>ím písemným souhlasem kupujícího. Nový poddodavatel musí disponovat kvalifikací alespoň v takovém rozsahu, v jakém ji prokázal původní poddodavatel za prodávajícího. Na žádost kupujícího je prodávající povinen předložit doklady prokazující kvalifikaci nové</w:t>
      </w:r>
      <w:r>
        <w:rPr>
          <w:rFonts w:ascii="Arial" w:eastAsia="Arial" w:hAnsi="Arial" w:cs="Arial"/>
          <w:sz w:val="20"/>
          <w:szCs w:val="20"/>
        </w:rPr>
        <w:t>ho poddodavatele.</w:t>
      </w:r>
    </w:p>
    <w:p w:rsidR="00B45E65" w:rsidRDefault="00B45E65">
      <w:pPr>
        <w:spacing w:line="71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8"/>
        </w:numPr>
        <w:tabs>
          <w:tab w:val="left" w:pos="561"/>
        </w:tabs>
        <w:spacing w:line="282" w:lineRule="auto"/>
        <w:ind w:left="561" w:right="980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Nesplnění povinností prodávajícího dle tohoto odstavce se považuje za podstatné porušení smlouvy.</w:t>
      </w:r>
    </w:p>
    <w:p w:rsidR="00B45E65" w:rsidRDefault="00B45E65">
      <w:pPr>
        <w:spacing w:line="36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0"/>
          <w:numId w:val="8"/>
        </w:numPr>
        <w:tabs>
          <w:tab w:val="left" w:pos="281"/>
        </w:tabs>
        <w:ind w:left="281" w:hanging="2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Škody</w:t>
      </w:r>
    </w:p>
    <w:p w:rsidR="00B45E65" w:rsidRDefault="00B45E65">
      <w:pPr>
        <w:spacing w:line="122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1"/>
          <w:numId w:val="8"/>
        </w:numPr>
        <w:tabs>
          <w:tab w:val="left" w:pos="561"/>
        </w:tabs>
        <w:spacing w:line="248" w:lineRule="auto"/>
        <w:ind w:left="561" w:right="980" w:hanging="2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Pokud v souvislosti s plněním závazků dle této smlouvy prodávajícím dojde ke vzniku škody kupujícímu nebo třetím osobám z důvodu </w:t>
      </w:r>
      <w:r>
        <w:rPr>
          <w:rFonts w:ascii="Arial" w:eastAsia="Arial" w:hAnsi="Arial" w:cs="Arial"/>
          <w:sz w:val="20"/>
          <w:szCs w:val="20"/>
        </w:rPr>
        <w:t>opomenutí, nedbalosti, neplnění povinností vyplývajících z příslušných právních předpisů, technických či jiných norem, z této smlouvy nebo i z jiných důvodů, je prodávající povinen bez zbytečného odkladu tuto škodu nahradit uvedením v předešlý stav, a není</w:t>
      </w:r>
      <w:r>
        <w:rPr>
          <w:rFonts w:ascii="Arial" w:eastAsia="Arial" w:hAnsi="Arial" w:cs="Arial"/>
          <w:sz w:val="20"/>
          <w:szCs w:val="20"/>
        </w:rPr>
        <w:t>-li to možné, tak nahradit v penězích. Veškeré náklady s tím spojené nese prodávající.</w:t>
      </w:r>
    </w:p>
    <w:p w:rsidR="00B45E65" w:rsidRDefault="00B45E65">
      <w:pPr>
        <w:spacing w:line="74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8"/>
        </w:numPr>
        <w:tabs>
          <w:tab w:val="left" w:pos="561"/>
        </w:tabs>
        <w:spacing w:line="282" w:lineRule="auto"/>
        <w:ind w:left="561" w:right="980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 odpovídá i za škodu způsobenou činností těch, kteří pro něj závazky dle této smlouvy plní jako jeho pracovníci, poddodavatelé nebo jinak.</w:t>
      </w:r>
    </w:p>
    <w:p w:rsidR="00B45E65" w:rsidRDefault="00B45E65">
      <w:pPr>
        <w:spacing w:line="36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0"/>
          <w:numId w:val="8"/>
        </w:numPr>
        <w:tabs>
          <w:tab w:val="left" w:pos="281"/>
        </w:tabs>
        <w:spacing w:line="390" w:lineRule="auto"/>
        <w:ind w:left="281" w:right="5700" w:hanging="2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Odvoz a likvidace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odpadů; závěrečný úklid </w:t>
      </w:r>
      <w:r>
        <w:rPr>
          <w:rFonts w:ascii="Arial" w:eastAsia="Arial" w:hAnsi="Arial" w:cs="Arial"/>
          <w:sz w:val="20"/>
          <w:szCs w:val="20"/>
        </w:rPr>
        <w:t>Prodávající se zavazuje</w:t>
      </w:r>
    </w:p>
    <w:p w:rsidR="00B45E65" w:rsidRDefault="00B45E65">
      <w:pPr>
        <w:spacing w:line="2" w:lineRule="exact"/>
        <w:rPr>
          <w:sz w:val="20"/>
          <w:szCs w:val="20"/>
        </w:rPr>
      </w:pPr>
    </w:p>
    <w:p w:rsidR="00B45E65" w:rsidRDefault="00E917A2">
      <w:pPr>
        <w:tabs>
          <w:tab w:val="left" w:pos="701"/>
        </w:tabs>
        <w:ind w:left="361"/>
        <w:rPr>
          <w:sz w:val="20"/>
          <w:szCs w:val="20"/>
        </w:rPr>
      </w:pPr>
      <w:r>
        <w:rPr>
          <w:rFonts w:ascii="Arial Narrow" w:eastAsia="Arial Narrow" w:hAnsi="Arial Narrow" w:cs="Arial Narrow"/>
        </w:rPr>
        <w:t>a)</w:t>
      </w:r>
      <w:r>
        <w:rPr>
          <w:rFonts w:ascii="Arial Narrow" w:eastAsia="Arial Narrow" w:hAnsi="Arial Narrow" w:cs="Arial Narrow"/>
        </w:rPr>
        <w:tab/>
        <w:t>odvést  a  zlikvidovat  veškerý  odpad,  který  vznikne  při  plnění  závazků  odevzdat  věc,  v souladu</w:t>
      </w:r>
    </w:p>
    <w:p w:rsidR="00B45E65" w:rsidRDefault="00B45E65">
      <w:pPr>
        <w:spacing w:line="32" w:lineRule="exact"/>
        <w:rPr>
          <w:sz w:val="20"/>
          <w:szCs w:val="20"/>
        </w:rPr>
      </w:pPr>
    </w:p>
    <w:p w:rsidR="00B45E65" w:rsidRDefault="00E917A2">
      <w:pPr>
        <w:spacing w:line="250" w:lineRule="auto"/>
        <w:ind w:left="721" w:right="960"/>
        <w:jc w:val="both"/>
        <w:rPr>
          <w:sz w:val="20"/>
          <w:szCs w:val="20"/>
        </w:rPr>
      </w:pPr>
      <w:r>
        <w:rPr>
          <w:rFonts w:ascii="Arial Narrow" w:eastAsia="Arial Narrow" w:hAnsi="Arial Narrow" w:cs="Arial Narrow"/>
        </w:rPr>
        <w:t>s příslušnými ustanoveními zákona č. 185/2001 Sb., o odpadech a o změně některých dalších zákonů,</w:t>
      </w:r>
      <w:r>
        <w:rPr>
          <w:rFonts w:ascii="Arial Narrow" w:eastAsia="Arial Narrow" w:hAnsi="Arial Narrow" w:cs="Arial Narrow"/>
        </w:rPr>
        <w:t xml:space="preserve"> ve znění pozdějších předpisů, příslušnou vyhláškou Statutárního města Brna a dalšími právními předpisy; doklady o likvidaci odpadů je prodávající povine na požádání kupujícímu předložit,</w:t>
      </w:r>
    </w:p>
    <w:p w:rsidR="00B45E65" w:rsidRDefault="00B45E65">
      <w:pPr>
        <w:spacing w:line="58" w:lineRule="exact"/>
        <w:rPr>
          <w:sz w:val="20"/>
          <w:szCs w:val="20"/>
        </w:rPr>
      </w:pPr>
    </w:p>
    <w:p w:rsidR="00B45E65" w:rsidRDefault="00E917A2">
      <w:pPr>
        <w:numPr>
          <w:ilvl w:val="1"/>
          <w:numId w:val="9"/>
        </w:numPr>
        <w:tabs>
          <w:tab w:val="left" w:pos="721"/>
        </w:tabs>
        <w:spacing w:line="289" w:lineRule="auto"/>
        <w:ind w:left="721" w:right="960" w:hanging="364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provést závěrečný úklid včetně uvedení všech povrchů dotčených plně</w:t>
      </w:r>
      <w:r>
        <w:rPr>
          <w:rFonts w:ascii="Arial Narrow" w:eastAsia="Arial Narrow" w:hAnsi="Arial Narrow" w:cs="Arial Narrow"/>
        </w:rPr>
        <w:t>ní závazků odevzdat věc dle této smlouvy do původního stavu.</w:t>
      </w:r>
    </w:p>
    <w:p w:rsidR="00B45E65" w:rsidRDefault="00B45E65">
      <w:pPr>
        <w:spacing w:line="25" w:lineRule="exact"/>
        <w:rPr>
          <w:rFonts w:ascii="Arial Narrow" w:eastAsia="Arial Narrow" w:hAnsi="Arial Narrow" w:cs="Arial Narrow"/>
        </w:rPr>
      </w:pPr>
    </w:p>
    <w:p w:rsidR="00B45E65" w:rsidRDefault="00E917A2">
      <w:pPr>
        <w:numPr>
          <w:ilvl w:val="0"/>
          <w:numId w:val="10"/>
        </w:numPr>
        <w:tabs>
          <w:tab w:val="left" w:pos="281"/>
        </w:tabs>
        <w:ind w:left="281" w:hanging="2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Prohlášení prodávajícího</w:t>
      </w:r>
    </w:p>
    <w:p w:rsidR="00B45E65" w:rsidRDefault="00B45E65">
      <w:pPr>
        <w:spacing w:line="124" w:lineRule="exact"/>
        <w:rPr>
          <w:sz w:val="20"/>
          <w:szCs w:val="20"/>
        </w:rPr>
      </w:pPr>
    </w:p>
    <w:p w:rsidR="00B45E65" w:rsidRDefault="00E917A2">
      <w:pPr>
        <w:ind w:left="56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 prohlašuje, že dodávka bude vyhovovat všem technickým specifikacím uvedeným</w:t>
      </w:r>
    </w:p>
    <w:p w:rsidR="00B45E65" w:rsidRDefault="00B45E65">
      <w:pPr>
        <w:spacing w:line="40" w:lineRule="exact"/>
        <w:rPr>
          <w:sz w:val="20"/>
          <w:szCs w:val="20"/>
        </w:rPr>
      </w:pPr>
    </w:p>
    <w:p w:rsidR="00B45E65" w:rsidRDefault="00E917A2">
      <w:pPr>
        <w:numPr>
          <w:ilvl w:val="0"/>
          <w:numId w:val="11"/>
        </w:numPr>
        <w:tabs>
          <w:tab w:val="left" w:pos="717"/>
        </w:tabs>
        <w:spacing w:line="262" w:lineRule="auto"/>
        <w:ind w:left="561" w:right="1340" w:firstLine="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příloze č. 1. Pokud by se v průběhu přípravy a realizace dodávky ukázalo, že ke</w:t>
      </w:r>
      <w:r>
        <w:rPr>
          <w:rFonts w:ascii="Arial" w:eastAsia="Arial" w:hAnsi="Arial" w:cs="Arial"/>
          <w:sz w:val="20"/>
          <w:szCs w:val="20"/>
        </w:rPr>
        <w:t xml:space="preserve"> splnění požadavků Kupujícího dle této přílohy je nezbytné dodání dalších zařízení, součástí či příslušenství nebo provedení dalších služeb či prací, zavazuje se Prodávající dodat tato zařízení a provést tyto práce či služby jako součást plnění dodávky dle</w:t>
      </w:r>
      <w:r>
        <w:rPr>
          <w:rFonts w:ascii="Arial" w:eastAsia="Arial" w:hAnsi="Arial" w:cs="Arial"/>
          <w:sz w:val="20"/>
          <w:szCs w:val="20"/>
        </w:rPr>
        <w:t xml:space="preserve"> smlouvy bez zvýšení Kupní ceny (zmíněné dodávky, práce či služby nebudou mít charakter vícedodávek či víceprací).</w:t>
      </w: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47" w:lineRule="exact"/>
        <w:rPr>
          <w:sz w:val="20"/>
          <w:szCs w:val="20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3520"/>
        <w:gridCol w:w="20"/>
      </w:tblGrid>
      <w:tr w:rsidR="00B45E65">
        <w:trPr>
          <w:trHeight w:val="187"/>
        </w:trPr>
        <w:tc>
          <w:tcPr>
            <w:tcW w:w="652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CEITEC – Central European Institute of Technology</w:t>
            </w:r>
          </w:p>
        </w:tc>
        <w:tc>
          <w:tcPr>
            <w:tcW w:w="3520" w:type="dxa"/>
            <w:vAlign w:val="bottom"/>
          </w:tcPr>
          <w:p w:rsidR="00B45E65" w:rsidRDefault="00B45E6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85"/>
        </w:trPr>
        <w:tc>
          <w:tcPr>
            <w:tcW w:w="652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Masaryk University</w:t>
            </w:r>
          </w:p>
        </w:tc>
        <w:tc>
          <w:tcPr>
            <w:tcW w:w="3520" w:type="dxa"/>
            <w:vAlign w:val="bottom"/>
          </w:tcPr>
          <w:p w:rsidR="00B45E65" w:rsidRDefault="00B45E6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83"/>
        </w:trPr>
        <w:tc>
          <w:tcPr>
            <w:tcW w:w="652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Kamenice 753/5, 625 00 Brno, Czech Republic</w:t>
            </w:r>
          </w:p>
        </w:tc>
        <w:tc>
          <w:tcPr>
            <w:tcW w:w="3520" w:type="dxa"/>
            <w:vAlign w:val="bottom"/>
          </w:tcPr>
          <w:p w:rsidR="00B45E65" w:rsidRDefault="00B45E6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98"/>
        </w:trPr>
        <w:tc>
          <w:tcPr>
            <w:tcW w:w="652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1A9C0"/>
                <w:sz w:val="14"/>
                <w:szCs w:val="14"/>
              </w:rPr>
              <w:t>www.ceitec.eu</w:t>
            </w:r>
          </w:p>
        </w:tc>
        <w:tc>
          <w:tcPr>
            <w:tcW w:w="3520" w:type="dxa"/>
            <w:vMerge w:val="restart"/>
            <w:vAlign w:val="bottom"/>
          </w:tcPr>
          <w:p w:rsidR="00B45E65" w:rsidRDefault="00E917A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5/20</w:t>
            </w: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03"/>
        </w:trPr>
        <w:tc>
          <w:tcPr>
            <w:tcW w:w="6520" w:type="dxa"/>
            <w:vAlign w:val="bottom"/>
          </w:tcPr>
          <w:p w:rsidR="00B45E65" w:rsidRDefault="00B45E65">
            <w:pPr>
              <w:rPr>
                <w:sz w:val="8"/>
                <w:szCs w:val="8"/>
              </w:rPr>
            </w:pPr>
          </w:p>
        </w:tc>
        <w:tc>
          <w:tcPr>
            <w:tcW w:w="3520" w:type="dxa"/>
            <w:vMerge/>
            <w:vAlign w:val="bottom"/>
          </w:tcPr>
          <w:p w:rsidR="00B45E65" w:rsidRDefault="00B45E6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</w:tbl>
    <w:p w:rsidR="00B45E65" w:rsidRDefault="00E917A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5085715</wp:posOffset>
            </wp:positionH>
            <wp:positionV relativeFrom="paragraph">
              <wp:posOffset>-535940</wp:posOffset>
            </wp:positionV>
            <wp:extent cx="903605" cy="25908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25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5E65" w:rsidRDefault="00B45E65">
      <w:pPr>
        <w:sectPr w:rsidR="00B45E65">
          <w:pgSz w:w="11920" w:h="16845"/>
          <w:pgMar w:top="1440" w:right="450" w:bottom="48" w:left="1419" w:header="0" w:footer="0" w:gutter="0"/>
          <w:cols w:space="708" w:equalWidth="0">
            <w:col w:w="10041"/>
          </w:cols>
        </w:sectPr>
      </w:pPr>
    </w:p>
    <w:p w:rsidR="00B45E65" w:rsidRDefault="00E917A2">
      <w:pPr>
        <w:spacing w:line="200" w:lineRule="exact"/>
        <w:rPr>
          <w:sz w:val="20"/>
          <w:szCs w:val="20"/>
        </w:rPr>
      </w:pPr>
      <w:bookmarkStart w:id="5" w:name="page6"/>
      <w:bookmarkEnd w:id="5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4144" behindDoc="1" locked="0" layoutInCell="0" allowOverlap="1">
            <wp:simplePos x="0" y="0"/>
            <wp:positionH relativeFrom="page">
              <wp:posOffset>5598795</wp:posOffset>
            </wp:positionH>
            <wp:positionV relativeFrom="page">
              <wp:posOffset>0</wp:posOffset>
            </wp:positionV>
            <wp:extent cx="1959610" cy="199072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199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5" w:lineRule="exact"/>
        <w:rPr>
          <w:sz w:val="20"/>
          <w:szCs w:val="20"/>
        </w:rPr>
      </w:pPr>
    </w:p>
    <w:p w:rsidR="00B45E65" w:rsidRDefault="00E917A2">
      <w:pPr>
        <w:ind w:right="89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V.</w:t>
      </w:r>
    </w:p>
    <w:p w:rsidR="00B45E65" w:rsidRDefault="00B45E65">
      <w:pPr>
        <w:spacing w:line="154" w:lineRule="exact"/>
        <w:rPr>
          <w:sz w:val="20"/>
          <w:szCs w:val="20"/>
        </w:rPr>
      </w:pPr>
    </w:p>
    <w:p w:rsidR="00B45E65" w:rsidRDefault="00E917A2">
      <w:pPr>
        <w:ind w:right="97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Odevzdání a převzetí věci</w:t>
      </w: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386" w:lineRule="exact"/>
        <w:rPr>
          <w:sz w:val="20"/>
          <w:szCs w:val="20"/>
        </w:rPr>
      </w:pPr>
    </w:p>
    <w:p w:rsidR="00B45E65" w:rsidRDefault="00E917A2">
      <w:pPr>
        <w:numPr>
          <w:ilvl w:val="0"/>
          <w:numId w:val="12"/>
        </w:numPr>
        <w:tabs>
          <w:tab w:val="left" w:pos="281"/>
        </w:tabs>
        <w:ind w:left="281" w:hanging="2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Čas, místo a způsob odevzdání věci prodávajícím</w:t>
      </w:r>
    </w:p>
    <w:p w:rsidR="00B45E65" w:rsidRDefault="00B45E65">
      <w:pPr>
        <w:spacing w:line="124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1"/>
          <w:numId w:val="12"/>
        </w:numPr>
        <w:tabs>
          <w:tab w:val="left" w:pos="561"/>
        </w:tabs>
        <w:ind w:left="561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 odevzdá věc kupujícímu</w:t>
      </w:r>
    </w:p>
    <w:p w:rsidR="00B45E65" w:rsidRDefault="00B45E65">
      <w:pPr>
        <w:spacing w:line="107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2"/>
          <w:numId w:val="12"/>
        </w:numPr>
        <w:tabs>
          <w:tab w:val="left" w:pos="861"/>
        </w:tabs>
        <w:ind w:left="861" w:hanging="295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nejpozději do 3 (slovy: tří) měsíců ode dne objednání,</w:t>
      </w:r>
    </w:p>
    <w:p w:rsidR="00B45E65" w:rsidRDefault="00B45E65">
      <w:pPr>
        <w:spacing w:line="119" w:lineRule="exact"/>
        <w:rPr>
          <w:rFonts w:ascii="Arial Narrow" w:eastAsia="Arial Narrow" w:hAnsi="Arial Narrow" w:cs="Arial Narrow"/>
        </w:rPr>
      </w:pPr>
    </w:p>
    <w:p w:rsidR="00B45E65" w:rsidRDefault="00E917A2">
      <w:pPr>
        <w:numPr>
          <w:ilvl w:val="2"/>
          <w:numId w:val="12"/>
        </w:numPr>
        <w:tabs>
          <w:tab w:val="left" w:pos="861"/>
        </w:tabs>
        <w:ind w:left="861" w:hanging="295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na adrese sídla kupujícího, Kamenice 5, 625 00 Brno, pavilon A35, místnost č. 2S027,</w:t>
      </w:r>
    </w:p>
    <w:p w:rsidR="00B45E65" w:rsidRDefault="00B45E65">
      <w:pPr>
        <w:spacing w:line="120" w:lineRule="exact"/>
        <w:rPr>
          <w:rFonts w:ascii="Arial Narrow" w:eastAsia="Arial Narrow" w:hAnsi="Arial Narrow" w:cs="Arial Narrow"/>
        </w:rPr>
      </w:pPr>
    </w:p>
    <w:p w:rsidR="00B45E65" w:rsidRDefault="00E917A2">
      <w:pPr>
        <w:numPr>
          <w:ilvl w:val="2"/>
          <w:numId w:val="12"/>
        </w:numPr>
        <w:tabs>
          <w:tab w:val="left" w:pos="861"/>
        </w:tabs>
        <w:ind w:left="861" w:hanging="295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najednou, nebude-li mezi prodávajícím a kupujícím dohodnuto jinak.</w:t>
      </w:r>
    </w:p>
    <w:p w:rsidR="00B45E65" w:rsidRDefault="00B45E65">
      <w:pPr>
        <w:spacing w:line="132" w:lineRule="exact"/>
        <w:rPr>
          <w:rFonts w:ascii="Arial Narrow" w:eastAsia="Arial Narrow" w:hAnsi="Arial Narrow" w:cs="Arial Narrow"/>
        </w:rPr>
      </w:pPr>
    </w:p>
    <w:p w:rsidR="00B45E65" w:rsidRDefault="00E917A2">
      <w:pPr>
        <w:numPr>
          <w:ilvl w:val="1"/>
          <w:numId w:val="12"/>
        </w:numPr>
        <w:tabs>
          <w:tab w:val="left" w:pos="561"/>
        </w:tabs>
        <w:spacing w:line="254" w:lineRule="auto"/>
        <w:ind w:left="561" w:right="980" w:hanging="2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Prodávající je povinen písemně informovat kontaktní osobu kupujícího uvedenou v čl. I. odst. 1) této </w:t>
      </w:r>
      <w:r>
        <w:rPr>
          <w:rFonts w:ascii="Arial" w:eastAsia="Arial" w:hAnsi="Arial" w:cs="Arial"/>
          <w:sz w:val="20"/>
          <w:szCs w:val="20"/>
        </w:rPr>
        <w:t>smlouvy o přesném termínu, ve kterém věc odevzdá, a to alespoň 2 (slovy: dva) pracovní dny před jejím odevzdáním, nebude-li mezi prodávajícím a kupujícím dohodnuto jinak. Nesplní-li prodávající tuto povinnost, je kupující oprávněn odevzdání věci odmítnout.</w:t>
      </w:r>
    </w:p>
    <w:p w:rsidR="00B45E65" w:rsidRDefault="00B45E65">
      <w:pPr>
        <w:spacing w:line="68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12"/>
        </w:numPr>
        <w:tabs>
          <w:tab w:val="left" w:pos="561"/>
        </w:tabs>
        <w:spacing w:line="250" w:lineRule="auto"/>
        <w:ind w:left="561" w:right="980" w:hanging="2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Připadne-li poslední den lhůty pro odevzdání věci na sobotu, neděli nebo svátek, je posledním dnem lhůty pracovní den nejblíže následující. Nebude-li mezi prodávajícím a kupujícím dohodnuto jinak, platí, že odevzdání věci proběhne v době od 9:00 do 17:00</w:t>
      </w:r>
      <w:r>
        <w:rPr>
          <w:rFonts w:ascii="Arial" w:eastAsia="Arial" w:hAnsi="Arial" w:cs="Arial"/>
          <w:sz w:val="20"/>
          <w:szCs w:val="20"/>
        </w:rPr>
        <w:t>. Kupující je oprávněn v případě svých provozních potřeb dobu, po kterou je prodávajícímu umožněn přístup na místo odevzdání věci, upravit písemným pokynem prodávajícímu.</w:t>
      </w:r>
    </w:p>
    <w:p w:rsidR="00B45E65" w:rsidRDefault="00B45E65">
      <w:pPr>
        <w:spacing w:line="71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12"/>
        </w:numPr>
        <w:tabs>
          <w:tab w:val="left" w:pos="561"/>
        </w:tabs>
        <w:spacing w:line="282" w:lineRule="auto"/>
        <w:ind w:left="561" w:right="980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Kupující v souvislosti s umožněním přístupu na místo pro odevzdání věci seznámí prod</w:t>
      </w:r>
      <w:r>
        <w:rPr>
          <w:rFonts w:ascii="Arial" w:eastAsia="Arial" w:hAnsi="Arial" w:cs="Arial"/>
          <w:sz w:val="20"/>
          <w:szCs w:val="20"/>
        </w:rPr>
        <w:t>ávajícího s</w:t>
      </w:r>
    </w:p>
    <w:p w:rsidR="00B45E65" w:rsidRDefault="00B45E65">
      <w:pPr>
        <w:spacing w:line="40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2"/>
          <w:numId w:val="12"/>
        </w:numPr>
        <w:tabs>
          <w:tab w:val="left" w:pos="861"/>
        </w:tabs>
        <w:ind w:left="861" w:hanging="29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přístupovými cestami pro dopravu věci na místo odevzdání věci,</w:t>
      </w:r>
    </w:p>
    <w:p w:rsidR="00B45E65" w:rsidRDefault="00B45E65">
      <w:pPr>
        <w:spacing w:line="118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2"/>
          <w:numId w:val="12"/>
        </w:numPr>
        <w:tabs>
          <w:tab w:val="left" w:pos="861"/>
        </w:tabs>
        <w:spacing w:line="282" w:lineRule="auto"/>
        <w:ind w:left="861" w:right="960" w:hanging="29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přípojnými body pro napojení věci na zdroje a pro vzájemné funkční propojení s dalšími věcmi či dalším vybavením kupujícího,</w:t>
      </w:r>
    </w:p>
    <w:p w:rsidR="00B45E65" w:rsidRDefault="00B45E65">
      <w:pPr>
        <w:spacing w:line="40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2"/>
          <w:numId w:val="12"/>
        </w:numPr>
        <w:tabs>
          <w:tab w:val="left" w:pos="861"/>
        </w:tabs>
        <w:ind w:left="861" w:hanging="29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provozním řádem místa odevzdání věci.</w:t>
      </w:r>
    </w:p>
    <w:p w:rsidR="00B45E65" w:rsidRDefault="00B45E65">
      <w:pPr>
        <w:spacing w:line="120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12"/>
        </w:numPr>
        <w:tabs>
          <w:tab w:val="left" w:pos="561"/>
        </w:tabs>
        <w:ind w:left="561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Prodlení s </w:t>
      </w:r>
      <w:r>
        <w:rPr>
          <w:rFonts w:ascii="Arial" w:eastAsia="Arial" w:hAnsi="Arial" w:cs="Arial"/>
          <w:sz w:val="20"/>
          <w:szCs w:val="20"/>
        </w:rPr>
        <w:t>odevzdání věci se považuje za podstatné porušení smlouvy.</w:t>
      </w:r>
    </w:p>
    <w:p w:rsidR="00B45E65" w:rsidRDefault="00B45E65">
      <w:pPr>
        <w:spacing w:line="116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0"/>
          <w:numId w:val="12"/>
        </w:numPr>
        <w:tabs>
          <w:tab w:val="left" w:pos="281"/>
        </w:tabs>
        <w:ind w:left="281" w:hanging="2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Prodloužení lhůty pro odevzdání věci</w:t>
      </w:r>
    </w:p>
    <w:p w:rsidR="00B45E65" w:rsidRDefault="00B45E65">
      <w:pPr>
        <w:spacing w:line="124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ind w:left="2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Lhůta pro odevzdání věci může být přiměřeně prodloužena</w:t>
      </w:r>
    </w:p>
    <w:p w:rsidR="00B45E65" w:rsidRDefault="00B45E65">
      <w:pPr>
        <w:spacing w:line="175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1"/>
          <w:numId w:val="12"/>
        </w:numPr>
        <w:tabs>
          <w:tab w:val="left" w:pos="561"/>
        </w:tabs>
        <w:spacing w:line="282" w:lineRule="auto"/>
        <w:ind w:left="561" w:right="980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jestliže dojde k přerušení plnění závazků dle této smlouvy na základě písemného pokynu kupujícího,</w:t>
      </w:r>
    </w:p>
    <w:p w:rsidR="00B45E65" w:rsidRDefault="00B45E65">
      <w:pPr>
        <w:spacing w:line="40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12"/>
        </w:numPr>
        <w:tabs>
          <w:tab w:val="left" w:pos="561"/>
        </w:tabs>
        <w:ind w:left="561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z w:val="20"/>
          <w:szCs w:val="20"/>
        </w:rPr>
        <w:t>stliže dojde k přerušení plnění závazků dle této smlouvy z důvodu prodlení na straně kupujícího,</w:t>
      </w:r>
    </w:p>
    <w:p w:rsidR="00B45E65" w:rsidRDefault="00B45E65">
      <w:pPr>
        <w:spacing w:line="120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12"/>
        </w:numPr>
        <w:tabs>
          <w:tab w:val="left" w:pos="561"/>
        </w:tabs>
        <w:spacing w:line="282" w:lineRule="auto"/>
        <w:ind w:left="561" w:right="980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zjistí-li prodávající při plnění závazků dle této smlouvy skryté překážky týkající se místa odevzdání věci znemožňující odevzdat věc dohodnutým způsobem,</w:t>
      </w:r>
    </w:p>
    <w:p w:rsidR="00B45E65" w:rsidRDefault="00B45E65">
      <w:pPr>
        <w:spacing w:line="40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12"/>
        </w:numPr>
        <w:tabs>
          <w:tab w:val="left" w:pos="561"/>
        </w:tabs>
        <w:spacing w:line="253" w:lineRule="auto"/>
        <w:ind w:left="561" w:right="980" w:hanging="2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jes</w:t>
      </w:r>
      <w:r>
        <w:rPr>
          <w:rFonts w:ascii="Arial" w:eastAsia="Arial" w:hAnsi="Arial" w:cs="Arial"/>
          <w:sz w:val="20"/>
          <w:szCs w:val="20"/>
        </w:rPr>
        <w:t>tliže dojde k přerušení plnění závazků dle této smlouvy vlivem mimořádných nepředvídatelných a nepřekonatelných překážek vzniklých nezávisle na vůli prodávajícího ve smyslu § 2913 odst. 2) OZ; smluvní strany jsou povinny se bezprostředně vzájemně informova</w:t>
      </w:r>
      <w:r>
        <w:rPr>
          <w:rFonts w:ascii="Arial" w:eastAsia="Arial" w:hAnsi="Arial" w:cs="Arial"/>
          <w:sz w:val="20"/>
          <w:szCs w:val="20"/>
        </w:rPr>
        <w:t>t o vzniku takových překážek, jinak se jich nemohou dovolávat.</w:t>
      </w:r>
    </w:p>
    <w:p w:rsidR="00B45E65" w:rsidRDefault="00B45E65">
      <w:pPr>
        <w:spacing w:line="69" w:lineRule="exact"/>
        <w:rPr>
          <w:sz w:val="20"/>
          <w:szCs w:val="20"/>
        </w:rPr>
      </w:pPr>
    </w:p>
    <w:p w:rsidR="00B45E65" w:rsidRDefault="00E917A2">
      <w:pPr>
        <w:ind w:left="28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Prodloužená lhůta pro odevzdání věci se určí adekvátně podle délky trvání překážky s přihlédnutím</w:t>
      </w:r>
    </w:p>
    <w:p w:rsidR="00B45E65" w:rsidRDefault="00B45E65">
      <w:pPr>
        <w:spacing w:line="40" w:lineRule="exact"/>
        <w:rPr>
          <w:sz w:val="20"/>
          <w:szCs w:val="20"/>
        </w:rPr>
      </w:pPr>
    </w:p>
    <w:p w:rsidR="00B45E65" w:rsidRDefault="00E917A2">
      <w:pPr>
        <w:ind w:left="28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 době nezbytné pro splnění závazku odevzdat věc za podmínky, že prodávající učinil veškerá</w:t>
      </w:r>
    </w:p>
    <w:p w:rsidR="00B45E65" w:rsidRDefault="00B45E65">
      <w:pPr>
        <w:spacing w:line="20" w:lineRule="exact"/>
        <w:rPr>
          <w:sz w:val="20"/>
          <w:szCs w:val="20"/>
        </w:rPr>
      </w:pPr>
    </w:p>
    <w:p w:rsidR="00B45E65" w:rsidRDefault="00E917A2">
      <w:pPr>
        <w:ind w:left="28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rozumně očekávatelná opatření k tomu, aby předešel či alespoň zkrátil dobu trvání takové</w:t>
      </w:r>
    </w:p>
    <w:p w:rsidR="00B45E65" w:rsidRDefault="00B45E65">
      <w:pPr>
        <w:spacing w:line="17" w:lineRule="exact"/>
        <w:rPr>
          <w:sz w:val="20"/>
          <w:szCs w:val="20"/>
        </w:rPr>
      </w:pPr>
    </w:p>
    <w:p w:rsidR="00B45E65" w:rsidRDefault="00E917A2">
      <w:pPr>
        <w:ind w:left="28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překážky. Prodloužená lhůta pro odevzdání věci ve smyslu tohoto odstavce musí být smluvními</w:t>
      </w:r>
    </w:p>
    <w:p w:rsidR="00B45E65" w:rsidRDefault="00B45E65">
      <w:pPr>
        <w:spacing w:line="17" w:lineRule="exact"/>
        <w:rPr>
          <w:sz w:val="20"/>
          <w:szCs w:val="20"/>
        </w:rPr>
      </w:pPr>
    </w:p>
    <w:p w:rsidR="00B45E65" w:rsidRDefault="00E917A2">
      <w:pPr>
        <w:ind w:left="28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stranami sjednána či stvrzena dodatkem k této smlouvě.</w:t>
      </w:r>
    </w:p>
    <w:p w:rsidR="00B45E65" w:rsidRDefault="00B45E65">
      <w:pPr>
        <w:spacing w:line="154" w:lineRule="exact"/>
        <w:rPr>
          <w:sz w:val="20"/>
          <w:szCs w:val="20"/>
        </w:rPr>
      </w:pPr>
    </w:p>
    <w:p w:rsidR="00B45E65" w:rsidRDefault="00E917A2">
      <w:pPr>
        <w:numPr>
          <w:ilvl w:val="0"/>
          <w:numId w:val="13"/>
        </w:numPr>
        <w:tabs>
          <w:tab w:val="left" w:pos="281"/>
        </w:tabs>
        <w:ind w:left="281" w:hanging="2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Převzetí věci kup</w:t>
      </w:r>
      <w:r>
        <w:rPr>
          <w:rFonts w:ascii="Arial" w:eastAsia="Arial" w:hAnsi="Arial" w:cs="Arial"/>
          <w:b/>
          <w:bCs/>
          <w:sz w:val="20"/>
          <w:szCs w:val="20"/>
        </w:rPr>
        <w:t>ujícím</w:t>
      </w:r>
    </w:p>
    <w:p w:rsidR="00B45E65" w:rsidRDefault="00B45E65">
      <w:pPr>
        <w:spacing w:line="124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1"/>
          <w:numId w:val="13"/>
        </w:numPr>
        <w:tabs>
          <w:tab w:val="left" w:pos="561"/>
        </w:tabs>
        <w:ind w:left="561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Převzetí věci bude kontaktní osobou potvrzeno na dodacím listu vyhotoveném prodávajícím.</w:t>
      </w:r>
    </w:p>
    <w:p w:rsidR="00B45E65" w:rsidRDefault="00B45E65">
      <w:pPr>
        <w:spacing w:line="298" w:lineRule="exact"/>
        <w:rPr>
          <w:sz w:val="20"/>
          <w:szCs w:val="20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3520"/>
        <w:gridCol w:w="20"/>
      </w:tblGrid>
      <w:tr w:rsidR="00B45E65">
        <w:trPr>
          <w:trHeight w:val="187"/>
        </w:trPr>
        <w:tc>
          <w:tcPr>
            <w:tcW w:w="652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CEITEC – Central European Institute of Technology</w:t>
            </w:r>
          </w:p>
        </w:tc>
        <w:tc>
          <w:tcPr>
            <w:tcW w:w="3520" w:type="dxa"/>
            <w:vAlign w:val="bottom"/>
          </w:tcPr>
          <w:p w:rsidR="00B45E65" w:rsidRDefault="00B45E6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85"/>
        </w:trPr>
        <w:tc>
          <w:tcPr>
            <w:tcW w:w="652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Masaryk University</w:t>
            </w:r>
          </w:p>
        </w:tc>
        <w:tc>
          <w:tcPr>
            <w:tcW w:w="3520" w:type="dxa"/>
            <w:vAlign w:val="bottom"/>
          </w:tcPr>
          <w:p w:rsidR="00B45E65" w:rsidRDefault="00B45E6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83"/>
        </w:trPr>
        <w:tc>
          <w:tcPr>
            <w:tcW w:w="652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Kamenice 753/5, 625 00 Brno, Czech Republic</w:t>
            </w:r>
          </w:p>
        </w:tc>
        <w:tc>
          <w:tcPr>
            <w:tcW w:w="3520" w:type="dxa"/>
            <w:vAlign w:val="bottom"/>
          </w:tcPr>
          <w:p w:rsidR="00B45E65" w:rsidRDefault="00B45E6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98"/>
        </w:trPr>
        <w:tc>
          <w:tcPr>
            <w:tcW w:w="652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1A9C0"/>
                <w:sz w:val="14"/>
                <w:szCs w:val="14"/>
              </w:rPr>
              <w:t>www.ceitec.eu</w:t>
            </w:r>
          </w:p>
        </w:tc>
        <w:tc>
          <w:tcPr>
            <w:tcW w:w="3520" w:type="dxa"/>
            <w:vMerge w:val="restart"/>
            <w:vAlign w:val="bottom"/>
          </w:tcPr>
          <w:p w:rsidR="00B45E65" w:rsidRDefault="00E917A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6/20</w:t>
            </w: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03"/>
        </w:trPr>
        <w:tc>
          <w:tcPr>
            <w:tcW w:w="6520" w:type="dxa"/>
            <w:vAlign w:val="bottom"/>
          </w:tcPr>
          <w:p w:rsidR="00B45E65" w:rsidRDefault="00B45E65">
            <w:pPr>
              <w:rPr>
                <w:sz w:val="8"/>
                <w:szCs w:val="8"/>
              </w:rPr>
            </w:pPr>
          </w:p>
        </w:tc>
        <w:tc>
          <w:tcPr>
            <w:tcW w:w="3520" w:type="dxa"/>
            <w:vMerge/>
            <w:vAlign w:val="bottom"/>
          </w:tcPr>
          <w:p w:rsidR="00B45E65" w:rsidRDefault="00B45E6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</w:tbl>
    <w:p w:rsidR="00B45E65" w:rsidRDefault="00E917A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5085715</wp:posOffset>
            </wp:positionH>
            <wp:positionV relativeFrom="paragraph">
              <wp:posOffset>-535940</wp:posOffset>
            </wp:positionV>
            <wp:extent cx="903605" cy="25908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25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5E65" w:rsidRDefault="00B45E65">
      <w:pPr>
        <w:sectPr w:rsidR="00B45E65">
          <w:pgSz w:w="11920" w:h="16845"/>
          <w:pgMar w:top="1440" w:right="450" w:bottom="48" w:left="1419" w:header="0" w:footer="0" w:gutter="0"/>
          <w:cols w:space="708" w:equalWidth="0">
            <w:col w:w="10041"/>
          </w:cols>
        </w:sectPr>
      </w:pPr>
    </w:p>
    <w:p w:rsidR="00B45E65" w:rsidRDefault="00E917A2">
      <w:pPr>
        <w:spacing w:line="200" w:lineRule="exact"/>
        <w:rPr>
          <w:sz w:val="20"/>
          <w:szCs w:val="20"/>
        </w:rPr>
      </w:pPr>
      <w:bookmarkStart w:id="6" w:name="page7"/>
      <w:bookmarkEnd w:id="6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6192" behindDoc="1" locked="0" layoutInCell="0" allowOverlap="1">
            <wp:simplePos x="0" y="0"/>
            <wp:positionH relativeFrom="page">
              <wp:posOffset>5598795</wp:posOffset>
            </wp:positionH>
            <wp:positionV relativeFrom="page">
              <wp:posOffset>0</wp:posOffset>
            </wp:positionV>
            <wp:extent cx="1959610" cy="199072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199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9" w:lineRule="exact"/>
        <w:rPr>
          <w:sz w:val="20"/>
          <w:szCs w:val="20"/>
        </w:rPr>
      </w:pPr>
    </w:p>
    <w:p w:rsidR="00B45E65" w:rsidRDefault="00E917A2">
      <w:pPr>
        <w:numPr>
          <w:ilvl w:val="1"/>
          <w:numId w:val="14"/>
        </w:numPr>
        <w:tabs>
          <w:tab w:val="left" w:pos="561"/>
        </w:tabs>
        <w:ind w:left="561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Dodací list bude obsahovat zejména následující:</w:t>
      </w:r>
    </w:p>
    <w:p w:rsidR="00B45E65" w:rsidRDefault="00B45E65">
      <w:pPr>
        <w:spacing w:line="120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2"/>
          <w:numId w:val="14"/>
        </w:numPr>
        <w:tabs>
          <w:tab w:val="left" w:pos="861"/>
        </w:tabs>
        <w:ind w:left="861" w:hanging="29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identifikační údaje prodávajícího a kupujícího,</w:t>
      </w:r>
    </w:p>
    <w:p w:rsidR="00B45E65" w:rsidRDefault="00B45E65">
      <w:pPr>
        <w:spacing w:line="120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2"/>
          <w:numId w:val="14"/>
        </w:numPr>
        <w:tabs>
          <w:tab w:val="left" w:pos="861"/>
        </w:tabs>
        <w:ind w:left="861" w:hanging="29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identifikaci věci,</w:t>
      </w:r>
    </w:p>
    <w:p w:rsidR="00B45E65" w:rsidRDefault="00B45E65">
      <w:pPr>
        <w:spacing w:line="118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2"/>
          <w:numId w:val="14"/>
        </w:numPr>
        <w:tabs>
          <w:tab w:val="left" w:pos="861"/>
        </w:tabs>
        <w:ind w:left="861" w:hanging="29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protokol o provedení zaškolení obsluhy věci,</w:t>
      </w:r>
    </w:p>
    <w:p w:rsidR="00B45E65" w:rsidRDefault="00B45E65">
      <w:pPr>
        <w:spacing w:line="120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2"/>
          <w:numId w:val="14"/>
        </w:numPr>
        <w:tabs>
          <w:tab w:val="left" w:pos="861"/>
        </w:tabs>
        <w:spacing w:line="282" w:lineRule="auto"/>
        <w:ind w:left="861" w:right="980" w:hanging="29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seznam atestů, certifikátů či prohlášení o shodě věci s </w:t>
      </w:r>
      <w:r>
        <w:rPr>
          <w:rFonts w:ascii="Arial" w:eastAsia="Arial" w:hAnsi="Arial" w:cs="Arial"/>
          <w:sz w:val="20"/>
          <w:szCs w:val="20"/>
        </w:rPr>
        <w:t>požadavky příslušných právních předpisů či technických norem, které byly kupujícímu předány,</w:t>
      </w:r>
    </w:p>
    <w:p w:rsidR="00B45E65" w:rsidRDefault="00B45E65">
      <w:pPr>
        <w:spacing w:line="40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2"/>
          <w:numId w:val="14"/>
        </w:numPr>
        <w:tabs>
          <w:tab w:val="left" w:pos="861"/>
        </w:tabs>
        <w:ind w:left="861" w:hanging="29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zprávy o revizích,</w:t>
      </w:r>
    </w:p>
    <w:p w:rsidR="00B45E65" w:rsidRDefault="00B45E65">
      <w:pPr>
        <w:spacing w:line="121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2"/>
          <w:numId w:val="14"/>
        </w:numPr>
        <w:tabs>
          <w:tab w:val="left" w:pos="861"/>
        </w:tabs>
        <w:ind w:left="861" w:hanging="29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seznam dokladů k věci, které byly kupujícímu předány a</w:t>
      </w:r>
    </w:p>
    <w:p w:rsidR="00B45E65" w:rsidRDefault="00B45E65">
      <w:pPr>
        <w:spacing w:line="120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2"/>
          <w:numId w:val="14"/>
        </w:numPr>
        <w:tabs>
          <w:tab w:val="left" w:pos="861"/>
        </w:tabs>
        <w:ind w:left="861" w:hanging="29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datované podpisy smluvních stran.</w:t>
      </w:r>
    </w:p>
    <w:p w:rsidR="00B45E65" w:rsidRDefault="00B45E65">
      <w:pPr>
        <w:spacing w:line="118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14"/>
        </w:numPr>
        <w:tabs>
          <w:tab w:val="left" w:pos="561"/>
        </w:tabs>
        <w:spacing w:line="282" w:lineRule="auto"/>
        <w:ind w:left="561" w:right="980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Převzetím věci přechází na kupujícího vlastnické pr</w:t>
      </w:r>
      <w:r>
        <w:rPr>
          <w:rFonts w:ascii="Arial" w:eastAsia="Arial" w:hAnsi="Arial" w:cs="Arial"/>
          <w:sz w:val="20"/>
          <w:szCs w:val="20"/>
        </w:rPr>
        <w:t>ávo k věcem, jakož i nebezpečí vzniku škody na věcech.</w:t>
      </w:r>
    </w:p>
    <w:p w:rsidR="00B45E65" w:rsidRDefault="00B45E65">
      <w:pPr>
        <w:spacing w:line="36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0"/>
          <w:numId w:val="15"/>
        </w:numPr>
        <w:tabs>
          <w:tab w:val="left" w:pos="281"/>
        </w:tabs>
        <w:ind w:left="281" w:hanging="2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Kontrola zjevných vad věci a její převzetí kupujícím</w:t>
      </w:r>
    </w:p>
    <w:p w:rsidR="00B45E65" w:rsidRDefault="00B45E65">
      <w:pPr>
        <w:spacing w:line="124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1"/>
          <w:numId w:val="15"/>
        </w:numPr>
        <w:tabs>
          <w:tab w:val="left" w:pos="561"/>
        </w:tabs>
        <w:spacing w:line="253" w:lineRule="auto"/>
        <w:ind w:left="561" w:right="980" w:hanging="2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Kupující po odevzdání věci provede kontrolu zjevných vad věci, zejména co do jejich provedení. Kupující neprovádí kontrolu zjevných vad věci při </w:t>
      </w:r>
      <w:r>
        <w:rPr>
          <w:rFonts w:ascii="Arial" w:eastAsia="Arial" w:hAnsi="Arial" w:cs="Arial"/>
          <w:sz w:val="20"/>
          <w:szCs w:val="20"/>
        </w:rPr>
        <w:t>jejich odevzdání; přesto zjistí-li ještě před jejím převzetím od prodávajícího, že věc trpí jakýmikoli vadami, je oprávněn její odevzdání rovnou odmítnout.</w:t>
      </w:r>
    </w:p>
    <w:p w:rsidR="00B45E65" w:rsidRDefault="00B45E65">
      <w:pPr>
        <w:spacing w:line="69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15"/>
        </w:numPr>
        <w:tabs>
          <w:tab w:val="left" w:pos="561"/>
        </w:tabs>
        <w:spacing w:line="261" w:lineRule="auto"/>
        <w:ind w:left="561" w:right="980" w:hanging="2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Zjistí-li kupující, že věc vykazuje vady, oznámí to nejpozději do 5 (slovy: pěti) pracovních dnů od</w:t>
      </w:r>
      <w:r>
        <w:rPr>
          <w:rFonts w:ascii="Arial" w:eastAsia="Arial" w:hAnsi="Arial" w:cs="Arial"/>
          <w:sz w:val="20"/>
          <w:szCs w:val="20"/>
        </w:rPr>
        <w:t>e dne převzetí věci prodávajícímu. Kupující pak postupuje buď dle ust. odst. 4) písm. c), nebo odst. 4) písm. d) tohoto článku smlouvu.</w:t>
      </w:r>
    </w:p>
    <w:p w:rsidR="00B45E65" w:rsidRDefault="00B45E65">
      <w:pPr>
        <w:spacing w:line="57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15"/>
        </w:numPr>
        <w:tabs>
          <w:tab w:val="left" w:pos="561"/>
        </w:tabs>
        <w:ind w:left="561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Závazek odevzdat věc kupující nepovažuje za splněný</w:t>
      </w:r>
    </w:p>
    <w:p w:rsidR="00B45E65" w:rsidRDefault="00B45E65">
      <w:pPr>
        <w:spacing w:line="122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2"/>
          <w:numId w:val="15"/>
        </w:numPr>
        <w:tabs>
          <w:tab w:val="left" w:pos="861"/>
        </w:tabs>
        <w:spacing w:line="250" w:lineRule="auto"/>
        <w:ind w:left="861" w:right="980" w:hanging="29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Kupující oznámí prodávajícímu, že jeho závazek odevzdat věc, byť p</w:t>
      </w:r>
      <w:r>
        <w:rPr>
          <w:rFonts w:ascii="Arial" w:eastAsia="Arial" w:hAnsi="Arial" w:cs="Arial"/>
          <w:sz w:val="20"/>
          <w:szCs w:val="20"/>
        </w:rPr>
        <w:t xml:space="preserve">ro ojedinělé drobné vady, které by samy o sobě ani ve spojení s jinými nebránily řádnému užívání věci, nebyl splněn. Na věc se hledí, jako by prodávajícím nebyly odevzdány ani kupujícím převzaty. Pokud již lhůta pro odevzdání věcí uplynula, je prodávající </w:t>
      </w:r>
      <w:r>
        <w:rPr>
          <w:rFonts w:ascii="Arial" w:eastAsia="Arial" w:hAnsi="Arial" w:cs="Arial"/>
          <w:sz w:val="20"/>
          <w:szCs w:val="20"/>
        </w:rPr>
        <w:t>v prodlení s odevzdáním věcí se všemi důsledky, které se s tím pojí.</w:t>
      </w:r>
    </w:p>
    <w:p w:rsidR="00B45E65" w:rsidRDefault="00B45E65">
      <w:pPr>
        <w:spacing w:line="71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2"/>
          <w:numId w:val="15"/>
        </w:numPr>
        <w:tabs>
          <w:tab w:val="left" w:pos="861"/>
        </w:tabs>
        <w:spacing w:line="282" w:lineRule="auto"/>
        <w:ind w:left="861" w:right="980" w:hanging="29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 je povinen odevzdanou věc na své náklady od kupujícího vzít zpět, nebude-li mezi prodávajícím a kupujícím dohodnuto jinak.</w:t>
      </w:r>
    </w:p>
    <w:p w:rsidR="00B45E65" w:rsidRDefault="00B45E65">
      <w:pPr>
        <w:spacing w:line="36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15"/>
        </w:numPr>
        <w:tabs>
          <w:tab w:val="left" w:pos="561"/>
        </w:tabs>
        <w:ind w:left="561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Závazek odevzdat věc kupující považuje za splněný </w:t>
      </w:r>
      <w:r>
        <w:rPr>
          <w:rFonts w:ascii="Arial" w:eastAsia="Arial" w:hAnsi="Arial" w:cs="Arial"/>
          <w:b/>
          <w:bCs/>
          <w:sz w:val="20"/>
          <w:szCs w:val="20"/>
        </w:rPr>
        <w:t>s vadami bez následku prodlení</w:t>
      </w:r>
    </w:p>
    <w:p w:rsidR="00B45E65" w:rsidRDefault="00B45E65">
      <w:pPr>
        <w:spacing w:line="124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2"/>
          <w:numId w:val="15"/>
        </w:numPr>
        <w:tabs>
          <w:tab w:val="left" w:pos="861"/>
        </w:tabs>
        <w:spacing w:line="282" w:lineRule="auto"/>
        <w:ind w:left="861" w:right="980" w:hanging="29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Kupující oznámí prodávajícímu, že splnil závazek odevzdat věc s vadami. Smluvní strany výslovně utvrzují, že prodávající se v tomto případě nemůže dostat do prodlení.</w:t>
      </w:r>
    </w:p>
    <w:p w:rsidR="00B45E65" w:rsidRDefault="00B45E65">
      <w:pPr>
        <w:spacing w:line="41" w:lineRule="exact"/>
        <w:rPr>
          <w:sz w:val="20"/>
          <w:szCs w:val="20"/>
        </w:rPr>
      </w:pPr>
    </w:p>
    <w:p w:rsidR="00B45E65" w:rsidRDefault="00E917A2">
      <w:pPr>
        <w:tabs>
          <w:tab w:val="left" w:pos="841"/>
        </w:tabs>
        <w:spacing w:line="250" w:lineRule="auto"/>
        <w:ind w:left="861" w:right="960" w:hanging="299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</w:t>
      </w:r>
      <w:r>
        <w:rPr>
          <w:rFonts w:ascii="Arial" w:eastAsia="Arial" w:hAnsi="Arial" w:cs="Arial"/>
          <w:sz w:val="20"/>
          <w:szCs w:val="20"/>
        </w:rPr>
        <w:tab/>
        <w:t>Při řešení práv z vadného plnění smluvní strany postu</w:t>
      </w:r>
      <w:r>
        <w:rPr>
          <w:rFonts w:ascii="Arial" w:eastAsia="Arial" w:hAnsi="Arial" w:cs="Arial"/>
          <w:sz w:val="20"/>
          <w:szCs w:val="20"/>
        </w:rPr>
        <w:t>pují přiměřeně v souladu s ustanoveními o reklamaci vad věc v záruční době. Práva z takto oznámených vad se prodávající zavazuje uspokojit v souladu s uplatn ěným právem kupujícího bezodkladně, nejpozději však do 10 (slovy: deseti) dnů ode dne jejich oznám</w:t>
      </w:r>
      <w:r>
        <w:rPr>
          <w:rFonts w:ascii="Arial" w:eastAsia="Arial" w:hAnsi="Arial" w:cs="Arial"/>
          <w:sz w:val="20"/>
          <w:szCs w:val="20"/>
        </w:rPr>
        <w:t>ení, nebude-li mezi prodávajícím a kupujícím dohodnuto jinak.</w:t>
      </w:r>
    </w:p>
    <w:p w:rsidR="00B45E65" w:rsidRDefault="00B45E65">
      <w:pPr>
        <w:spacing w:line="72" w:lineRule="exact"/>
        <w:rPr>
          <w:sz w:val="20"/>
          <w:szCs w:val="20"/>
        </w:rPr>
      </w:pPr>
    </w:p>
    <w:p w:rsidR="00B45E65" w:rsidRDefault="00E917A2">
      <w:pPr>
        <w:numPr>
          <w:ilvl w:val="0"/>
          <w:numId w:val="16"/>
        </w:numPr>
        <w:tabs>
          <w:tab w:val="left" w:pos="561"/>
        </w:tabs>
        <w:spacing w:line="282" w:lineRule="auto"/>
        <w:ind w:left="561" w:right="980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Neoznámení vad věci dle ust. odst. 4) tohoto článku smlouvy nevylučuje uplatnění práv z vadného plnění z důvodu těchto vad v záruční době.</w:t>
      </w:r>
    </w:p>
    <w:p w:rsidR="00B45E65" w:rsidRDefault="00B45E65">
      <w:pPr>
        <w:spacing w:line="37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0"/>
          <w:numId w:val="16"/>
        </w:numPr>
        <w:tabs>
          <w:tab w:val="left" w:pos="561"/>
        </w:tabs>
        <w:spacing w:line="282" w:lineRule="auto"/>
        <w:ind w:left="561" w:right="980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Převzetím věci přechází na kupujícího vlastnické práv</w:t>
      </w:r>
      <w:r>
        <w:rPr>
          <w:rFonts w:ascii="Arial" w:eastAsia="Arial" w:hAnsi="Arial" w:cs="Arial"/>
          <w:sz w:val="20"/>
          <w:szCs w:val="20"/>
        </w:rPr>
        <w:t>o k věci, jakož i nebezpečí vzniku škody na věci.</w:t>
      </w: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53" w:lineRule="exact"/>
        <w:rPr>
          <w:sz w:val="20"/>
          <w:szCs w:val="20"/>
        </w:rPr>
      </w:pPr>
    </w:p>
    <w:p w:rsidR="00B45E65" w:rsidRDefault="00E917A2">
      <w:pPr>
        <w:ind w:left="4281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VI.</w:t>
      </w:r>
    </w:p>
    <w:p w:rsidR="00B45E65" w:rsidRDefault="00B45E65">
      <w:pPr>
        <w:spacing w:line="120" w:lineRule="exact"/>
        <w:rPr>
          <w:sz w:val="20"/>
          <w:szCs w:val="20"/>
        </w:rPr>
      </w:pPr>
    </w:p>
    <w:p w:rsidR="00B45E65" w:rsidRDefault="00E917A2">
      <w:pPr>
        <w:ind w:left="3001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Kupní cena a platební podmínky</w:t>
      </w:r>
    </w:p>
    <w:p w:rsidR="00B45E65" w:rsidRDefault="00B45E65">
      <w:pPr>
        <w:spacing w:line="365" w:lineRule="exact"/>
        <w:rPr>
          <w:sz w:val="20"/>
          <w:szCs w:val="20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3520"/>
        <w:gridCol w:w="20"/>
      </w:tblGrid>
      <w:tr w:rsidR="00B45E65">
        <w:trPr>
          <w:trHeight w:val="187"/>
        </w:trPr>
        <w:tc>
          <w:tcPr>
            <w:tcW w:w="652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CEITEC – Central European Institute of Technology</w:t>
            </w:r>
          </w:p>
        </w:tc>
        <w:tc>
          <w:tcPr>
            <w:tcW w:w="3520" w:type="dxa"/>
            <w:vAlign w:val="bottom"/>
          </w:tcPr>
          <w:p w:rsidR="00B45E65" w:rsidRDefault="00B45E6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85"/>
        </w:trPr>
        <w:tc>
          <w:tcPr>
            <w:tcW w:w="652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Masaryk University</w:t>
            </w:r>
          </w:p>
        </w:tc>
        <w:tc>
          <w:tcPr>
            <w:tcW w:w="3520" w:type="dxa"/>
            <w:vAlign w:val="bottom"/>
          </w:tcPr>
          <w:p w:rsidR="00B45E65" w:rsidRDefault="00B45E6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83"/>
        </w:trPr>
        <w:tc>
          <w:tcPr>
            <w:tcW w:w="652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Kamenice 753/5, 625 00 Brno, Czech Republic</w:t>
            </w:r>
          </w:p>
        </w:tc>
        <w:tc>
          <w:tcPr>
            <w:tcW w:w="3520" w:type="dxa"/>
            <w:vAlign w:val="bottom"/>
          </w:tcPr>
          <w:p w:rsidR="00B45E65" w:rsidRDefault="00B45E6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98"/>
        </w:trPr>
        <w:tc>
          <w:tcPr>
            <w:tcW w:w="652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1A9C0"/>
                <w:sz w:val="14"/>
                <w:szCs w:val="14"/>
              </w:rPr>
              <w:t>www.ceitec.eu</w:t>
            </w:r>
          </w:p>
        </w:tc>
        <w:tc>
          <w:tcPr>
            <w:tcW w:w="3520" w:type="dxa"/>
            <w:vMerge w:val="restart"/>
            <w:vAlign w:val="bottom"/>
          </w:tcPr>
          <w:p w:rsidR="00B45E65" w:rsidRDefault="00E917A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7/20</w:t>
            </w: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03"/>
        </w:trPr>
        <w:tc>
          <w:tcPr>
            <w:tcW w:w="6520" w:type="dxa"/>
            <w:vAlign w:val="bottom"/>
          </w:tcPr>
          <w:p w:rsidR="00B45E65" w:rsidRDefault="00B45E65">
            <w:pPr>
              <w:rPr>
                <w:sz w:val="8"/>
                <w:szCs w:val="8"/>
              </w:rPr>
            </w:pPr>
          </w:p>
        </w:tc>
        <w:tc>
          <w:tcPr>
            <w:tcW w:w="3520" w:type="dxa"/>
            <w:vMerge/>
            <w:vAlign w:val="bottom"/>
          </w:tcPr>
          <w:p w:rsidR="00B45E65" w:rsidRDefault="00B45E6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</w:tbl>
    <w:p w:rsidR="00B45E65" w:rsidRDefault="00E917A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5085715</wp:posOffset>
            </wp:positionH>
            <wp:positionV relativeFrom="paragraph">
              <wp:posOffset>-535940</wp:posOffset>
            </wp:positionV>
            <wp:extent cx="903605" cy="25908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25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5E65" w:rsidRDefault="00B45E65">
      <w:pPr>
        <w:sectPr w:rsidR="00B45E65">
          <w:pgSz w:w="11920" w:h="16845"/>
          <w:pgMar w:top="1440" w:right="450" w:bottom="48" w:left="1419" w:header="0" w:footer="0" w:gutter="0"/>
          <w:cols w:space="708" w:equalWidth="0">
            <w:col w:w="10041"/>
          </w:cols>
        </w:sectPr>
      </w:pPr>
    </w:p>
    <w:p w:rsidR="00B45E65" w:rsidRDefault="00E917A2">
      <w:pPr>
        <w:spacing w:line="200" w:lineRule="exact"/>
        <w:rPr>
          <w:sz w:val="20"/>
          <w:szCs w:val="20"/>
        </w:rPr>
      </w:pPr>
      <w:bookmarkStart w:id="7" w:name="page8"/>
      <w:bookmarkEnd w:id="7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5598795</wp:posOffset>
            </wp:positionH>
            <wp:positionV relativeFrom="page">
              <wp:posOffset>0</wp:posOffset>
            </wp:positionV>
            <wp:extent cx="1959610" cy="199072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199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17" w:lineRule="exact"/>
        <w:rPr>
          <w:sz w:val="20"/>
          <w:szCs w:val="20"/>
        </w:rPr>
      </w:pPr>
    </w:p>
    <w:p w:rsidR="00B45E65" w:rsidRDefault="00E917A2">
      <w:pPr>
        <w:numPr>
          <w:ilvl w:val="0"/>
          <w:numId w:val="17"/>
        </w:numPr>
        <w:tabs>
          <w:tab w:val="left" w:pos="281"/>
        </w:tabs>
        <w:spacing w:line="292" w:lineRule="auto"/>
        <w:ind w:left="281" w:right="980" w:hanging="2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Kupní cena za splnění závazků prodávajícího je stanovena na základě nabídky prodávajícího podané do výběrového řízení k veřejné zakázce „</w:t>
      </w:r>
      <w:r>
        <w:rPr>
          <w:rFonts w:ascii="Arial" w:eastAsia="Arial" w:hAnsi="Arial" w:cs="Arial"/>
          <w:b/>
          <w:bCs/>
          <w:sz w:val="20"/>
          <w:szCs w:val="20"/>
        </w:rPr>
        <w:t>Výpočetní klastr</w:t>
      </w:r>
      <w:r>
        <w:rPr>
          <w:rFonts w:ascii="Arial" w:eastAsia="Arial" w:hAnsi="Arial" w:cs="Arial"/>
          <w:sz w:val="20"/>
          <w:szCs w:val="20"/>
        </w:rPr>
        <w:t>“ a činí:</w:t>
      </w:r>
    </w:p>
    <w:p w:rsidR="00B45E65" w:rsidRDefault="00B45E65">
      <w:pPr>
        <w:spacing w:line="21" w:lineRule="exact"/>
        <w:rPr>
          <w:sz w:val="20"/>
          <w:szCs w:val="20"/>
        </w:rPr>
      </w:pPr>
    </w:p>
    <w:p w:rsidR="00B45E65" w:rsidRDefault="00E917A2">
      <w:pPr>
        <w:ind w:right="97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3 255 854,00</w:t>
      </w:r>
    </w:p>
    <w:p w:rsidR="00B45E65" w:rsidRDefault="00B45E65">
      <w:pPr>
        <w:spacing w:line="26" w:lineRule="exact"/>
        <w:rPr>
          <w:sz w:val="20"/>
          <w:szCs w:val="20"/>
        </w:rPr>
      </w:pPr>
    </w:p>
    <w:p w:rsidR="00B45E65" w:rsidRDefault="00E917A2">
      <w:pPr>
        <w:ind w:left="44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(slovy: tři miliony dvě stě padesát pě</w:t>
      </w:r>
      <w:r>
        <w:rPr>
          <w:rFonts w:ascii="Arial" w:eastAsia="Arial" w:hAnsi="Arial" w:cs="Arial"/>
          <w:sz w:val="20"/>
          <w:szCs w:val="20"/>
        </w:rPr>
        <w:t>t tisíc osm set padesát čtyři korun českých) Kč bez daně</w:t>
      </w:r>
    </w:p>
    <w:p w:rsidR="00B45E65" w:rsidRDefault="00B45E65">
      <w:pPr>
        <w:spacing w:line="14" w:lineRule="exact"/>
        <w:rPr>
          <w:sz w:val="20"/>
          <w:szCs w:val="20"/>
        </w:rPr>
      </w:pPr>
    </w:p>
    <w:p w:rsidR="00B45E65" w:rsidRDefault="00E917A2">
      <w:pPr>
        <w:numPr>
          <w:ilvl w:val="0"/>
          <w:numId w:val="18"/>
        </w:numPr>
        <w:tabs>
          <w:tab w:val="left" w:pos="3061"/>
        </w:tabs>
        <w:spacing w:line="423" w:lineRule="auto"/>
        <w:ind w:left="3421" w:right="3880" w:hanging="51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přidané hodnoty (</w:t>
      </w:r>
      <w:r>
        <w:rPr>
          <w:rFonts w:ascii="Arial" w:eastAsia="Arial" w:hAnsi="Arial" w:cs="Arial"/>
          <w:b/>
          <w:bCs/>
          <w:sz w:val="19"/>
          <w:szCs w:val="19"/>
        </w:rPr>
        <w:t>dále jen „DPH“</w:t>
      </w:r>
      <w:r>
        <w:rPr>
          <w:rFonts w:ascii="Arial" w:eastAsia="Arial" w:hAnsi="Arial" w:cs="Arial"/>
          <w:sz w:val="19"/>
          <w:szCs w:val="19"/>
        </w:rPr>
        <w:t xml:space="preserve">). 21% DPH </w:t>
      </w:r>
      <w:r>
        <w:rPr>
          <w:rFonts w:ascii="Calibri" w:eastAsia="Calibri" w:hAnsi="Calibri" w:cs="Calibri"/>
          <w:b/>
          <w:bCs/>
          <w:sz w:val="21"/>
          <w:szCs w:val="21"/>
        </w:rPr>
        <w:t>683 729,34</w:t>
      </w:r>
      <w:r>
        <w:rPr>
          <w:rFonts w:ascii="Arial" w:eastAsia="Arial" w:hAnsi="Arial" w:cs="Arial"/>
          <w:sz w:val="19"/>
          <w:szCs w:val="19"/>
        </w:rPr>
        <w:t xml:space="preserve"> Kč</w:t>
      </w:r>
    </w:p>
    <w:p w:rsidR="00B45E65" w:rsidRDefault="00E917A2">
      <w:pPr>
        <w:ind w:left="290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Celkem </w:t>
      </w:r>
      <w:r>
        <w:rPr>
          <w:rFonts w:ascii="Calibri" w:eastAsia="Calibri" w:hAnsi="Calibri" w:cs="Calibri"/>
          <w:b/>
          <w:bCs/>
        </w:rPr>
        <w:t>3 939 583,34 Kč</w:t>
      </w:r>
      <w:r>
        <w:rPr>
          <w:rFonts w:ascii="Arial" w:eastAsia="Arial" w:hAnsi="Arial" w:cs="Arial"/>
          <w:sz w:val="20"/>
          <w:szCs w:val="20"/>
        </w:rPr>
        <w:t xml:space="preserve"> včetně DPH</w:t>
      </w: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388" w:lineRule="exact"/>
        <w:rPr>
          <w:sz w:val="20"/>
          <w:szCs w:val="20"/>
        </w:rPr>
      </w:pPr>
    </w:p>
    <w:p w:rsidR="00B45E65" w:rsidRDefault="00E917A2">
      <w:pPr>
        <w:numPr>
          <w:ilvl w:val="0"/>
          <w:numId w:val="19"/>
        </w:numPr>
        <w:tabs>
          <w:tab w:val="left" w:pos="281"/>
        </w:tabs>
        <w:spacing w:line="266" w:lineRule="auto"/>
        <w:ind w:left="281" w:right="980" w:hanging="281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Prodávající je oprávněn ke kupní ceně připočíst DPH ve výši stanovené v souladu se zákonem č. 235/2004 </w:t>
      </w:r>
      <w:r>
        <w:rPr>
          <w:rFonts w:ascii="Arial" w:eastAsia="Arial" w:hAnsi="Arial" w:cs="Arial"/>
          <w:sz w:val="20"/>
          <w:szCs w:val="20"/>
        </w:rPr>
        <w:t xml:space="preserve">Sb., o dani z přidané hodnoty, ve znění pozdějších předpisů, </w:t>
      </w:r>
      <w:r>
        <w:rPr>
          <w:rFonts w:ascii="Arial" w:eastAsia="Arial" w:hAnsi="Arial" w:cs="Arial"/>
          <w:b/>
          <w:bCs/>
          <w:sz w:val="20"/>
          <w:szCs w:val="20"/>
        </w:rPr>
        <w:t>(dále jen „ZDPH“)</w:t>
      </w:r>
      <w:r>
        <w:rPr>
          <w:rFonts w:ascii="Arial" w:eastAsia="Arial" w:hAnsi="Arial" w:cs="Arial"/>
          <w:sz w:val="20"/>
          <w:szCs w:val="20"/>
        </w:rPr>
        <w:t xml:space="preserve">, a to ke dni uskutečnění zdanitelného plnění </w:t>
      </w:r>
      <w:r>
        <w:rPr>
          <w:rFonts w:ascii="Arial" w:eastAsia="Arial" w:hAnsi="Arial" w:cs="Arial"/>
          <w:b/>
          <w:bCs/>
          <w:sz w:val="20"/>
          <w:szCs w:val="20"/>
        </w:rPr>
        <w:t>(dále jen „DUZP“)</w:t>
      </w:r>
      <w:r>
        <w:rPr>
          <w:rFonts w:ascii="Arial" w:eastAsia="Arial" w:hAnsi="Arial" w:cs="Arial"/>
          <w:sz w:val="20"/>
          <w:szCs w:val="20"/>
        </w:rPr>
        <w:t>. DUZP je den převzetí věci.</w:t>
      </w:r>
    </w:p>
    <w:p w:rsidR="00B45E65" w:rsidRDefault="00B45E65">
      <w:pPr>
        <w:spacing w:line="44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0"/>
          <w:numId w:val="19"/>
        </w:numPr>
        <w:tabs>
          <w:tab w:val="left" w:pos="281"/>
        </w:tabs>
        <w:spacing w:line="254" w:lineRule="auto"/>
        <w:ind w:left="281" w:right="980" w:hanging="281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Kupní cena je cenou nejvýše přípustnou. Prodávající prohlašuje, že kupní cena obsahuj</w:t>
      </w:r>
      <w:r>
        <w:rPr>
          <w:rFonts w:ascii="Arial" w:eastAsia="Arial" w:hAnsi="Arial" w:cs="Arial"/>
          <w:sz w:val="20"/>
          <w:szCs w:val="20"/>
        </w:rPr>
        <w:t>e jeho veškeré nutné náklady na dodávky a služby nezbytné pro řádné a včasné splnění předmětu smlouvy včetně všech nákladů souvisejících při zohlednění veškerých rizik a vlivů, o nichž lze uvažovat během plnění dle této smlouvy.</w:t>
      </w:r>
    </w:p>
    <w:p w:rsidR="00B45E65" w:rsidRDefault="00B45E65">
      <w:pPr>
        <w:spacing w:line="68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0"/>
          <w:numId w:val="19"/>
        </w:numPr>
        <w:tabs>
          <w:tab w:val="left" w:pos="281"/>
        </w:tabs>
        <w:ind w:left="281" w:hanging="2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 přebírá nebezp</w:t>
      </w:r>
      <w:r>
        <w:rPr>
          <w:rFonts w:ascii="Arial" w:eastAsia="Arial" w:hAnsi="Arial" w:cs="Arial"/>
          <w:sz w:val="20"/>
          <w:szCs w:val="20"/>
        </w:rPr>
        <w:t>ečí změny okolností ve smyslu § 1765 odst. 2 OZ.</w:t>
      </w:r>
    </w:p>
    <w:p w:rsidR="00B45E65" w:rsidRDefault="00B45E65">
      <w:pPr>
        <w:spacing w:line="116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0"/>
          <w:numId w:val="19"/>
        </w:numPr>
        <w:tabs>
          <w:tab w:val="left" w:pos="281"/>
        </w:tabs>
        <w:ind w:left="281" w:hanging="2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Právo na zaplacení kupní ceny</w:t>
      </w:r>
    </w:p>
    <w:p w:rsidR="00B45E65" w:rsidRDefault="00B45E65">
      <w:pPr>
        <w:spacing w:line="122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1"/>
          <w:numId w:val="19"/>
        </w:numPr>
        <w:tabs>
          <w:tab w:val="left" w:pos="561"/>
        </w:tabs>
        <w:ind w:left="561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Právo na zaplacení kupní ceny věci vzniká jejím převzetím kupujícím.</w:t>
      </w:r>
    </w:p>
    <w:p w:rsidR="00B45E65" w:rsidRDefault="00B45E65">
      <w:pPr>
        <w:spacing w:line="120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19"/>
        </w:numPr>
        <w:tabs>
          <w:tab w:val="left" w:pos="561"/>
        </w:tabs>
        <w:ind w:left="561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Kupující neposkytne prodávajícímu žádné zálohy.</w:t>
      </w:r>
    </w:p>
    <w:p w:rsidR="00B45E65" w:rsidRDefault="00B45E65">
      <w:pPr>
        <w:spacing w:line="116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0"/>
          <w:numId w:val="19"/>
        </w:numPr>
        <w:tabs>
          <w:tab w:val="left" w:pos="281"/>
        </w:tabs>
        <w:ind w:left="281" w:hanging="2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Úhrada kupní ceny</w:t>
      </w:r>
    </w:p>
    <w:p w:rsidR="00B45E65" w:rsidRDefault="00B45E65">
      <w:pPr>
        <w:spacing w:line="120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1"/>
          <w:numId w:val="19"/>
        </w:numPr>
        <w:tabs>
          <w:tab w:val="left" w:pos="561"/>
        </w:tabs>
        <w:spacing w:line="251" w:lineRule="auto"/>
        <w:ind w:left="561" w:right="980" w:hanging="2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Kupní cena bude uhrazena na základě ř</w:t>
      </w:r>
      <w:r>
        <w:rPr>
          <w:rFonts w:ascii="Arial" w:eastAsia="Arial" w:hAnsi="Arial" w:cs="Arial"/>
          <w:sz w:val="20"/>
          <w:szCs w:val="20"/>
        </w:rPr>
        <w:t xml:space="preserve">ádně vystaveného daňového dokladu </w:t>
      </w:r>
      <w:r>
        <w:rPr>
          <w:rFonts w:ascii="Arial" w:eastAsia="Arial" w:hAnsi="Arial" w:cs="Arial"/>
          <w:b/>
          <w:bCs/>
          <w:sz w:val="20"/>
          <w:szCs w:val="20"/>
        </w:rPr>
        <w:t>(dále také jen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„faktura“)</w:t>
      </w:r>
      <w:r>
        <w:rPr>
          <w:rFonts w:ascii="Arial" w:eastAsia="Arial" w:hAnsi="Arial" w:cs="Arial"/>
          <w:sz w:val="20"/>
          <w:szCs w:val="20"/>
        </w:rPr>
        <w:t>. Fakturačně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musí být na faktuře jednoznačně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oddělena výše plnění investičního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charakteru, včetně k němu se vztahujícímu příslušenství, a výše plnění neinvestičního charakteru nemajícího povahu př</w:t>
      </w:r>
      <w:r>
        <w:rPr>
          <w:rFonts w:ascii="Arial" w:eastAsia="Arial" w:hAnsi="Arial" w:cs="Arial"/>
          <w:sz w:val="20"/>
          <w:szCs w:val="20"/>
        </w:rPr>
        <w:t>íslušenství. Prodávající je povinen před vystavením faktury rozdělení na investiční a neinvestiční plnění projednat s kupujícím.</w:t>
      </w:r>
    </w:p>
    <w:p w:rsidR="00B45E65" w:rsidRDefault="00B45E65">
      <w:pPr>
        <w:spacing w:line="71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19"/>
        </w:numPr>
        <w:tabs>
          <w:tab w:val="left" w:pos="561"/>
        </w:tabs>
        <w:spacing w:line="261" w:lineRule="auto"/>
        <w:ind w:left="561" w:right="980" w:hanging="2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Faktura bude doručena kupujícímu nejpozději do 3 (slovy: tří) pracovních dní ode dne převzetí věci. Prodávající se zavazuje za</w:t>
      </w:r>
      <w:r>
        <w:rPr>
          <w:rFonts w:ascii="Arial" w:eastAsia="Arial" w:hAnsi="Arial" w:cs="Arial"/>
          <w:sz w:val="20"/>
          <w:szCs w:val="20"/>
        </w:rPr>
        <w:t xml:space="preserve">slat kupujícímu bezodkladně po odeslání listinného vyhotovení faktury její elektronickou kopii, a to na e-mailovou adresu: </w:t>
      </w:r>
      <w:r>
        <w:rPr>
          <w:rFonts w:ascii="Arial" w:eastAsia="Arial" w:hAnsi="Arial" w:cs="Arial"/>
          <w:sz w:val="20"/>
          <w:szCs w:val="20"/>
          <w:u w:val="single"/>
        </w:rPr>
        <w:t>XXXXXXXXXXXX</w:t>
      </w:r>
      <w:r>
        <w:rPr>
          <w:rFonts w:ascii="Arial" w:eastAsia="Arial" w:hAnsi="Arial" w:cs="Arial"/>
          <w:sz w:val="20"/>
          <w:szCs w:val="20"/>
        </w:rPr>
        <w:t>.</w:t>
      </w:r>
    </w:p>
    <w:p w:rsidR="00B45E65" w:rsidRDefault="00B45E65">
      <w:pPr>
        <w:spacing w:line="61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19"/>
        </w:numPr>
        <w:tabs>
          <w:tab w:val="left" w:pos="561"/>
        </w:tabs>
        <w:ind w:left="561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Splatnost faktury je 30 (slovy: třicet) dní ode dne jejího doručení kupujícímu.</w:t>
      </w:r>
    </w:p>
    <w:p w:rsidR="00B45E65" w:rsidRDefault="00B45E65">
      <w:pPr>
        <w:spacing w:line="118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19"/>
        </w:numPr>
        <w:tabs>
          <w:tab w:val="left" w:pos="561"/>
        </w:tabs>
        <w:spacing w:line="250" w:lineRule="auto"/>
        <w:ind w:left="561" w:right="980" w:hanging="2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Kupní cena bude kupujícím</w:t>
      </w:r>
      <w:r>
        <w:rPr>
          <w:rFonts w:ascii="Arial" w:eastAsia="Arial" w:hAnsi="Arial" w:cs="Arial"/>
          <w:sz w:val="20"/>
          <w:szCs w:val="20"/>
        </w:rPr>
        <w:t xml:space="preserve"> uhrazena bezhotovostním převodem na bankovní účet prodávajícího uvedený v čl. I. odst. 2) smlouvy. Uvede-li prodávající na faktuře bankovní účet odlišný, má se za to, že požaduje provedení úhrady na bankovní účet uvedený na faktuře. Peněžitý závazek kupuj</w:t>
      </w:r>
      <w:r>
        <w:rPr>
          <w:rFonts w:ascii="Arial" w:eastAsia="Arial" w:hAnsi="Arial" w:cs="Arial"/>
          <w:sz w:val="20"/>
          <w:szCs w:val="20"/>
        </w:rPr>
        <w:t>ícího se považuje za splněný v den, kdy je dlužná částka odepsána z bankovního účtu kupujícího ve prospěch bankovního účtu prodávajícího.</w:t>
      </w:r>
    </w:p>
    <w:p w:rsidR="00B45E65" w:rsidRDefault="00B45E65">
      <w:pPr>
        <w:spacing w:line="67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0"/>
          <w:numId w:val="19"/>
        </w:numPr>
        <w:tabs>
          <w:tab w:val="left" w:pos="281"/>
        </w:tabs>
        <w:ind w:left="281" w:hanging="2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Náležitosti faktury</w:t>
      </w:r>
    </w:p>
    <w:p w:rsidR="00B45E65" w:rsidRDefault="00B45E65">
      <w:pPr>
        <w:spacing w:line="124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ind w:left="2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Faktura bude splňovat veškeré zákonné a smluvené náležitosti, zejména</w:t>
      </w:r>
    </w:p>
    <w:p w:rsidR="00B45E65" w:rsidRDefault="00B45E65">
      <w:pPr>
        <w:spacing w:line="178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1"/>
          <w:numId w:val="19"/>
        </w:numPr>
        <w:tabs>
          <w:tab w:val="left" w:pos="561"/>
        </w:tabs>
        <w:ind w:left="561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náležitosti daňového dokl</w:t>
      </w:r>
      <w:r>
        <w:rPr>
          <w:rFonts w:ascii="Arial" w:eastAsia="Arial" w:hAnsi="Arial" w:cs="Arial"/>
          <w:sz w:val="20"/>
          <w:szCs w:val="20"/>
        </w:rPr>
        <w:t>adu dle § 26 a násl. ZDPH,</w:t>
      </w:r>
    </w:p>
    <w:p w:rsidR="00B45E65" w:rsidRDefault="00B45E65">
      <w:pPr>
        <w:spacing w:line="120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19"/>
        </w:numPr>
        <w:tabs>
          <w:tab w:val="left" w:pos="561"/>
        </w:tabs>
        <w:spacing w:line="282" w:lineRule="auto"/>
        <w:ind w:left="561" w:right="960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náležitosti daňového dokladu stanovené v zákoně č. 563/1991 Sb., o účetnictví, ve znění pozdějších předpisů,</w:t>
      </w:r>
    </w:p>
    <w:p w:rsidR="00B45E65" w:rsidRDefault="00B45E65">
      <w:pPr>
        <w:spacing w:line="40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19"/>
        </w:numPr>
        <w:tabs>
          <w:tab w:val="left" w:pos="561"/>
        </w:tabs>
        <w:ind w:left="561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uvedení lhůty splatnosti,</w:t>
      </w:r>
    </w:p>
    <w:p w:rsidR="00B45E65" w:rsidRDefault="00B45E65">
      <w:pPr>
        <w:spacing w:line="120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19"/>
        </w:numPr>
        <w:tabs>
          <w:tab w:val="left" w:pos="561"/>
        </w:tabs>
        <w:ind w:left="561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uvedení údajů bankovního spojení prodávajícího,</w:t>
      </w:r>
    </w:p>
    <w:p w:rsidR="00B45E65" w:rsidRDefault="00B45E65">
      <w:pPr>
        <w:spacing w:line="337" w:lineRule="exact"/>
        <w:rPr>
          <w:sz w:val="20"/>
          <w:szCs w:val="20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3520"/>
        <w:gridCol w:w="20"/>
      </w:tblGrid>
      <w:tr w:rsidR="00B45E65">
        <w:trPr>
          <w:trHeight w:val="187"/>
        </w:trPr>
        <w:tc>
          <w:tcPr>
            <w:tcW w:w="652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CEITEC – Central European Institute of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Technology</w:t>
            </w:r>
          </w:p>
        </w:tc>
        <w:tc>
          <w:tcPr>
            <w:tcW w:w="3520" w:type="dxa"/>
            <w:vAlign w:val="bottom"/>
          </w:tcPr>
          <w:p w:rsidR="00B45E65" w:rsidRDefault="00B45E6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85"/>
        </w:trPr>
        <w:tc>
          <w:tcPr>
            <w:tcW w:w="652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Masaryk University</w:t>
            </w:r>
          </w:p>
        </w:tc>
        <w:tc>
          <w:tcPr>
            <w:tcW w:w="3520" w:type="dxa"/>
            <w:vAlign w:val="bottom"/>
          </w:tcPr>
          <w:p w:rsidR="00B45E65" w:rsidRDefault="00B45E6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83"/>
        </w:trPr>
        <w:tc>
          <w:tcPr>
            <w:tcW w:w="652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Kamenice 753/5, 625 00 Brno, Czech Republic</w:t>
            </w:r>
          </w:p>
        </w:tc>
        <w:tc>
          <w:tcPr>
            <w:tcW w:w="3520" w:type="dxa"/>
            <w:vAlign w:val="bottom"/>
          </w:tcPr>
          <w:p w:rsidR="00B45E65" w:rsidRDefault="00B45E6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98"/>
        </w:trPr>
        <w:tc>
          <w:tcPr>
            <w:tcW w:w="652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1A9C0"/>
                <w:sz w:val="14"/>
                <w:szCs w:val="14"/>
              </w:rPr>
              <w:t>www.ceitec.eu</w:t>
            </w:r>
          </w:p>
        </w:tc>
        <w:tc>
          <w:tcPr>
            <w:tcW w:w="3520" w:type="dxa"/>
            <w:vMerge w:val="restart"/>
            <w:vAlign w:val="bottom"/>
          </w:tcPr>
          <w:p w:rsidR="00B45E65" w:rsidRDefault="00E917A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8/20</w:t>
            </w: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03"/>
        </w:trPr>
        <w:tc>
          <w:tcPr>
            <w:tcW w:w="6520" w:type="dxa"/>
            <w:vAlign w:val="bottom"/>
          </w:tcPr>
          <w:p w:rsidR="00B45E65" w:rsidRDefault="00B45E65">
            <w:pPr>
              <w:rPr>
                <w:sz w:val="8"/>
                <w:szCs w:val="8"/>
              </w:rPr>
            </w:pPr>
          </w:p>
        </w:tc>
        <w:tc>
          <w:tcPr>
            <w:tcW w:w="3520" w:type="dxa"/>
            <w:vMerge/>
            <w:vAlign w:val="bottom"/>
          </w:tcPr>
          <w:p w:rsidR="00B45E65" w:rsidRDefault="00B45E6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</w:tbl>
    <w:p w:rsidR="00B45E65" w:rsidRDefault="00E917A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5085715</wp:posOffset>
            </wp:positionH>
            <wp:positionV relativeFrom="paragraph">
              <wp:posOffset>-535940</wp:posOffset>
            </wp:positionV>
            <wp:extent cx="903605" cy="25908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25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5E65" w:rsidRDefault="00B45E65">
      <w:pPr>
        <w:sectPr w:rsidR="00B45E65">
          <w:pgSz w:w="11920" w:h="16845"/>
          <w:pgMar w:top="1440" w:right="450" w:bottom="48" w:left="1419" w:header="0" w:footer="0" w:gutter="0"/>
          <w:cols w:space="708" w:equalWidth="0">
            <w:col w:w="10041"/>
          </w:cols>
        </w:sectPr>
      </w:pPr>
    </w:p>
    <w:p w:rsidR="00B45E65" w:rsidRDefault="00E917A2">
      <w:pPr>
        <w:spacing w:line="200" w:lineRule="exact"/>
        <w:rPr>
          <w:sz w:val="20"/>
          <w:szCs w:val="20"/>
        </w:rPr>
      </w:pPr>
      <w:bookmarkStart w:id="8" w:name="page9"/>
      <w:bookmarkEnd w:id="8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5598795</wp:posOffset>
            </wp:positionH>
            <wp:positionV relativeFrom="page">
              <wp:posOffset>0</wp:posOffset>
            </wp:positionV>
            <wp:extent cx="1959610" cy="199072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199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9" w:lineRule="exact"/>
        <w:rPr>
          <w:sz w:val="20"/>
          <w:szCs w:val="20"/>
        </w:rPr>
      </w:pPr>
    </w:p>
    <w:p w:rsidR="00B45E65" w:rsidRDefault="00E917A2">
      <w:pPr>
        <w:numPr>
          <w:ilvl w:val="0"/>
          <w:numId w:val="20"/>
        </w:numPr>
        <w:tabs>
          <w:tab w:val="left" w:pos="561"/>
        </w:tabs>
        <w:spacing w:line="282" w:lineRule="auto"/>
        <w:ind w:left="561" w:right="980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uvedení názvu a registračního čísla projektu, tj. CIISB4HEALTH, registrační číslo projektu </w:t>
      </w:r>
      <w:r>
        <w:rPr>
          <w:rFonts w:ascii="Arial" w:eastAsia="Arial" w:hAnsi="Arial" w:cs="Arial"/>
          <w:sz w:val="20"/>
          <w:szCs w:val="20"/>
        </w:rPr>
        <w:t>CZ.02.1.01/0.0/0.0/16_013/0001776</w:t>
      </w:r>
    </w:p>
    <w:p w:rsidR="00B45E65" w:rsidRDefault="00B45E65">
      <w:pPr>
        <w:spacing w:line="40" w:lineRule="exact"/>
        <w:rPr>
          <w:sz w:val="20"/>
          <w:szCs w:val="20"/>
        </w:rPr>
      </w:pPr>
    </w:p>
    <w:p w:rsidR="00B45E65" w:rsidRDefault="00E917A2">
      <w:pPr>
        <w:spacing w:line="272" w:lineRule="auto"/>
        <w:ind w:left="281" w:right="11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Kupující si vyhrazuje právo vrátit fakturu prodávajícímu bez úhrady, jestliže tato nebude splňovat požadované náležitosti. V tomto případě bude lhůta splatnosti faktury přerušena a nová 30denní (slovy: třicetidenní) lhůta</w:t>
      </w:r>
      <w:r>
        <w:rPr>
          <w:rFonts w:ascii="Arial" w:eastAsia="Arial" w:hAnsi="Arial" w:cs="Arial"/>
          <w:sz w:val="20"/>
          <w:szCs w:val="20"/>
        </w:rPr>
        <w:t xml:space="preserve"> splatnosti bude započata po doručení faktury opravené. V tomto případě není kupující v prodlení s úhradou příslušné částky, na kterou faktura zní.</w:t>
      </w:r>
    </w:p>
    <w:p w:rsidR="00B45E65" w:rsidRDefault="00B45E65">
      <w:pPr>
        <w:spacing w:line="109" w:lineRule="exact"/>
        <w:rPr>
          <w:sz w:val="20"/>
          <w:szCs w:val="20"/>
        </w:rPr>
      </w:pPr>
    </w:p>
    <w:p w:rsidR="00B45E65" w:rsidRDefault="00E917A2">
      <w:pPr>
        <w:numPr>
          <w:ilvl w:val="0"/>
          <w:numId w:val="21"/>
        </w:numPr>
        <w:tabs>
          <w:tab w:val="left" w:pos="281"/>
        </w:tabs>
        <w:spacing w:line="261" w:lineRule="auto"/>
        <w:ind w:left="281" w:right="980" w:hanging="281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 případě, že faktura nebude obsahovat předepsané náležitosti a tuto skutečnost zjistí až příslušný správce</w:t>
      </w:r>
      <w:r>
        <w:rPr>
          <w:rFonts w:ascii="Arial" w:eastAsia="Arial" w:hAnsi="Arial" w:cs="Arial"/>
          <w:sz w:val="20"/>
          <w:szCs w:val="20"/>
        </w:rPr>
        <w:t xml:space="preserve"> daně či jiný orgán oprávněný k výkonu kontroly u prodávajícího nebo kupujícího, nese veškeré následky z tohoto plynoucí prodávající.</w:t>
      </w:r>
    </w:p>
    <w:p w:rsidR="00B45E65" w:rsidRDefault="00B45E65">
      <w:pPr>
        <w:spacing w:line="59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0"/>
          <w:numId w:val="21"/>
        </w:numPr>
        <w:tabs>
          <w:tab w:val="left" w:pos="281"/>
        </w:tabs>
        <w:ind w:left="281" w:hanging="2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 případě, že</w:t>
      </w:r>
    </w:p>
    <w:p w:rsidR="00B45E65" w:rsidRDefault="00B45E65">
      <w:pPr>
        <w:spacing w:line="120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1"/>
          <w:numId w:val="21"/>
        </w:numPr>
        <w:tabs>
          <w:tab w:val="left" w:pos="561"/>
        </w:tabs>
        <w:spacing w:line="261" w:lineRule="auto"/>
        <w:ind w:left="561" w:right="980" w:hanging="2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úhrada kupní ceny má být provedena zcela nebo zčásti bezhotovostním převodem na účet vedený poskytovatelem</w:t>
      </w:r>
      <w:r>
        <w:rPr>
          <w:rFonts w:ascii="Arial" w:eastAsia="Arial" w:hAnsi="Arial" w:cs="Arial"/>
          <w:sz w:val="20"/>
          <w:szCs w:val="20"/>
        </w:rPr>
        <w:t xml:space="preserve"> platebních služeb mimo tuzemsko ve smyslu § 109 odst. 2 písm. b) ZDPH nebo že</w:t>
      </w:r>
    </w:p>
    <w:p w:rsidR="00B45E65" w:rsidRDefault="00B45E65">
      <w:pPr>
        <w:spacing w:line="60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21"/>
        </w:numPr>
        <w:tabs>
          <w:tab w:val="left" w:pos="561"/>
        </w:tabs>
        <w:spacing w:line="282" w:lineRule="auto"/>
        <w:ind w:left="561" w:right="980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číslo bankovního účtu prodávajícího uvedené v této smlouvě či na faktuře nebude uveřejněno způsobem umožňujícím dálkový přístup ve smyslu § 109 odst. 2 písm. c) ZDPH,</w:t>
      </w:r>
    </w:p>
    <w:p w:rsidR="00B45E65" w:rsidRDefault="00B45E65">
      <w:pPr>
        <w:spacing w:line="38" w:lineRule="exact"/>
        <w:rPr>
          <w:sz w:val="20"/>
          <w:szCs w:val="20"/>
        </w:rPr>
      </w:pPr>
    </w:p>
    <w:p w:rsidR="00B45E65" w:rsidRDefault="00E917A2">
      <w:pPr>
        <w:ind w:left="28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je </w:t>
      </w:r>
      <w:r>
        <w:rPr>
          <w:rFonts w:ascii="Arial" w:eastAsia="Arial" w:hAnsi="Arial" w:cs="Arial"/>
          <w:sz w:val="20"/>
          <w:szCs w:val="20"/>
        </w:rPr>
        <w:t>kupující oprávněn uhradit prodávajícímu pouze tu část peněžitého závazku vyplývajícího</w:t>
      </w:r>
    </w:p>
    <w:p w:rsidR="00B45E65" w:rsidRDefault="00B45E65">
      <w:pPr>
        <w:spacing w:line="40" w:lineRule="exact"/>
        <w:rPr>
          <w:sz w:val="20"/>
          <w:szCs w:val="20"/>
        </w:rPr>
      </w:pPr>
    </w:p>
    <w:p w:rsidR="00B45E65" w:rsidRDefault="00E917A2">
      <w:pPr>
        <w:spacing w:line="269" w:lineRule="auto"/>
        <w:ind w:left="281" w:right="10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 faktury, jež odpovídá výši základu DPH, a zbylou část pak ve smyslu § 109a ZDPH uhradit přímo správci daně. Stane-li se prodávající nespolehlivým plátcem ve smyslu § </w:t>
      </w:r>
      <w:r>
        <w:rPr>
          <w:rFonts w:ascii="Arial" w:eastAsia="Arial" w:hAnsi="Arial" w:cs="Arial"/>
          <w:sz w:val="20"/>
          <w:szCs w:val="20"/>
        </w:rPr>
        <w:t>106a ZDPH, použije se tohoto odstavce obdobně.</w:t>
      </w: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323" w:lineRule="exact"/>
        <w:rPr>
          <w:sz w:val="20"/>
          <w:szCs w:val="20"/>
        </w:rPr>
      </w:pPr>
    </w:p>
    <w:p w:rsidR="00B45E65" w:rsidRDefault="00E917A2">
      <w:pPr>
        <w:ind w:left="4241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VII.</w:t>
      </w:r>
    </w:p>
    <w:p w:rsidR="00B45E65" w:rsidRDefault="00B45E65">
      <w:pPr>
        <w:spacing w:line="120" w:lineRule="exact"/>
        <w:rPr>
          <w:sz w:val="20"/>
          <w:szCs w:val="20"/>
        </w:rPr>
      </w:pPr>
    </w:p>
    <w:p w:rsidR="00B45E65" w:rsidRDefault="00E917A2">
      <w:pPr>
        <w:ind w:left="2601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Práva z vadného plnění; záruka za jakost</w:t>
      </w: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390" w:lineRule="exact"/>
        <w:rPr>
          <w:sz w:val="20"/>
          <w:szCs w:val="20"/>
        </w:rPr>
      </w:pPr>
    </w:p>
    <w:p w:rsidR="00B45E65" w:rsidRDefault="00E917A2">
      <w:pPr>
        <w:numPr>
          <w:ilvl w:val="0"/>
          <w:numId w:val="22"/>
        </w:numPr>
        <w:tabs>
          <w:tab w:val="left" w:pos="281"/>
        </w:tabs>
        <w:spacing w:line="241" w:lineRule="auto"/>
        <w:ind w:left="281" w:right="960" w:hanging="281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Věc je vadná, neodpovídá-li smlouvě. Smluvní strany sjednávají, že věc bude smlouvě odpovídat a že práva z vadného plnění lze uplatňovat i po smluvenou záru</w:t>
      </w:r>
      <w:r>
        <w:rPr>
          <w:rFonts w:ascii="Arial" w:eastAsia="Arial" w:hAnsi="Arial" w:cs="Arial"/>
          <w:sz w:val="20"/>
          <w:szCs w:val="20"/>
        </w:rPr>
        <w:t xml:space="preserve">ční dobu. Smluvní strany výslovně </w:t>
      </w:r>
      <w:r>
        <w:rPr>
          <w:rFonts w:ascii="Arial" w:eastAsia="Arial" w:hAnsi="Arial" w:cs="Arial"/>
          <w:sz w:val="24"/>
          <w:szCs w:val="24"/>
        </w:rPr>
        <w:t>utvrzují</w:t>
      </w:r>
      <w:r>
        <w:rPr>
          <w:rFonts w:ascii="Arial" w:eastAsia="Arial" w:hAnsi="Arial" w:cs="Arial"/>
          <w:sz w:val="19"/>
          <w:szCs w:val="19"/>
        </w:rPr>
        <w:t>, že v záruční době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lze uplatnit jakékoli vady, které věc má, mj. tedy zcela bez ohledu na to,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zda vznikly před či po převzetí věcí kupujícím, nebo kdy je kupující měl či mohl zjistit, nebo kdy je zjistil, a to i v</w:t>
      </w:r>
      <w:r>
        <w:rPr>
          <w:rFonts w:ascii="Arial" w:eastAsia="Arial" w:hAnsi="Arial" w:cs="Arial"/>
          <w:sz w:val="19"/>
          <w:szCs w:val="19"/>
        </w:rPr>
        <w:t xml:space="preserve"> případě vad zjevných.</w:t>
      </w:r>
    </w:p>
    <w:p w:rsidR="00B45E65" w:rsidRDefault="00B45E65">
      <w:pPr>
        <w:spacing w:line="76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0"/>
          <w:numId w:val="22"/>
        </w:numPr>
        <w:tabs>
          <w:tab w:val="left" w:pos="281"/>
        </w:tabs>
        <w:ind w:left="281" w:hanging="2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Záruka za jakost</w:t>
      </w:r>
    </w:p>
    <w:p w:rsidR="00B45E65" w:rsidRDefault="00B45E65">
      <w:pPr>
        <w:spacing w:line="124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1"/>
          <w:numId w:val="22"/>
        </w:numPr>
        <w:tabs>
          <w:tab w:val="left" w:pos="561"/>
        </w:tabs>
        <w:spacing w:line="253" w:lineRule="auto"/>
        <w:ind w:left="561" w:right="980" w:hanging="2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Záruční doba činí 36 (slovy: třicetšest) měsíců; je-li pro věc nebo její části v záručním listu nebo jiném prohlášení o záruce (včetně přílohy č. 1) uvedena záruční doba delší, platí tato delší záruční doba. </w:t>
      </w:r>
      <w:r>
        <w:rPr>
          <w:rFonts w:ascii="Arial" w:eastAsia="Arial" w:hAnsi="Arial" w:cs="Arial"/>
          <w:sz w:val="20"/>
          <w:szCs w:val="20"/>
        </w:rPr>
        <w:t>Prodávající má povinnosti z vadného plnění nejméně v takovém rozsahu, v jakém trvají povinnosti z vadného plnění výrobce věcí.</w:t>
      </w:r>
    </w:p>
    <w:p w:rsidR="00B45E65" w:rsidRDefault="00B45E65">
      <w:pPr>
        <w:spacing w:line="69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22"/>
        </w:numPr>
        <w:tabs>
          <w:tab w:val="left" w:pos="561"/>
        </w:tabs>
        <w:spacing w:line="254" w:lineRule="auto"/>
        <w:ind w:left="561" w:right="980" w:hanging="2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Záruční doba věci začíná běžet ode dne jejího převzetí kupujícím. Je-li věc kupujícím převzata s alespoň jednou vadou, počíná zá</w:t>
      </w:r>
      <w:r>
        <w:rPr>
          <w:rFonts w:ascii="Arial" w:eastAsia="Arial" w:hAnsi="Arial" w:cs="Arial"/>
          <w:sz w:val="20"/>
          <w:szCs w:val="20"/>
        </w:rPr>
        <w:t>ruční doba běžet až dnem odstranění poslední vady. Podobně byla-li věc kupujícím převzata i přes to, že prodávající neodevzdal některou z věcí ve smluvené lhůtě, počíná záruční doba běžet až dnem odevzdání chybějící věci.</w:t>
      </w:r>
    </w:p>
    <w:p w:rsidR="00B45E65" w:rsidRDefault="00B45E65">
      <w:pPr>
        <w:spacing w:line="68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22"/>
        </w:numPr>
        <w:tabs>
          <w:tab w:val="left" w:pos="561"/>
        </w:tabs>
        <w:ind w:left="561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Neodpovídá-li věc smlouvě, má kup</w:t>
      </w:r>
      <w:r>
        <w:rPr>
          <w:rFonts w:ascii="Arial" w:eastAsia="Arial" w:hAnsi="Arial" w:cs="Arial"/>
          <w:sz w:val="20"/>
          <w:szCs w:val="20"/>
        </w:rPr>
        <w:t>ující právo zejména na</w:t>
      </w:r>
    </w:p>
    <w:p w:rsidR="00B45E65" w:rsidRDefault="00B45E65">
      <w:pPr>
        <w:spacing w:line="104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2"/>
          <w:numId w:val="22"/>
        </w:numPr>
        <w:tabs>
          <w:tab w:val="left" w:pos="861"/>
        </w:tabs>
        <w:spacing w:line="325" w:lineRule="auto"/>
        <w:ind w:left="861" w:right="960" w:hanging="295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odstranění vady dodáním nové věci bez vad, pokud to není vzhledem k povaze vady nepřiměřené; pokud se vada týká pouze součásti věci, může kupující požadovat jen výměnu součásti,</w:t>
      </w:r>
    </w:p>
    <w:p w:rsidR="00B45E65" w:rsidRDefault="00B45E65">
      <w:pPr>
        <w:spacing w:line="17" w:lineRule="exact"/>
        <w:rPr>
          <w:sz w:val="20"/>
          <w:szCs w:val="20"/>
        </w:rPr>
      </w:pPr>
    </w:p>
    <w:p w:rsidR="00B45E65" w:rsidRDefault="00E917A2">
      <w:pPr>
        <w:ind w:left="561"/>
        <w:rPr>
          <w:sz w:val="20"/>
          <w:szCs w:val="20"/>
        </w:rPr>
      </w:pPr>
      <w:r>
        <w:rPr>
          <w:rFonts w:ascii="Arial Narrow" w:eastAsia="Arial Narrow" w:hAnsi="Arial Narrow" w:cs="Arial Narrow"/>
        </w:rPr>
        <w:t xml:space="preserve">1.  odstranění vady opravou věci, je-li vada opravou </w:t>
      </w:r>
      <w:r>
        <w:rPr>
          <w:rFonts w:ascii="Arial Narrow" w:eastAsia="Arial Narrow" w:hAnsi="Arial Narrow" w:cs="Arial Narrow"/>
        </w:rPr>
        <w:t>odstranitelná,</w:t>
      </w: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73" w:lineRule="exact"/>
        <w:rPr>
          <w:sz w:val="20"/>
          <w:szCs w:val="20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3520"/>
        <w:gridCol w:w="20"/>
      </w:tblGrid>
      <w:tr w:rsidR="00B45E65">
        <w:trPr>
          <w:trHeight w:val="187"/>
        </w:trPr>
        <w:tc>
          <w:tcPr>
            <w:tcW w:w="652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CEITEC – Central European Institute of Technology</w:t>
            </w:r>
          </w:p>
        </w:tc>
        <w:tc>
          <w:tcPr>
            <w:tcW w:w="3520" w:type="dxa"/>
            <w:vAlign w:val="bottom"/>
          </w:tcPr>
          <w:p w:rsidR="00B45E65" w:rsidRDefault="00B45E6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85"/>
        </w:trPr>
        <w:tc>
          <w:tcPr>
            <w:tcW w:w="652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Masaryk University</w:t>
            </w:r>
          </w:p>
        </w:tc>
        <w:tc>
          <w:tcPr>
            <w:tcW w:w="3520" w:type="dxa"/>
            <w:vAlign w:val="bottom"/>
          </w:tcPr>
          <w:p w:rsidR="00B45E65" w:rsidRDefault="00B45E6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83"/>
        </w:trPr>
        <w:tc>
          <w:tcPr>
            <w:tcW w:w="652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Kamenice 753/5, 625 00 Brno, Czech Republic</w:t>
            </w:r>
          </w:p>
        </w:tc>
        <w:tc>
          <w:tcPr>
            <w:tcW w:w="3520" w:type="dxa"/>
            <w:vAlign w:val="bottom"/>
          </w:tcPr>
          <w:p w:rsidR="00B45E65" w:rsidRDefault="00B45E6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98"/>
        </w:trPr>
        <w:tc>
          <w:tcPr>
            <w:tcW w:w="652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1A9C0"/>
                <w:sz w:val="14"/>
                <w:szCs w:val="14"/>
              </w:rPr>
              <w:t>www.ceitec.eu</w:t>
            </w:r>
          </w:p>
        </w:tc>
        <w:tc>
          <w:tcPr>
            <w:tcW w:w="3520" w:type="dxa"/>
            <w:vMerge w:val="restart"/>
            <w:vAlign w:val="bottom"/>
          </w:tcPr>
          <w:p w:rsidR="00B45E65" w:rsidRDefault="00E917A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9/20</w:t>
            </w: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03"/>
        </w:trPr>
        <w:tc>
          <w:tcPr>
            <w:tcW w:w="6520" w:type="dxa"/>
            <w:vAlign w:val="bottom"/>
          </w:tcPr>
          <w:p w:rsidR="00B45E65" w:rsidRDefault="00B45E65">
            <w:pPr>
              <w:rPr>
                <w:sz w:val="8"/>
                <w:szCs w:val="8"/>
              </w:rPr>
            </w:pPr>
          </w:p>
        </w:tc>
        <w:tc>
          <w:tcPr>
            <w:tcW w:w="3520" w:type="dxa"/>
            <w:vMerge/>
            <w:vAlign w:val="bottom"/>
          </w:tcPr>
          <w:p w:rsidR="00B45E65" w:rsidRDefault="00B45E6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</w:tbl>
    <w:p w:rsidR="00B45E65" w:rsidRDefault="00E917A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5085715</wp:posOffset>
            </wp:positionH>
            <wp:positionV relativeFrom="paragraph">
              <wp:posOffset>-535940</wp:posOffset>
            </wp:positionV>
            <wp:extent cx="903605" cy="25908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25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5E65" w:rsidRDefault="00B45E65">
      <w:pPr>
        <w:sectPr w:rsidR="00B45E65">
          <w:pgSz w:w="11920" w:h="16845"/>
          <w:pgMar w:top="1440" w:right="450" w:bottom="48" w:left="1419" w:header="0" w:footer="0" w:gutter="0"/>
          <w:cols w:space="708" w:equalWidth="0">
            <w:col w:w="10041"/>
          </w:cols>
        </w:sectPr>
      </w:pPr>
    </w:p>
    <w:p w:rsidR="00B45E65" w:rsidRDefault="00E917A2">
      <w:pPr>
        <w:spacing w:line="200" w:lineRule="exact"/>
        <w:rPr>
          <w:sz w:val="20"/>
          <w:szCs w:val="20"/>
        </w:rPr>
      </w:pPr>
      <w:bookmarkStart w:id="9" w:name="page10"/>
      <w:bookmarkEnd w:id="9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2336" behindDoc="1" locked="0" layoutInCell="0" allowOverlap="1">
            <wp:simplePos x="0" y="0"/>
            <wp:positionH relativeFrom="page">
              <wp:posOffset>5598795</wp:posOffset>
            </wp:positionH>
            <wp:positionV relativeFrom="page">
              <wp:posOffset>0</wp:posOffset>
            </wp:positionV>
            <wp:extent cx="1959610" cy="199072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199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396" w:lineRule="exact"/>
        <w:rPr>
          <w:sz w:val="20"/>
          <w:szCs w:val="20"/>
        </w:rPr>
      </w:pPr>
    </w:p>
    <w:p w:rsidR="00B45E65" w:rsidRDefault="00E917A2">
      <w:pPr>
        <w:numPr>
          <w:ilvl w:val="0"/>
          <w:numId w:val="23"/>
        </w:numPr>
        <w:tabs>
          <w:tab w:val="left" w:pos="861"/>
        </w:tabs>
        <w:ind w:left="861" w:hanging="295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odstraněním vady dodáním chybějící věci nebo její součásti,</w:t>
      </w:r>
    </w:p>
    <w:p w:rsidR="00B45E65" w:rsidRDefault="00B45E65">
      <w:pPr>
        <w:spacing w:line="157" w:lineRule="exact"/>
        <w:rPr>
          <w:rFonts w:ascii="Arial Narrow" w:eastAsia="Arial Narrow" w:hAnsi="Arial Narrow" w:cs="Arial Narrow"/>
        </w:rPr>
      </w:pPr>
    </w:p>
    <w:p w:rsidR="00B45E65" w:rsidRDefault="00E917A2">
      <w:pPr>
        <w:numPr>
          <w:ilvl w:val="0"/>
          <w:numId w:val="23"/>
        </w:numPr>
        <w:tabs>
          <w:tab w:val="left" w:pos="861"/>
        </w:tabs>
        <w:ind w:left="861" w:hanging="295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př</w:t>
      </w:r>
      <w:r>
        <w:rPr>
          <w:rFonts w:ascii="Arial Narrow" w:eastAsia="Arial Narrow" w:hAnsi="Arial Narrow" w:cs="Arial Narrow"/>
        </w:rPr>
        <w:t>iměřenou slevu z kupní ceny,</w:t>
      </w:r>
    </w:p>
    <w:p w:rsidR="00B45E65" w:rsidRDefault="00B45E65">
      <w:pPr>
        <w:spacing w:line="157" w:lineRule="exact"/>
        <w:rPr>
          <w:rFonts w:ascii="Arial Narrow" w:eastAsia="Arial Narrow" w:hAnsi="Arial Narrow" w:cs="Arial Narrow"/>
        </w:rPr>
      </w:pPr>
    </w:p>
    <w:p w:rsidR="00B45E65" w:rsidRDefault="00E917A2">
      <w:pPr>
        <w:numPr>
          <w:ilvl w:val="0"/>
          <w:numId w:val="23"/>
        </w:numPr>
        <w:tabs>
          <w:tab w:val="left" w:pos="861"/>
        </w:tabs>
        <w:ind w:left="861" w:hanging="295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odstoupení od smlouvy.</w:t>
      </w:r>
    </w:p>
    <w:p w:rsidR="00B45E65" w:rsidRDefault="00B45E65">
      <w:pPr>
        <w:spacing w:line="158" w:lineRule="exact"/>
        <w:rPr>
          <w:sz w:val="20"/>
          <w:szCs w:val="20"/>
        </w:rPr>
      </w:pPr>
    </w:p>
    <w:p w:rsidR="00B45E65" w:rsidRDefault="00E917A2">
      <w:pPr>
        <w:spacing w:line="325" w:lineRule="auto"/>
        <w:ind w:left="561" w:right="960"/>
        <w:rPr>
          <w:sz w:val="20"/>
          <w:szCs w:val="20"/>
        </w:rPr>
      </w:pPr>
      <w:r>
        <w:rPr>
          <w:rFonts w:ascii="Arial Narrow" w:eastAsia="Arial Narrow" w:hAnsi="Arial Narrow" w:cs="Arial Narrow"/>
        </w:rPr>
        <w:t>Kupující je oprávněn zvolit si a uplatnit kterékoli z uvedených práv dle svého uvážení, případně zvolit a uplatnit kombinaci těchto práv.</w:t>
      </w:r>
    </w:p>
    <w:p w:rsidR="00B45E65" w:rsidRDefault="00B45E65">
      <w:pPr>
        <w:spacing w:line="26" w:lineRule="exact"/>
        <w:rPr>
          <w:sz w:val="20"/>
          <w:szCs w:val="20"/>
        </w:rPr>
      </w:pPr>
    </w:p>
    <w:p w:rsidR="00B45E65" w:rsidRDefault="00E917A2">
      <w:pPr>
        <w:numPr>
          <w:ilvl w:val="0"/>
          <w:numId w:val="24"/>
        </w:numPr>
        <w:tabs>
          <w:tab w:val="left" w:pos="281"/>
        </w:tabs>
        <w:ind w:left="281" w:hanging="2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Reklamace vad věci v záruční době</w:t>
      </w:r>
    </w:p>
    <w:p w:rsidR="00B45E65" w:rsidRDefault="00B45E65">
      <w:pPr>
        <w:spacing w:line="118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1"/>
          <w:numId w:val="24"/>
        </w:numPr>
        <w:tabs>
          <w:tab w:val="left" w:pos="561"/>
        </w:tabs>
        <w:spacing w:line="256" w:lineRule="auto"/>
        <w:ind w:left="561" w:right="980" w:hanging="2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Práva z vadného plnění v </w:t>
      </w:r>
      <w:r>
        <w:rPr>
          <w:rFonts w:ascii="Arial" w:eastAsia="Arial" w:hAnsi="Arial" w:cs="Arial"/>
          <w:sz w:val="20"/>
          <w:szCs w:val="20"/>
        </w:rPr>
        <w:t>záruční době uplatní kupující oznámením prodávajícímu (</w:t>
      </w:r>
      <w:r>
        <w:rPr>
          <w:rFonts w:ascii="Arial" w:eastAsia="Arial" w:hAnsi="Arial" w:cs="Arial"/>
          <w:b/>
          <w:bCs/>
          <w:sz w:val="20"/>
          <w:szCs w:val="20"/>
        </w:rPr>
        <w:t>dále jen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„reklamace“</w:t>
      </w:r>
      <w:r>
        <w:rPr>
          <w:rFonts w:ascii="Arial" w:eastAsia="Arial" w:hAnsi="Arial" w:cs="Arial"/>
          <w:sz w:val="20"/>
          <w:szCs w:val="20"/>
        </w:rPr>
        <w:t>), a to kdykoli po zjištění vady. I reklamace odeslaná kupujícím poslední den záruční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doby se považuje za včas uplatněnou. Smluvní strany sjednávají, že § 2111 OZ a § 2112 OZ se nep</w:t>
      </w:r>
      <w:r>
        <w:rPr>
          <w:rFonts w:ascii="Arial" w:eastAsia="Arial" w:hAnsi="Arial" w:cs="Arial"/>
          <w:sz w:val="20"/>
          <w:szCs w:val="20"/>
        </w:rPr>
        <w:t>oužijí.</w:t>
      </w:r>
    </w:p>
    <w:p w:rsidR="00B45E65" w:rsidRDefault="00B45E65">
      <w:pPr>
        <w:spacing w:line="64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24"/>
        </w:numPr>
        <w:tabs>
          <w:tab w:val="left" w:pos="561"/>
        </w:tabs>
        <w:ind w:left="561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 reklamaci kupující uvede alespoň:</w:t>
      </w:r>
    </w:p>
    <w:p w:rsidR="00B45E65" w:rsidRDefault="00B45E65">
      <w:pPr>
        <w:spacing w:line="107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2"/>
          <w:numId w:val="24"/>
        </w:numPr>
        <w:tabs>
          <w:tab w:val="left" w:pos="861"/>
        </w:tabs>
        <w:ind w:left="861" w:hanging="295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popis vady věci nebo informaci o tom, jak se vada projevuje, a</w:t>
      </w:r>
    </w:p>
    <w:p w:rsidR="00B45E65" w:rsidRDefault="00B45E65">
      <w:pPr>
        <w:spacing w:line="157" w:lineRule="exact"/>
        <w:rPr>
          <w:rFonts w:ascii="Arial Narrow" w:eastAsia="Arial Narrow" w:hAnsi="Arial Narrow" w:cs="Arial Narrow"/>
        </w:rPr>
      </w:pPr>
    </w:p>
    <w:p w:rsidR="00B45E65" w:rsidRDefault="00E917A2">
      <w:pPr>
        <w:numPr>
          <w:ilvl w:val="2"/>
          <w:numId w:val="24"/>
        </w:numPr>
        <w:tabs>
          <w:tab w:val="left" w:pos="861"/>
        </w:tabs>
        <w:ind w:left="861" w:hanging="295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jaká práva v souvislosti s vadou věci uplatňuje.</w:t>
      </w:r>
    </w:p>
    <w:p w:rsidR="00B45E65" w:rsidRDefault="00B45E65">
      <w:pPr>
        <w:spacing w:line="171" w:lineRule="exact"/>
        <w:rPr>
          <w:sz w:val="20"/>
          <w:szCs w:val="20"/>
        </w:rPr>
      </w:pPr>
    </w:p>
    <w:p w:rsidR="00B45E65" w:rsidRDefault="00E917A2">
      <w:pPr>
        <w:spacing w:line="328" w:lineRule="auto"/>
        <w:ind w:left="561" w:right="110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 xml:space="preserve">Neuvede-li kupující, jaká práva v souvislosti s vadou věci uplatňuje, má se za to, že požaduje </w:t>
      </w:r>
      <w:r>
        <w:rPr>
          <w:rFonts w:ascii="Arial" w:eastAsia="Arial" w:hAnsi="Arial" w:cs="Arial"/>
          <w:sz w:val="19"/>
          <w:szCs w:val="19"/>
        </w:rPr>
        <w:t>provedení opravy věci, příp. dodání nové věci bez vad, není-li vada věci opravou odstranitelná.</w:t>
      </w:r>
    </w:p>
    <w:p w:rsidR="00B45E65" w:rsidRDefault="00B45E65">
      <w:pPr>
        <w:spacing w:line="58" w:lineRule="exact"/>
        <w:rPr>
          <w:sz w:val="20"/>
          <w:szCs w:val="20"/>
        </w:rPr>
      </w:pPr>
    </w:p>
    <w:p w:rsidR="00B45E65" w:rsidRDefault="00E917A2">
      <w:pPr>
        <w:numPr>
          <w:ilvl w:val="1"/>
          <w:numId w:val="25"/>
        </w:numPr>
        <w:tabs>
          <w:tab w:val="left" w:pos="561"/>
        </w:tabs>
        <w:spacing w:line="261" w:lineRule="auto"/>
        <w:ind w:left="561" w:right="980" w:hanging="2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Uplatnění práv z vadného plnění kupujícím, jakož i plnění jim odpovídajících povinností prodávajícího není podmíněno ani jinak spojeno s poskytnutím jakékoli d</w:t>
      </w:r>
      <w:r>
        <w:rPr>
          <w:rFonts w:ascii="Arial" w:eastAsia="Arial" w:hAnsi="Arial" w:cs="Arial"/>
          <w:sz w:val="20"/>
          <w:szCs w:val="20"/>
        </w:rPr>
        <w:t>alší úplaty kupujícího prodávajícímu, příp. jiné osobě.</w:t>
      </w:r>
    </w:p>
    <w:p w:rsidR="00B45E65" w:rsidRDefault="00B45E65">
      <w:pPr>
        <w:spacing w:line="61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25"/>
        </w:numPr>
        <w:tabs>
          <w:tab w:val="left" w:pos="561"/>
        </w:tabs>
        <w:ind w:left="561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Kupujícímu náleží i náhrada nákladů účelně vynaložených při uplatnění práv z vadného plnění.</w:t>
      </w:r>
    </w:p>
    <w:p w:rsidR="00B45E65" w:rsidRDefault="00B45E65">
      <w:pPr>
        <w:spacing w:line="118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25"/>
        </w:numPr>
        <w:tabs>
          <w:tab w:val="left" w:pos="561"/>
        </w:tabs>
        <w:spacing w:line="247" w:lineRule="auto"/>
        <w:ind w:left="561" w:right="980" w:hanging="2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Prodávající se zavazuje zahájit diagnostické úkony (jako např. testy, kontrolní měření nebo analýzu dat) </w:t>
      </w:r>
      <w:r>
        <w:rPr>
          <w:rFonts w:ascii="Arial" w:eastAsia="Arial" w:hAnsi="Arial" w:cs="Arial"/>
          <w:sz w:val="20"/>
          <w:szCs w:val="20"/>
        </w:rPr>
        <w:t>směřující k odstranění vady nejpozději do 2 (slovy: dvou) pracovních dnů od doručení reklamace. Prodávající se zavazuje prověřit reklamaci, oznámit kupujícímu, zda reklamaci uznává, a dohodnout termín odstranění závady (termín pro odstranění vady bude vždy</w:t>
      </w:r>
      <w:r>
        <w:rPr>
          <w:rFonts w:ascii="Arial" w:eastAsia="Arial" w:hAnsi="Arial" w:cs="Arial"/>
          <w:sz w:val="20"/>
          <w:szCs w:val="20"/>
        </w:rPr>
        <w:t xml:space="preserve"> dohodnut písemně) do 5 (slovy: pěti) pracovních dnů od doručení reklamace. Pokud tak prodávající v uvedené lhůtě neučiní, má se zato, že reklamaci uznává a odstraní ji nejpozději ve lhůtě dle písm. f) tohoto odstavce smlouvy.</w:t>
      </w:r>
    </w:p>
    <w:p w:rsidR="00B45E65" w:rsidRDefault="00B45E65">
      <w:pPr>
        <w:spacing w:line="73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25"/>
        </w:numPr>
        <w:tabs>
          <w:tab w:val="left" w:pos="561"/>
        </w:tabs>
        <w:spacing w:line="261" w:lineRule="auto"/>
        <w:ind w:left="561" w:right="960" w:hanging="2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Uplatněná práva kupujícího z</w:t>
      </w:r>
      <w:r>
        <w:rPr>
          <w:rFonts w:ascii="Arial" w:eastAsia="Arial" w:hAnsi="Arial" w:cs="Arial"/>
          <w:sz w:val="20"/>
          <w:szCs w:val="20"/>
        </w:rPr>
        <w:t xml:space="preserve"> vadného plnění se prodávající zavazuje plně uspokojit bezodkladně, nejpozději však do 10 (slovy: deseti) dnů ode dne doručení reklamace, nebude-li mezi prodávajícím a kupujícím dohodnuto jinak.</w:t>
      </w:r>
    </w:p>
    <w:p w:rsidR="00B45E65" w:rsidRDefault="00B45E65">
      <w:pPr>
        <w:spacing w:line="61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25"/>
        </w:numPr>
        <w:tabs>
          <w:tab w:val="left" w:pos="561"/>
        </w:tabs>
        <w:spacing w:line="248" w:lineRule="auto"/>
        <w:ind w:left="561" w:right="980" w:hanging="2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Pokud prodávající reklamaci neuzná, může být její oprávněnos</w:t>
      </w:r>
      <w:r>
        <w:rPr>
          <w:rFonts w:ascii="Arial" w:eastAsia="Arial" w:hAnsi="Arial" w:cs="Arial"/>
          <w:sz w:val="20"/>
          <w:szCs w:val="20"/>
        </w:rPr>
        <w:t>t ověřena znaleckým posudkem, který obstará kupující. V případě, že reklamace bude tímto znaleckým posudkem označena jako oprávněná, ponese prodávající i náklady na vyhodnocení znaleckého posudku. Právo z vadného plnění vzniká i v tomto případě doručením r</w:t>
      </w:r>
      <w:r>
        <w:rPr>
          <w:rFonts w:ascii="Arial" w:eastAsia="Arial" w:hAnsi="Arial" w:cs="Arial"/>
          <w:sz w:val="20"/>
          <w:szCs w:val="20"/>
        </w:rPr>
        <w:t>eklamace prodávajícímu. Prokáže-li se, že kupující reklamoval neoprávněně, je povinen uhradit prodávajícímu prokazatelně a účelně vynaložené náklady na odstranění vady.</w:t>
      </w:r>
    </w:p>
    <w:p w:rsidR="00B45E65" w:rsidRDefault="00B45E65">
      <w:pPr>
        <w:spacing w:line="74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0"/>
          <w:numId w:val="26"/>
        </w:numPr>
        <w:tabs>
          <w:tab w:val="left" w:pos="281"/>
        </w:tabs>
        <w:spacing w:line="309" w:lineRule="auto"/>
        <w:ind w:left="281" w:right="980" w:hanging="281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Při odstraňování vad se prodávající zavazuje poskytovat kupujícímu veškerou potřebnou </w:t>
      </w:r>
      <w:r>
        <w:rPr>
          <w:rFonts w:ascii="Arial" w:eastAsia="Arial" w:hAnsi="Arial" w:cs="Arial"/>
          <w:sz w:val="19"/>
          <w:szCs w:val="19"/>
        </w:rPr>
        <w:t>součinnost. Nebude-li mezi prodávajícím a kupujícím dohodnuto jinak, pak je prodávající povinen zejména:</w:t>
      </w:r>
    </w:p>
    <w:p w:rsidR="00B45E65" w:rsidRDefault="00B45E65">
      <w:pPr>
        <w:spacing w:line="15" w:lineRule="exact"/>
        <w:rPr>
          <w:rFonts w:ascii="Arial Narrow" w:eastAsia="Arial Narrow" w:hAnsi="Arial Narrow" w:cs="Arial Narrow"/>
          <w:sz w:val="19"/>
          <w:szCs w:val="19"/>
        </w:rPr>
      </w:pPr>
    </w:p>
    <w:p w:rsidR="00B45E65" w:rsidRDefault="00E917A2">
      <w:pPr>
        <w:numPr>
          <w:ilvl w:val="1"/>
          <w:numId w:val="26"/>
        </w:numPr>
        <w:tabs>
          <w:tab w:val="left" w:pos="561"/>
        </w:tabs>
        <w:spacing w:line="282" w:lineRule="auto"/>
        <w:ind w:left="561" w:right="960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věc, jejíž vada má být odstraněna opravou, převzít k opravě v místě, kde byla kupujícímu odevzdána, a po provedení opravy opravenou věc opět v tomto m</w:t>
      </w:r>
      <w:r>
        <w:rPr>
          <w:rFonts w:ascii="Arial" w:eastAsia="Arial" w:hAnsi="Arial" w:cs="Arial"/>
          <w:sz w:val="20"/>
          <w:szCs w:val="20"/>
        </w:rPr>
        <w:t>ístě předat kupujícímu, a</w:t>
      </w:r>
    </w:p>
    <w:p w:rsidR="00B45E65" w:rsidRDefault="00B45E65">
      <w:pPr>
        <w:spacing w:line="40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26"/>
        </w:numPr>
        <w:tabs>
          <w:tab w:val="left" w:pos="561"/>
        </w:tabs>
        <w:spacing w:line="282" w:lineRule="auto"/>
        <w:ind w:left="561" w:right="980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 případě odstranění vady dodáním nové věci dodat novou věc na tutéž adresu, kde byla kupujícímu odevzdána nahrazovaná věc.</w:t>
      </w:r>
    </w:p>
    <w:p w:rsidR="00B45E65" w:rsidRDefault="00B45E65">
      <w:pPr>
        <w:spacing w:line="28" w:lineRule="exact"/>
        <w:rPr>
          <w:sz w:val="20"/>
          <w:szCs w:val="20"/>
        </w:rPr>
      </w:pPr>
    </w:p>
    <w:p w:rsidR="00B45E65" w:rsidRDefault="00E917A2">
      <w:pPr>
        <w:spacing w:line="325" w:lineRule="auto"/>
        <w:ind w:left="281" w:right="960"/>
        <w:rPr>
          <w:sz w:val="20"/>
          <w:szCs w:val="20"/>
        </w:rPr>
      </w:pPr>
      <w:r>
        <w:rPr>
          <w:rFonts w:ascii="Arial Narrow" w:eastAsia="Arial Narrow" w:hAnsi="Arial Narrow" w:cs="Arial Narrow"/>
        </w:rPr>
        <w:t xml:space="preserve">Převzetí věci k odstranění vad a následně předání věci po odstranění vad proběhne vždy v pracovní dny v </w:t>
      </w:r>
      <w:r>
        <w:rPr>
          <w:rFonts w:ascii="Arial Narrow" w:eastAsia="Arial Narrow" w:hAnsi="Arial Narrow" w:cs="Arial Narrow"/>
        </w:rPr>
        <w:t>době od 9:00 do 17:00, nebude-li mezi prodávajícím a kupujícím dohodnuto jinak.</w:t>
      </w:r>
    </w:p>
    <w:p w:rsidR="00B45E65" w:rsidRDefault="00B45E65">
      <w:pPr>
        <w:spacing w:line="367" w:lineRule="exact"/>
        <w:rPr>
          <w:sz w:val="20"/>
          <w:szCs w:val="20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3560"/>
        <w:gridCol w:w="20"/>
      </w:tblGrid>
      <w:tr w:rsidR="00B45E65">
        <w:trPr>
          <w:trHeight w:val="187"/>
        </w:trPr>
        <w:tc>
          <w:tcPr>
            <w:tcW w:w="648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CEITEC – Central European Institute of Technology</w:t>
            </w:r>
          </w:p>
        </w:tc>
        <w:tc>
          <w:tcPr>
            <w:tcW w:w="3560" w:type="dxa"/>
            <w:vAlign w:val="bottom"/>
          </w:tcPr>
          <w:p w:rsidR="00B45E65" w:rsidRDefault="00B45E6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85"/>
        </w:trPr>
        <w:tc>
          <w:tcPr>
            <w:tcW w:w="648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Masaryk University</w:t>
            </w:r>
          </w:p>
        </w:tc>
        <w:tc>
          <w:tcPr>
            <w:tcW w:w="3560" w:type="dxa"/>
            <w:vAlign w:val="bottom"/>
          </w:tcPr>
          <w:p w:rsidR="00B45E65" w:rsidRDefault="00B45E6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83"/>
        </w:trPr>
        <w:tc>
          <w:tcPr>
            <w:tcW w:w="648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Kamenice 753/5, 625 00 Brno, Czech Republic</w:t>
            </w:r>
          </w:p>
        </w:tc>
        <w:tc>
          <w:tcPr>
            <w:tcW w:w="3560" w:type="dxa"/>
            <w:vAlign w:val="bottom"/>
          </w:tcPr>
          <w:p w:rsidR="00B45E65" w:rsidRDefault="00B45E6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98"/>
        </w:trPr>
        <w:tc>
          <w:tcPr>
            <w:tcW w:w="648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1A9C0"/>
                <w:sz w:val="14"/>
                <w:szCs w:val="14"/>
              </w:rPr>
              <w:t>www.ceitec.eu</w:t>
            </w:r>
          </w:p>
        </w:tc>
        <w:tc>
          <w:tcPr>
            <w:tcW w:w="3560" w:type="dxa"/>
            <w:vMerge w:val="restart"/>
            <w:vAlign w:val="bottom"/>
          </w:tcPr>
          <w:p w:rsidR="00B45E65" w:rsidRDefault="00E917A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10/20</w:t>
            </w: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03"/>
        </w:trPr>
        <w:tc>
          <w:tcPr>
            <w:tcW w:w="6480" w:type="dxa"/>
            <w:vAlign w:val="bottom"/>
          </w:tcPr>
          <w:p w:rsidR="00B45E65" w:rsidRDefault="00B45E65">
            <w:pPr>
              <w:rPr>
                <w:sz w:val="8"/>
                <w:szCs w:val="8"/>
              </w:rPr>
            </w:pPr>
          </w:p>
        </w:tc>
        <w:tc>
          <w:tcPr>
            <w:tcW w:w="3560" w:type="dxa"/>
            <w:vMerge/>
            <w:vAlign w:val="bottom"/>
          </w:tcPr>
          <w:p w:rsidR="00B45E65" w:rsidRDefault="00B45E6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</w:tbl>
    <w:p w:rsidR="00B45E65" w:rsidRDefault="00E917A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5085715</wp:posOffset>
            </wp:positionH>
            <wp:positionV relativeFrom="paragraph">
              <wp:posOffset>-535940</wp:posOffset>
            </wp:positionV>
            <wp:extent cx="903605" cy="25908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25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5E65" w:rsidRDefault="00B45E65">
      <w:pPr>
        <w:sectPr w:rsidR="00B45E65">
          <w:pgSz w:w="11920" w:h="16845"/>
          <w:pgMar w:top="1440" w:right="450" w:bottom="48" w:left="1419" w:header="0" w:footer="0" w:gutter="0"/>
          <w:cols w:space="708" w:equalWidth="0">
            <w:col w:w="10041"/>
          </w:cols>
        </w:sectPr>
      </w:pPr>
    </w:p>
    <w:p w:rsidR="00B45E65" w:rsidRDefault="00E917A2">
      <w:pPr>
        <w:spacing w:line="200" w:lineRule="exact"/>
        <w:rPr>
          <w:sz w:val="20"/>
          <w:szCs w:val="20"/>
        </w:rPr>
      </w:pPr>
      <w:bookmarkStart w:id="10" w:name="page11"/>
      <w:bookmarkEnd w:id="10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4384" behindDoc="1" locked="0" layoutInCell="0" allowOverlap="1">
            <wp:simplePos x="0" y="0"/>
            <wp:positionH relativeFrom="page">
              <wp:posOffset>5598795</wp:posOffset>
            </wp:positionH>
            <wp:positionV relativeFrom="page">
              <wp:posOffset>0</wp:posOffset>
            </wp:positionV>
            <wp:extent cx="1959610" cy="199072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199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5" w:lineRule="exact"/>
        <w:rPr>
          <w:sz w:val="20"/>
          <w:szCs w:val="20"/>
        </w:rPr>
      </w:pPr>
    </w:p>
    <w:p w:rsidR="00B45E65" w:rsidRDefault="00E917A2">
      <w:pPr>
        <w:numPr>
          <w:ilvl w:val="0"/>
          <w:numId w:val="27"/>
        </w:numPr>
        <w:tabs>
          <w:tab w:val="left" w:pos="281"/>
        </w:tabs>
        <w:ind w:left="281" w:hanging="2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Záruční servis</w:t>
      </w:r>
    </w:p>
    <w:p w:rsidR="00B45E65" w:rsidRDefault="00B45E65">
      <w:pPr>
        <w:spacing w:line="111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1"/>
          <w:numId w:val="27"/>
        </w:numPr>
        <w:tabs>
          <w:tab w:val="left" w:pos="721"/>
        </w:tabs>
        <w:spacing w:line="264" w:lineRule="auto"/>
        <w:ind w:left="721" w:right="960" w:hanging="364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Prodávající je povinen v průběhu záruční doby provádět bezplatně veškeré servisní úkony, jejichž provedením podmiňuje platnost záruky. Termíny servisních úkonů budou stanoveny dle provozních možností kupujícího.</w:t>
      </w:r>
    </w:p>
    <w:p w:rsidR="00B45E65" w:rsidRDefault="00B45E65">
      <w:pPr>
        <w:spacing w:line="42" w:lineRule="exact"/>
        <w:rPr>
          <w:rFonts w:ascii="Arial Narrow" w:eastAsia="Arial Narrow" w:hAnsi="Arial Narrow" w:cs="Arial Narrow"/>
        </w:rPr>
      </w:pPr>
    </w:p>
    <w:p w:rsidR="00B45E65" w:rsidRDefault="00E917A2">
      <w:pPr>
        <w:numPr>
          <w:ilvl w:val="1"/>
          <w:numId w:val="27"/>
        </w:numPr>
        <w:tabs>
          <w:tab w:val="left" w:pos="721"/>
        </w:tabs>
        <w:spacing w:line="265" w:lineRule="auto"/>
        <w:ind w:left="721" w:right="960" w:hanging="364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Prodávající je povinen v </w:t>
      </w:r>
      <w:r>
        <w:rPr>
          <w:rFonts w:ascii="Arial Narrow" w:eastAsia="Arial Narrow" w:hAnsi="Arial Narrow" w:cs="Arial Narrow"/>
        </w:rPr>
        <w:t xml:space="preserve">průběhu záruční doby provést alespoň jednou ročně bezplatnou servisní prohlídku věci. Servisní prohlídka bude zahrnovat základní servisní úkony, zejména seřízení, odzkoušení a ověření správné funkčnosti věci tak, aby věc mohla nadále spolehlivě plnit svůj </w:t>
      </w:r>
      <w:r>
        <w:rPr>
          <w:rFonts w:ascii="Arial Narrow" w:eastAsia="Arial Narrow" w:hAnsi="Arial Narrow" w:cs="Arial Narrow"/>
        </w:rPr>
        <w:t>účel.</w:t>
      </w:r>
    </w:p>
    <w:p w:rsidR="00B45E65" w:rsidRDefault="00B45E65">
      <w:pPr>
        <w:spacing w:line="55" w:lineRule="exact"/>
        <w:rPr>
          <w:rFonts w:ascii="Arial Narrow" w:eastAsia="Arial Narrow" w:hAnsi="Arial Narrow" w:cs="Arial Narrow"/>
        </w:rPr>
      </w:pPr>
    </w:p>
    <w:p w:rsidR="00B45E65" w:rsidRDefault="00E917A2">
      <w:pPr>
        <w:numPr>
          <w:ilvl w:val="0"/>
          <w:numId w:val="27"/>
        </w:numPr>
        <w:tabs>
          <w:tab w:val="left" w:pos="281"/>
        </w:tabs>
        <w:spacing w:line="283" w:lineRule="auto"/>
        <w:ind w:left="281" w:right="980" w:hanging="2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Smluvní strany sjednávají, že záruku za jakost nijak neovlivňují běžné servisní úkony prováděné přímo kupujícím bez přítomnosti prodávajícího, pokud jsou prováděny v souladu s doklady k věci.</w:t>
      </w:r>
    </w:p>
    <w:p w:rsidR="00B45E65" w:rsidRDefault="00B45E65">
      <w:pPr>
        <w:spacing w:line="35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0"/>
          <w:numId w:val="27"/>
        </w:numPr>
        <w:tabs>
          <w:tab w:val="left" w:pos="281"/>
        </w:tabs>
        <w:ind w:left="281" w:hanging="2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Stavení záruční doby</w:t>
      </w:r>
    </w:p>
    <w:p w:rsidR="00B45E65" w:rsidRDefault="00B45E65">
      <w:pPr>
        <w:spacing w:line="108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spacing w:line="325" w:lineRule="auto"/>
        <w:ind w:left="281" w:right="96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</w:rPr>
        <w:t xml:space="preserve">Záruční doba věci neběží od </w:t>
      </w:r>
      <w:r>
        <w:rPr>
          <w:rFonts w:ascii="Arial Narrow" w:eastAsia="Arial Narrow" w:hAnsi="Arial Narrow" w:cs="Arial Narrow"/>
        </w:rPr>
        <w:t>okamžiku reklamace až do dne odstranění vady, příp. do dne uhrazení přiměřené slevy z kupní ceny.</w:t>
      </w: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47" w:lineRule="exact"/>
        <w:rPr>
          <w:sz w:val="20"/>
          <w:szCs w:val="20"/>
        </w:rPr>
      </w:pPr>
    </w:p>
    <w:p w:rsidR="00B45E65" w:rsidRDefault="00E917A2">
      <w:pPr>
        <w:ind w:left="4181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VIII.</w:t>
      </w:r>
    </w:p>
    <w:p w:rsidR="00B45E65" w:rsidRDefault="00B45E65">
      <w:pPr>
        <w:spacing w:line="120" w:lineRule="exact"/>
        <w:rPr>
          <w:sz w:val="20"/>
          <w:szCs w:val="20"/>
        </w:rPr>
      </w:pPr>
    </w:p>
    <w:p w:rsidR="00B45E65" w:rsidRDefault="00E917A2">
      <w:pPr>
        <w:ind w:left="2901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Smluvní pokuty a náhrada škody</w:t>
      </w: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390" w:lineRule="exact"/>
        <w:rPr>
          <w:sz w:val="20"/>
          <w:szCs w:val="20"/>
        </w:rPr>
      </w:pPr>
    </w:p>
    <w:p w:rsidR="00B45E65" w:rsidRDefault="00E917A2">
      <w:pPr>
        <w:numPr>
          <w:ilvl w:val="0"/>
          <w:numId w:val="28"/>
        </w:numPr>
        <w:tabs>
          <w:tab w:val="left" w:pos="281"/>
        </w:tabs>
        <w:spacing w:line="261" w:lineRule="auto"/>
        <w:ind w:left="281" w:right="980" w:hanging="281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 případě prodlení prodávajícího oproti lhůtě pro odevzdání věcí dle ust. čl. V. odst. 1) písm. a) bod 1. smlouvy </w:t>
      </w:r>
      <w:r>
        <w:rPr>
          <w:rFonts w:ascii="Arial" w:eastAsia="Arial" w:hAnsi="Arial" w:cs="Arial"/>
          <w:sz w:val="20"/>
          <w:szCs w:val="20"/>
        </w:rPr>
        <w:t>se prodávající zavazuje kupujícímu zaplatit za každý započatý den prodlení smluvní pokutu ve výši 0,1 (slovy: nulacelájednadesetina) % z kupní ceny bez DPH.</w:t>
      </w:r>
    </w:p>
    <w:p w:rsidR="00B45E65" w:rsidRDefault="00B45E65">
      <w:pPr>
        <w:spacing w:line="60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0"/>
          <w:numId w:val="28"/>
        </w:numPr>
        <w:tabs>
          <w:tab w:val="left" w:pos="281"/>
        </w:tabs>
        <w:spacing w:line="250" w:lineRule="auto"/>
        <w:ind w:left="281" w:right="980" w:hanging="281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 případě prodlení prodávajícího oproti lhůtě dle ust. čl. V. odst. 4) písm. d) bod 2. smlouvy se </w:t>
      </w:r>
      <w:r>
        <w:rPr>
          <w:rFonts w:ascii="Arial" w:eastAsia="Arial" w:hAnsi="Arial" w:cs="Arial"/>
          <w:sz w:val="20"/>
          <w:szCs w:val="20"/>
        </w:rPr>
        <w:t>prodávající zavazuje kupujícímu zaplatit za každý započatý den prodlení smluvní pokutu ve výši 0,05 (slovy: nulacelápětsetin) % z kupní ceny bez DPH, a to za každou vadu či chybějící věc, ve vztahu k nimž je v prodlení, celkem však za všechny takové případ</w:t>
      </w:r>
      <w:r>
        <w:rPr>
          <w:rFonts w:ascii="Arial" w:eastAsia="Arial" w:hAnsi="Arial" w:cs="Arial"/>
          <w:sz w:val="20"/>
          <w:szCs w:val="20"/>
        </w:rPr>
        <w:t>y nejvýše 5 (slovy: pět) % z kupní ceny bez DPH.</w:t>
      </w:r>
    </w:p>
    <w:p w:rsidR="00B45E65" w:rsidRDefault="00B45E65">
      <w:pPr>
        <w:spacing w:line="71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0"/>
          <w:numId w:val="28"/>
        </w:numPr>
        <w:tabs>
          <w:tab w:val="left" w:pos="281"/>
        </w:tabs>
        <w:spacing w:line="250" w:lineRule="auto"/>
        <w:ind w:left="281" w:right="960" w:hanging="281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Pokud prodávající ve sjednané lhůtě neuspokojí práva kupujícího z vadného plnění v záruční době, zejména ve sjednané lhůtě nezaplatí částku odpovídající požadované slevě z kupní ceny či neodstraní reklamova</w:t>
      </w:r>
      <w:r>
        <w:rPr>
          <w:rFonts w:ascii="Arial" w:eastAsia="Arial" w:hAnsi="Arial" w:cs="Arial"/>
          <w:sz w:val="20"/>
          <w:szCs w:val="20"/>
        </w:rPr>
        <w:t>nou vadu, zavazuje se kupujícímu zaplatit smluvní pokutu ve výši 0,05 % (slovy: nulacelápětsetin procenta) z kupní ceny včetně DPH, a to za každou vadu, ve vztahu k níž je s uspokojením práv kupujícího z vadného plnění v prodlení, a za každý započatý den p</w:t>
      </w:r>
      <w:r>
        <w:rPr>
          <w:rFonts w:ascii="Arial" w:eastAsia="Arial" w:hAnsi="Arial" w:cs="Arial"/>
          <w:sz w:val="20"/>
          <w:szCs w:val="20"/>
        </w:rPr>
        <w:t>rodlení.</w:t>
      </w:r>
    </w:p>
    <w:p w:rsidR="00B45E65" w:rsidRDefault="00B45E65">
      <w:pPr>
        <w:spacing w:line="72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0"/>
          <w:numId w:val="28"/>
        </w:numPr>
        <w:tabs>
          <w:tab w:val="left" w:pos="281"/>
        </w:tabs>
        <w:spacing w:line="261" w:lineRule="auto"/>
        <w:ind w:left="281" w:right="980" w:hanging="281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Pokud je kupující v prodlení s úhradou faktury proti sjednanému termínu, je prodávající oprávněn požadovat po kupujícím zaplacení smluvní pokuty ve výši 0,05 % (slovy: nulacelápětsetin procenta) z dlužné částky za každý i započatý den prodlení.</w:t>
      </w:r>
    </w:p>
    <w:p w:rsidR="00B45E65" w:rsidRDefault="00B45E65">
      <w:pPr>
        <w:spacing w:line="58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0"/>
          <w:numId w:val="28"/>
        </w:numPr>
        <w:tabs>
          <w:tab w:val="left" w:pos="281"/>
        </w:tabs>
        <w:spacing w:line="282" w:lineRule="auto"/>
        <w:ind w:left="281" w:right="980" w:hanging="281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Smluvní pokuty se stávají splatnými dnem následujícím po dni, ve kterém na ně vzniklo právo. Kupující si vyhrazuje právo započíst smluvní pokuty vůči pohledávkám prodávajícího za kupujícím.</w:t>
      </w:r>
    </w:p>
    <w:p w:rsidR="00B45E65" w:rsidRDefault="00B45E65">
      <w:pPr>
        <w:spacing w:line="40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0"/>
          <w:numId w:val="28"/>
        </w:numPr>
        <w:tabs>
          <w:tab w:val="left" w:pos="281"/>
        </w:tabs>
        <w:spacing w:line="261" w:lineRule="auto"/>
        <w:ind w:left="281" w:right="980" w:hanging="281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Zaplacením smluvní pokuty není dotčen nárok kupujícího na náhradu</w:t>
      </w:r>
      <w:r>
        <w:rPr>
          <w:rFonts w:ascii="Arial" w:eastAsia="Arial" w:hAnsi="Arial" w:cs="Arial"/>
          <w:sz w:val="20"/>
          <w:szCs w:val="20"/>
        </w:rPr>
        <w:t xml:space="preserve"> škody způsobené mu porušením povinnosti prodávajícího, ke které se vztahuje smluvní pokuta. To platí i tehdy, bude-li smluvní pokuta snížena rozhodnutím soudu.</w:t>
      </w:r>
    </w:p>
    <w:p w:rsidR="00B45E65" w:rsidRDefault="00B45E65">
      <w:pPr>
        <w:sectPr w:rsidR="00B45E65">
          <w:pgSz w:w="11920" w:h="16845"/>
          <w:pgMar w:top="1440" w:right="450" w:bottom="48" w:left="1419" w:header="0" w:footer="0" w:gutter="0"/>
          <w:cols w:space="708" w:equalWidth="0">
            <w:col w:w="10041"/>
          </w:cols>
        </w:sect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314" w:lineRule="exact"/>
        <w:rPr>
          <w:sz w:val="20"/>
          <w:szCs w:val="20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3560"/>
        <w:gridCol w:w="20"/>
      </w:tblGrid>
      <w:tr w:rsidR="00B45E65">
        <w:trPr>
          <w:trHeight w:val="187"/>
        </w:trPr>
        <w:tc>
          <w:tcPr>
            <w:tcW w:w="648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CEITEC – Central European Institute of Technology</w:t>
            </w:r>
          </w:p>
        </w:tc>
        <w:tc>
          <w:tcPr>
            <w:tcW w:w="3560" w:type="dxa"/>
            <w:vAlign w:val="bottom"/>
          </w:tcPr>
          <w:p w:rsidR="00B45E65" w:rsidRDefault="00B45E6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85"/>
        </w:trPr>
        <w:tc>
          <w:tcPr>
            <w:tcW w:w="648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Masaryk </w:t>
            </w:r>
            <w:r>
              <w:rPr>
                <w:rFonts w:ascii="Arial" w:eastAsia="Arial" w:hAnsi="Arial" w:cs="Arial"/>
                <w:sz w:val="14"/>
                <w:szCs w:val="14"/>
              </w:rPr>
              <w:t>University</w:t>
            </w:r>
          </w:p>
        </w:tc>
        <w:tc>
          <w:tcPr>
            <w:tcW w:w="3560" w:type="dxa"/>
            <w:vAlign w:val="bottom"/>
          </w:tcPr>
          <w:p w:rsidR="00B45E65" w:rsidRDefault="00B45E6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83"/>
        </w:trPr>
        <w:tc>
          <w:tcPr>
            <w:tcW w:w="648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Kamenice 753/5, 625 00 Brno, Czech Republic</w:t>
            </w:r>
          </w:p>
        </w:tc>
        <w:tc>
          <w:tcPr>
            <w:tcW w:w="3560" w:type="dxa"/>
            <w:vAlign w:val="bottom"/>
          </w:tcPr>
          <w:p w:rsidR="00B45E65" w:rsidRDefault="00B45E6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98"/>
        </w:trPr>
        <w:tc>
          <w:tcPr>
            <w:tcW w:w="648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1A9C0"/>
                <w:sz w:val="14"/>
                <w:szCs w:val="14"/>
              </w:rPr>
              <w:t>www.ceitec.eu</w:t>
            </w:r>
          </w:p>
        </w:tc>
        <w:tc>
          <w:tcPr>
            <w:tcW w:w="3560" w:type="dxa"/>
            <w:vMerge w:val="restart"/>
            <w:vAlign w:val="bottom"/>
          </w:tcPr>
          <w:p w:rsidR="00B45E65" w:rsidRDefault="00E917A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11/20</w:t>
            </w: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03"/>
        </w:trPr>
        <w:tc>
          <w:tcPr>
            <w:tcW w:w="6480" w:type="dxa"/>
            <w:vAlign w:val="bottom"/>
          </w:tcPr>
          <w:p w:rsidR="00B45E65" w:rsidRDefault="00B45E65">
            <w:pPr>
              <w:rPr>
                <w:sz w:val="8"/>
                <w:szCs w:val="8"/>
              </w:rPr>
            </w:pPr>
          </w:p>
        </w:tc>
        <w:tc>
          <w:tcPr>
            <w:tcW w:w="3560" w:type="dxa"/>
            <w:vMerge/>
            <w:vAlign w:val="bottom"/>
          </w:tcPr>
          <w:p w:rsidR="00B45E65" w:rsidRDefault="00B45E6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</w:tbl>
    <w:p w:rsidR="00B45E65" w:rsidRDefault="00E917A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5085715</wp:posOffset>
            </wp:positionH>
            <wp:positionV relativeFrom="paragraph">
              <wp:posOffset>-535940</wp:posOffset>
            </wp:positionV>
            <wp:extent cx="903605" cy="25908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25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5E65" w:rsidRDefault="00B45E65">
      <w:pPr>
        <w:sectPr w:rsidR="00B45E65">
          <w:type w:val="continuous"/>
          <w:pgSz w:w="11920" w:h="16845"/>
          <w:pgMar w:top="1440" w:right="450" w:bottom="48" w:left="1419" w:header="0" w:footer="0" w:gutter="0"/>
          <w:cols w:space="708" w:equalWidth="0">
            <w:col w:w="10041"/>
          </w:cols>
        </w:sectPr>
      </w:pPr>
    </w:p>
    <w:p w:rsidR="00B45E65" w:rsidRDefault="00E917A2">
      <w:pPr>
        <w:spacing w:line="200" w:lineRule="exact"/>
        <w:rPr>
          <w:sz w:val="20"/>
          <w:szCs w:val="20"/>
        </w:rPr>
      </w:pPr>
      <w:bookmarkStart w:id="11" w:name="page12"/>
      <w:bookmarkEnd w:id="11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6432" behindDoc="1" locked="0" layoutInCell="0" allowOverlap="1">
            <wp:simplePos x="0" y="0"/>
            <wp:positionH relativeFrom="page">
              <wp:posOffset>5598795</wp:posOffset>
            </wp:positionH>
            <wp:positionV relativeFrom="page">
              <wp:posOffset>0</wp:posOffset>
            </wp:positionV>
            <wp:extent cx="1959610" cy="199072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199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5" w:lineRule="exact"/>
        <w:rPr>
          <w:sz w:val="20"/>
          <w:szCs w:val="20"/>
        </w:rPr>
      </w:pPr>
    </w:p>
    <w:p w:rsidR="00B45E65" w:rsidRDefault="00E917A2">
      <w:pPr>
        <w:ind w:right="121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IX.</w:t>
      </w:r>
    </w:p>
    <w:p w:rsidR="00B45E65" w:rsidRDefault="00B45E65">
      <w:pPr>
        <w:spacing w:line="120" w:lineRule="exact"/>
        <w:rPr>
          <w:sz w:val="20"/>
          <w:szCs w:val="20"/>
        </w:rPr>
      </w:pPr>
    </w:p>
    <w:p w:rsidR="00B45E65" w:rsidRDefault="00E917A2">
      <w:pPr>
        <w:ind w:right="125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Odstoupení od smlouvy</w:t>
      </w: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390" w:lineRule="exact"/>
        <w:rPr>
          <w:sz w:val="20"/>
          <w:szCs w:val="20"/>
        </w:rPr>
      </w:pPr>
    </w:p>
    <w:p w:rsidR="00B45E65" w:rsidRDefault="00E917A2">
      <w:pPr>
        <w:numPr>
          <w:ilvl w:val="0"/>
          <w:numId w:val="29"/>
        </w:numPr>
        <w:tabs>
          <w:tab w:val="left" w:pos="281"/>
        </w:tabs>
        <w:ind w:left="281" w:hanging="2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 je oprávněn od smlouvy odstoupit v případě podstatného porušení povinností kupujícího.</w:t>
      </w:r>
    </w:p>
    <w:p w:rsidR="00B45E65" w:rsidRDefault="00B45E65">
      <w:pPr>
        <w:spacing w:line="120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0"/>
          <w:numId w:val="29"/>
        </w:numPr>
        <w:tabs>
          <w:tab w:val="left" w:pos="281"/>
        </w:tabs>
        <w:ind w:left="281" w:hanging="2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Kupující </w:t>
      </w:r>
      <w:r>
        <w:rPr>
          <w:rFonts w:ascii="Arial" w:eastAsia="Arial" w:hAnsi="Arial" w:cs="Arial"/>
          <w:sz w:val="20"/>
          <w:szCs w:val="20"/>
        </w:rPr>
        <w:t>je oprávněn od smlouvy odstoupit</w:t>
      </w:r>
    </w:p>
    <w:p w:rsidR="00B45E65" w:rsidRDefault="00B45E65">
      <w:pPr>
        <w:spacing w:line="120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1"/>
          <w:numId w:val="29"/>
        </w:numPr>
        <w:tabs>
          <w:tab w:val="left" w:pos="561"/>
        </w:tabs>
        <w:ind w:left="561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 případě byť nepodstatného porušení smlouvy prodávajícím,</w:t>
      </w:r>
    </w:p>
    <w:p w:rsidR="00B45E65" w:rsidRDefault="00B45E65">
      <w:pPr>
        <w:spacing w:line="118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29"/>
        </w:numPr>
        <w:tabs>
          <w:tab w:val="left" w:pos="561"/>
        </w:tabs>
        <w:spacing w:line="283" w:lineRule="auto"/>
        <w:ind w:left="561" w:right="980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bez zbytečného odkladu poté, co z chování prodávajícího nepochybně vyplyne, že poruší smlouvu podstatným způsobem, a nedá-li na výzvu kupujícího přiměřenou </w:t>
      </w:r>
      <w:r>
        <w:rPr>
          <w:rFonts w:ascii="Arial" w:eastAsia="Arial" w:hAnsi="Arial" w:cs="Arial"/>
          <w:sz w:val="20"/>
          <w:szCs w:val="20"/>
        </w:rPr>
        <w:t>jistotu,</w:t>
      </w:r>
    </w:p>
    <w:p w:rsidR="00B45E65" w:rsidRDefault="00B45E65">
      <w:pPr>
        <w:spacing w:line="39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29"/>
        </w:numPr>
        <w:tabs>
          <w:tab w:val="left" w:pos="561"/>
        </w:tabs>
        <w:spacing w:line="282" w:lineRule="auto"/>
        <w:ind w:left="561" w:right="980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 případě vydání rozhodnutí o úpadku prodávajícího dle § 136 zákona č. 182/2006 Sb., o úpadku a způsobech jeho řešení (insolvenční zákon), ve znění pozdějších předpisů,</w:t>
      </w:r>
    </w:p>
    <w:p w:rsidR="00B45E65" w:rsidRDefault="00B45E65">
      <w:pPr>
        <w:spacing w:line="40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29"/>
        </w:numPr>
        <w:tabs>
          <w:tab w:val="left" w:pos="561"/>
        </w:tabs>
        <w:spacing w:line="260" w:lineRule="auto"/>
        <w:ind w:left="561" w:right="980" w:hanging="2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 případě, že prodávající v nabídce podané do zadávacího řízení k veřejné za</w:t>
      </w:r>
      <w:r>
        <w:rPr>
          <w:rFonts w:ascii="Arial" w:eastAsia="Arial" w:hAnsi="Arial" w:cs="Arial"/>
          <w:sz w:val="20"/>
          <w:szCs w:val="20"/>
        </w:rPr>
        <w:t>kázce uvedl informace nebo předložil doklady, které neodpovídají skutečnosti a měly nebo mohly mít vliv na výsledek tohoto zadávacího řízení,</w:t>
      </w:r>
    </w:p>
    <w:p w:rsidR="00B45E65" w:rsidRDefault="00B45E65">
      <w:pPr>
        <w:spacing w:line="61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29"/>
        </w:numPr>
        <w:tabs>
          <w:tab w:val="left" w:pos="561"/>
        </w:tabs>
        <w:spacing w:line="282" w:lineRule="auto"/>
        <w:ind w:left="561" w:right="980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 případě, že bude pozastaveno nebo ukončeno poskytování dotačních prostředků čerpaných na realizaci předmětu sml</w:t>
      </w:r>
      <w:r>
        <w:rPr>
          <w:rFonts w:ascii="Arial" w:eastAsia="Arial" w:hAnsi="Arial" w:cs="Arial"/>
          <w:sz w:val="20"/>
          <w:szCs w:val="20"/>
        </w:rPr>
        <w:t>ouvy z projektu,</w:t>
      </w:r>
    </w:p>
    <w:p w:rsidR="00B45E65" w:rsidRDefault="00B45E65">
      <w:pPr>
        <w:spacing w:line="40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29"/>
        </w:numPr>
        <w:tabs>
          <w:tab w:val="left" w:pos="561"/>
        </w:tabs>
        <w:spacing w:line="261" w:lineRule="auto"/>
        <w:ind w:left="561" w:right="980" w:hanging="2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 případě, že výdaje, které by mu na základě smlouvy měly vzniknout, budou poskytovatelem dotačních prostředků, případně jiným oprávněným správním orgánem označeny za nezpůsobilé k proplacení z dotačních prostředků projektu.</w:t>
      </w:r>
    </w:p>
    <w:p w:rsidR="00B45E65" w:rsidRDefault="00B45E65">
      <w:pPr>
        <w:spacing w:line="58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0"/>
          <w:numId w:val="29"/>
        </w:numPr>
        <w:tabs>
          <w:tab w:val="left" w:pos="281"/>
        </w:tabs>
        <w:spacing w:line="254" w:lineRule="auto"/>
        <w:ind w:left="281" w:right="980" w:hanging="281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Smluvní </w:t>
      </w:r>
      <w:r>
        <w:rPr>
          <w:rFonts w:ascii="Arial" w:eastAsia="Arial" w:hAnsi="Arial" w:cs="Arial"/>
          <w:sz w:val="20"/>
          <w:szCs w:val="20"/>
        </w:rPr>
        <w:t>strany sjednávají, že za podstatné porušení smlouvy se mimo výslovně uvedených případů považuje rovněž takové porušení povinnosti smluvní strany, o němž již při uzavření smlouvy věděla nebo musela vědět, že by druhá smluvní strana smlouvu neuzavřela, pokud</w:t>
      </w:r>
      <w:r>
        <w:rPr>
          <w:rFonts w:ascii="Arial" w:eastAsia="Arial" w:hAnsi="Arial" w:cs="Arial"/>
          <w:sz w:val="20"/>
          <w:szCs w:val="20"/>
        </w:rPr>
        <w:t xml:space="preserve"> by toto porušení předvídala.</w:t>
      </w:r>
    </w:p>
    <w:p w:rsidR="00B45E65" w:rsidRDefault="00B45E65">
      <w:pPr>
        <w:spacing w:line="65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0"/>
          <w:numId w:val="29"/>
        </w:numPr>
        <w:tabs>
          <w:tab w:val="left" w:pos="281"/>
        </w:tabs>
        <w:spacing w:line="282" w:lineRule="auto"/>
        <w:ind w:left="281" w:right="980" w:hanging="2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Odstoupení od smlouvy musí být provedeno písemně, jinak je neplatné. Odstoupení od smlouvy je účinné doručením písemného oznámení o odstoupení od smlouvy druhé smluvní straně.</w:t>
      </w: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52" w:lineRule="exact"/>
        <w:rPr>
          <w:sz w:val="20"/>
          <w:szCs w:val="20"/>
        </w:rPr>
      </w:pPr>
    </w:p>
    <w:p w:rsidR="00B45E65" w:rsidRDefault="00E917A2">
      <w:pPr>
        <w:ind w:right="115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X.</w:t>
      </w:r>
    </w:p>
    <w:p w:rsidR="00B45E65" w:rsidRDefault="00B45E65">
      <w:pPr>
        <w:spacing w:line="120" w:lineRule="exact"/>
        <w:rPr>
          <w:sz w:val="20"/>
          <w:szCs w:val="20"/>
        </w:rPr>
      </w:pPr>
    </w:p>
    <w:p w:rsidR="00B45E65" w:rsidRDefault="00E917A2">
      <w:pPr>
        <w:ind w:right="97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Dodatky a změny smlouvy; kontaktní osoby</w:t>
      </w: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391" w:lineRule="exact"/>
        <w:rPr>
          <w:sz w:val="20"/>
          <w:szCs w:val="20"/>
        </w:rPr>
      </w:pPr>
    </w:p>
    <w:p w:rsidR="00B45E65" w:rsidRDefault="00E917A2">
      <w:pPr>
        <w:numPr>
          <w:ilvl w:val="0"/>
          <w:numId w:val="30"/>
        </w:numPr>
        <w:tabs>
          <w:tab w:val="left" w:pos="281"/>
        </w:tabs>
        <w:spacing w:line="254" w:lineRule="auto"/>
        <w:ind w:left="281" w:right="980" w:hanging="281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Tuto smlouvu lze měnit nebo doplnit pouze písemnými průběžně číslovanými dodatky podepsanými oběma smluvními stranami. Předloží-li některá ze smluvních stran návrh dodatku, je druhá smluvní strana povinna se k takovému návrhu vyjádřit do 15 (slovy: patná</w:t>
      </w:r>
      <w:r>
        <w:rPr>
          <w:rFonts w:ascii="Arial" w:eastAsia="Arial" w:hAnsi="Arial" w:cs="Arial"/>
          <w:sz w:val="20"/>
          <w:szCs w:val="20"/>
        </w:rPr>
        <w:t>cti) dnů ode dne následujícího po doručení návrhu dodatku.</w:t>
      </w:r>
    </w:p>
    <w:p w:rsidR="00B45E65" w:rsidRDefault="00B45E65">
      <w:pPr>
        <w:spacing w:line="68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0"/>
          <w:numId w:val="30"/>
        </w:numPr>
        <w:tabs>
          <w:tab w:val="left" w:pos="281"/>
        </w:tabs>
        <w:spacing w:line="260" w:lineRule="auto"/>
        <w:ind w:left="281" w:right="980" w:hanging="281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Pouze to, co se uvozuje nebo k čemu se dodává „nebude-li mezi prodávajícím a kupujícím dohodnuto jinak“, může být smluvními stranami dohodnuto i ústně. Má se za to, že osobami oprávněnými k takové</w:t>
      </w:r>
      <w:r>
        <w:rPr>
          <w:rFonts w:ascii="Arial" w:eastAsia="Arial" w:hAnsi="Arial" w:cs="Arial"/>
          <w:sz w:val="20"/>
          <w:szCs w:val="20"/>
        </w:rPr>
        <w:t xml:space="preserve"> dohodě za smluvní strany jsou i jejich kontaktní osoby.</w:t>
      </w:r>
    </w:p>
    <w:p w:rsidR="00B45E65" w:rsidRDefault="00B45E65">
      <w:pPr>
        <w:spacing w:line="57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0"/>
          <w:numId w:val="30"/>
        </w:numPr>
        <w:tabs>
          <w:tab w:val="left" w:pos="281"/>
        </w:tabs>
        <w:ind w:left="281" w:hanging="2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Kontaktní osoby smluvních stran</w:t>
      </w:r>
    </w:p>
    <w:p w:rsidR="00B45E65" w:rsidRDefault="00B45E65">
      <w:pPr>
        <w:spacing w:line="124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ind w:left="2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Kontaktní osoby smluvních stran uvedené v této smlouvě jsou oprávněny</w:t>
      </w:r>
    </w:p>
    <w:p w:rsidR="00B45E65" w:rsidRDefault="00B45E65">
      <w:pPr>
        <w:spacing w:line="178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1"/>
          <w:numId w:val="30"/>
        </w:numPr>
        <w:tabs>
          <w:tab w:val="left" w:pos="561"/>
        </w:tabs>
        <w:spacing w:line="282" w:lineRule="auto"/>
        <w:ind w:left="561" w:right="980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vést vzájemnou komunikaci smluvních stran, zejména odesílat a přijímat oznámení a jiná sdělení</w:t>
      </w:r>
      <w:r>
        <w:rPr>
          <w:rFonts w:ascii="Arial" w:eastAsia="Arial" w:hAnsi="Arial" w:cs="Arial"/>
          <w:sz w:val="20"/>
          <w:szCs w:val="20"/>
        </w:rPr>
        <w:t xml:space="preserve"> na základě této smlouvy, a</w:t>
      </w:r>
    </w:p>
    <w:p w:rsidR="00B45E65" w:rsidRDefault="00B45E65">
      <w:pPr>
        <w:spacing w:line="40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30"/>
        </w:numPr>
        <w:tabs>
          <w:tab w:val="left" w:pos="561"/>
        </w:tabs>
        <w:ind w:left="561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jednat za smluvní strany v záležitostech, které jsou jim touto smlouvou výslovně svěřeny.</w:t>
      </w: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329" w:lineRule="exact"/>
        <w:rPr>
          <w:sz w:val="20"/>
          <w:szCs w:val="20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3560"/>
        <w:gridCol w:w="20"/>
      </w:tblGrid>
      <w:tr w:rsidR="00B45E65">
        <w:trPr>
          <w:trHeight w:val="187"/>
        </w:trPr>
        <w:tc>
          <w:tcPr>
            <w:tcW w:w="648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CEITEC – Central European Institute of Technology</w:t>
            </w:r>
          </w:p>
        </w:tc>
        <w:tc>
          <w:tcPr>
            <w:tcW w:w="3560" w:type="dxa"/>
            <w:vAlign w:val="bottom"/>
          </w:tcPr>
          <w:p w:rsidR="00B45E65" w:rsidRDefault="00B45E6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85"/>
        </w:trPr>
        <w:tc>
          <w:tcPr>
            <w:tcW w:w="648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Masaryk University</w:t>
            </w:r>
          </w:p>
        </w:tc>
        <w:tc>
          <w:tcPr>
            <w:tcW w:w="3560" w:type="dxa"/>
            <w:vAlign w:val="bottom"/>
          </w:tcPr>
          <w:p w:rsidR="00B45E65" w:rsidRDefault="00B45E6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83"/>
        </w:trPr>
        <w:tc>
          <w:tcPr>
            <w:tcW w:w="648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Kamenice 753/5, 625 00 Brno, Czech Republic</w:t>
            </w:r>
          </w:p>
        </w:tc>
        <w:tc>
          <w:tcPr>
            <w:tcW w:w="3560" w:type="dxa"/>
            <w:vAlign w:val="bottom"/>
          </w:tcPr>
          <w:p w:rsidR="00B45E65" w:rsidRDefault="00B45E6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98"/>
        </w:trPr>
        <w:tc>
          <w:tcPr>
            <w:tcW w:w="648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1A9C0"/>
                <w:sz w:val="14"/>
                <w:szCs w:val="14"/>
              </w:rPr>
              <w:t>www.ceitec.eu</w:t>
            </w:r>
          </w:p>
        </w:tc>
        <w:tc>
          <w:tcPr>
            <w:tcW w:w="3560" w:type="dxa"/>
            <w:vMerge w:val="restart"/>
            <w:vAlign w:val="bottom"/>
          </w:tcPr>
          <w:p w:rsidR="00B45E65" w:rsidRDefault="00E917A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12/20</w:t>
            </w: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03"/>
        </w:trPr>
        <w:tc>
          <w:tcPr>
            <w:tcW w:w="6480" w:type="dxa"/>
            <w:vAlign w:val="bottom"/>
          </w:tcPr>
          <w:p w:rsidR="00B45E65" w:rsidRDefault="00B45E65">
            <w:pPr>
              <w:rPr>
                <w:sz w:val="8"/>
                <w:szCs w:val="8"/>
              </w:rPr>
            </w:pPr>
          </w:p>
        </w:tc>
        <w:tc>
          <w:tcPr>
            <w:tcW w:w="3560" w:type="dxa"/>
            <w:vMerge/>
            <w:vAlign w:val="bottom"/>
          </w:tcPr>
          <w:p w:rsidR="00B45E65" w:rsidRDefault="00B45E6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</w:tbl>
    <w:p w:rsidR="00B45E65" w:rsidRDefault="00E917A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5085715</wp:posOffset>
            </wp:positionH>
            <wp:positionV relativeFrom="paragraph">
              <wp:posOffset>-535940</wp:posOffset>
            </wp:positionV>
            <wp:extent cx="903605" cy="25908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25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5E65" w:rsidRDefault="00B45E65">
      <w:pPr>
        <w:sectPr w:rsidR="00B45E65">
          <w:pgSz w:w="11920" w:h="16845"/>
          <w:pgMar w:top="1440" w:right="450" w:bottom="48" w:left="1419" w:header="0" w:footer="0" w:gutter="0"/>
          <w:cols w:space="708" w:equalWidth="0">
            <w:col w:w="10041"/>
          </w:cols>
        </w:sectPr>
      </w:pPr>
    </w:p>
    <w:p w:rsidR="00B45E65" w:rsidRDefault="00E917A2">
      <w:pPr>
        <w:spacing w:line="200" w:lineRule="exact"/>
        <w:rPr>
          <w:sz w:val="20"/>
          <w:szCs w:val="20"/>
        </w:rPr>
      </w:pPr>
      <w:bookmarkStart w:id="12" w:name="page13"/>
      <w:bookmarkEnd w:id="12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8480" behindDoc="1" locked="0" layoutInCell="0" allowOverlap="1">
            <wp:simplePos x="0" y="0"/>
            <wp:positionH relativeFrom="page">
              <wp:posOffset>5598795</wp:posOffset>
            </wp:positionH>
            <wp:positionV relativeFrom="page">
              <wp:posOffset>0</wp:posOffset>
            </wp:positionV>
            <wp:extent cx="1959610" cy="199072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199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9" w:lineRule="exact"/>
        <w:rPr>
          <w:sz w:val="20"/>
          <w:szCs w:val="20"/>
        </w:rPr>
      </w:pPr>
    </w:p>
    <w:p w:rsidR="00B45E65" w:rsidRDefault="00E917A2">
      <w:pPr>
        <w:spacing w:line="280" w:lineRule="auto"/>
        <w:ind w:left="281" w:right="15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Jako kontaktní osoba může za smluvní stranu v rozsahu tohoto odstavce jednat i jiná či další osoba, a to na základě písemného oznámení smluvní strany o jiné či další kontaktní osobě doručeného druhé smluvní straně.</w:t>
      </w: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393" w:lineRule="exact"/>
        <w:rPr>
          <w:sz w:val="20"/>
          <w:szCs w:val="20"/>
        </w:rPr>
      </w:pPr>
    </w:p>
    <w:p w:rsidR="00B45E65" w:rsidRDefault="00E917A2">
      <w:pPr>
        <w:ind w:left="4281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XI.</w:t>
      </w:r>
    </w:p>
    <w:p w:rsidR="00B45E65" w:rsidRDefault="00B45E65">
      <w:pPr>
        <w:spacing w:line="30" w:lineRule="exact"/>
        <w:rPr>
          <w:sz w:val="20"/>
          <w:szCs w:val="20"/>
        </w:rPr>
      </w:pPr>
    </w:p>
    <w:p w:rsidR="00B45E65" w:rsidRDefault="00E917A2">
      <w:pPr>
        <w:ind w:left="3601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Závěrečná ujednání</w:t>
      </w:r>
    </w:p>
    <w:p w:rsidR="00B45E65" w:rsidRDefault="00B45E65">
      <w:pPr>
        <w:spacing w:line="238" w:lineRule="exact"/>
        <w:rPr>
          <w:sz w:val="20"/>
          <w:szCs w:val="20"/>
        </w:rPr>
      </w:pPr>
    </w:p>
    <w:p w:rsidR="00B45E65" w:rsidRDefault="00E917A2">
      <w:pPr>
        <w:numPr>
          <w:ilvl w:val="0"/>
          <w:numId w:val="31"/>
        </w:numPr>
        <w:tabs>
          <w:tab w:val="left" w:pos="281"/>
        </w:tabs>
        <w:spacing w:line="261" w:lineRule="auto"/>
        <w:ind w:left="281" w:right="980" w:hanging="281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Není-li ve smlouvě dohodnuto jinak, řídí se práva a povinnosti smlouvou neupravené či výslovně nevyloučené příslušnými ustanoveními OZ a dalšími právními předpisy účinnými ke dni uzavření smlouvy.</w:t>
      </w:r>
    </w:p>
    <w:p w:rsidR="00B45E65" w:rsidRDefault="00B45E65">
      <w:pPr>
        <w:spacing w:line="61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0"/>
          <w:numId w:val="31"/>
        </w:numPr>
        <w:tabs>
          <w:tab w:val="left" w:pos="281"/>
        </w:tabs>
        <w:spacing w:line="282" w:lineRule="auto"/>
        <w:ind w:left="281" w:right="980" w:hanging="2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 se zavazuje strpět</w:t>
      </w:r>
      <w:r>
        <w:rPr>
          <w:rFonts w:ascii="Arial" w:eastAsia="Arial" w:hAnsi="Arial" w:cs="Arial"/>
          <w:sz w:val="20"/>
          <w:szCs w:val="20"/>
        </w:rPr>
        <w:t xml:space="preserve"> uveřejnění kopie smlouvy ve znění, v jakém byla uzavřena, a to včetně případných dodatků.</w:t>
      </w:r>
    </w:p>
    <w:p w:rsidR="00B45E65" w:rsidRDefault="00B45E65">
      <w:pPr>
        <w:spacing w:line="37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0"/>
          <w:numId w:val="31"/>
        </w:numPr>
        <w:tabs>
          <w:tab w:val="left" w:pos="281"/>
        </w:tabs>
        <w:spacing w:line="254" w:lineRule="auto"/>
        <w:ind w:left="281" w:right="980" w:hanging="281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Pokud se stane některé ustanovení smlouvy neplatné nebo neúčinné, nedotýká se to ostatních ustanovení smlouvy, která zůstávají platná a účinná. Smluvní strany se v </w:t>
      </w:r>
      <w:r>
        <w:rPr>
          <w:rFonts w:ascii="Arial" w:eastAsia="Arial" w:hAnsi="Arial" w:cs="Arial"/>
          <w:sz w:val="20"/>
          <w:szCs w:val="20"/>
        </w:rPr>
        <w:t>takovém případě zavazují nahradit dohodou ustanovení neplatné nebo neúčinné ustanovením platným a účinným, které nejlépe odpovídá původně zamýšlenému účelu ustanovení neplatného nebo neúčinného.</w:t>
      </w:r>
    </w:p>
    <w:p w:rsidR="00B45E65" w:rsidRDefault="00B45E65">
      <w:pPr>
        <w:spacing w:line="60" w:lineRule="exact"/>
        <w:rPr>
          <w:sz w:val="20"/>
          <w:szCs w:val="20"/>
        </w:rPr>
      </w:pPr>
    </w:p>
    <w:p w:rsidR="00B45E65" w:rsidRDefault="00E917A2">
      <w:pPr>
        <w:tabs>
          <w:tab w:val="left" w:pos="261"/>
        </w:tabs>
        <w:spacing w:line="260" w:lineRule="auto"/>
        <w:ind w:left="281" w:right="980" w:hanging="279"/>
        <w:jc w:val="both"/>
        <w:rPr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4)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Prodávající je oprávněn převést svoje práva a povinnosti </w:t>
      </w:r>
      <w:r>
        <w:rPr>
          <w:rFonts w:ascii="Arial" w:eastAsia="Arial" w:hAnsi="Arial" w:cs="Arial"/>
          <w:sz w:val="20"/>
          <w:szCs w:val="20"/>
        </w:rPr>
        <w:t>ze smlouvy na třetí osobu pouze s předchozím písemným souhlasem kupujícího; § 1879 OZ se nepoužije. Kupující je oprávněn převést svoje práva a povinnosti ze smlouvy na třetí osobu.</w:t>
      </w:r>
    </w:p>
    <w:p w:rsidR="00B45E65" w:rsidRDefault="00B45E65">
      <w:pPr>
        <w:spacing w:line="70" w:lineRule="exact"/>
        <w:rPr>
          <w:sz w:val="20"/>
          <w:szCs w:val="20"/>
        </w:rPr>
      </w:pPr>
    </w:p>
    <w:p w:rsidR="00B45E65" w:rsidRDefault="00E917A2">
      <w:pPr>
        <w:numPr>
          <w:ilvl w:val="0"/>
          <w:numId w:val="32"/>
        </w:numPr>
        <w:tabs>
          <w:tab w:val="left" w:pos="281"/>
        </w:tabs>
        <w:spacing w:line="254" w:lineRule="auto"/>
        <w:ind w:left="281" w:right="980" w:hanging="281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Případné rozpory se smluvní strany zavazují řešit dohodou. Teprve nebude-l</w:t>
      </w:r>
      <w:r>
        <w:rPr>
          <w:rFonts w:ascii="Arial" w:eastAsia="Arial" w:hAnsi="Arial" w:cs="Arial"/>
          <w:sz w:val="20"/>
          <w:szCs w:val="20"/>
        </w:rPr>
        <w:t>i dosažení dohody mezi nimi možné, bude věc řešena u věcně příslušného soudu dle zákona č. 99/1963 Sb., občanský soudní řád, ve znění pozdějších předpisů, a to u místně příslušného soudu, v jehož obvodu má sídlo kupující.</w:t>
      </w:r>
    </w:p>
    <w:p w:rsidR="00B45E65" w:rsidRDefault="00B45E65">
      <w:pPr>
        <w:spacing w:line="66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0"/>
          <w:numId w:val="32"/>
        </w:numPr>
        <w:tabs>
          <w:tab w:val="left" w:pos="281"/>
        </w:tabs>
        <w:spacing w:line="282" w:lineRule="auto"/>
        <w:ind w:left="281" w:right="980" w:hanging="2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 se za podmínek stanov</w:t>
      </w:r>
      <w:r>
        <w:rPr>
          <w:rFonts w:ascii="Arial" w:eastAsia="Arial" w:hAnsi="Arial" w:cs="Arial"/>
          <w:sz w:val="20"/>
          <w:szCs w:val="20"/>
        </w:rPr>
        <w:t>ených touto smlouvou v souladu s pokyny kupujícího a při vynaložení veškeré potřebné péče zavazuje:</w:t>
      </w:r>
    </w:p>
    <w:p w:rsidR="00B45E65" w:rsidRDefault="00B45E65">
      <w:pPr>
        <w:spacing w:line="40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1"/>
          <w:numId w:val="32"/>
        </w:numPr>
        <w:tabs>
          <w:tab w:val="left" w:pos="561"/>
        </w:tabs>
        <w:spacing w:line="250" w:lineRule="auto"/>
        <w:ind w:left="561" w:right="960" w:hanging="2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archivovat nejméně do 31. 12. 2034 veškeré písemnosti zhotovené v souvislosti s plněním této smlouvy a kdykoli po tuto dobu kupujícímu umožnit přístup k tě</w:t>
      </w:r>
      <w:r>
        <w:rPr>
          <w:rFonts w:ascii="Arial" w:eastAsia="Arial" w:hAnsi="Arial" w:cs="Arial"/>
          <w:sz w:val="20"/>
          <w:szCs w:val="20"/>
        </w:rPr>
        <w:t>mto archivovaným písemnostem; kupující je oprávněn po uplynutí deseti let ode dne převzetí věci od prodávajícího výše uvedené dokumenty bezplatně převzít; stanoví-li právní předpis u některého dokumentu delší dobu archivace, je prodávající povinen řídit se</w:t>
      </w:r>
      <w:r>
        <w:rPr>
          <w:rFonts w:ascii="Arial" w:eastAsia="Arial" w:hAnsi="Arial" w:cs="Arial"/>
          <w:sz w:val="20"/>
          <w:szCs w:val="20"/>
        </w:rPr>
        <w:t xml:space="preserve"> takovým právním předpisem;</w:t>
      </w:r>
    </w:p>
    <w:p w:rsidR="00B45E65" w:rsidRDefault="00B45E65">
      <w:pPr>
        <w:spacing w:line="71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32"/>
        </w:numPr>
        <w:tabs>
          <w:tab w:val="left" w:pos="561"/>
        </w:tabs>
        <w:spacing w:line="243" w:lineRule="auto"/>
        <w:ind w:left="561" w:right="980" w:hanging="2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jako osoba povinná dle § 2 písm. e) zákona č. 320/2001 Sb., o finanční kontrole ve veřejné správě, ve znění pozdějších předpisů, spolupůsobit při výkonu finanční kontroly, mj. umožnit řídícímu orgánu OP VVV, Ministerstvu školst</w:t>
      </w:r>
      <w:r>
        <w:rPr>
          <w:rFonts w:ascii="Arial" w:eastAsia="Arial" w:hAnsi="Arial" w:cs="Arial"/>
          <w:sz w:val="20"/>
          <w:szCs w:val="20"/>
        </w:rPr>
        <w:t>ví, mládeže a tělovýchovy, Ministerstvu financí jako auditnímu orgánu a platebnímu a certifikačnímu orgánu, pověřeným auditním subjektům, finančním úřadům, orgánům Evropské komise, Evropského účetního dvora a Evropského úřadu pro potírání podvodného jednán</w:t>
      </w:r>
      <w:r>
        <w:rPr>
          <w:rFonts w:ascii="Arial" w:eastAsia="Arial" w:hAnsi="Arial" w:cs="Arial"/>
          <w:sz w:val="20"/>
          <w:szCs w:val="20"/>
        </w:rPr>
        <w:t>í, státním zastupitelství, Nejvyššímu kontrolnímu úřadu, Úřadu pro ochranu hospodářské soutěže a dalším orgánům, které ke kontrole opravňují příslušné právní předpisy, vstup na místa, kde budou závazky dle této smlouvy plněny, a přístup k informacím a doku</w:t>
      </w:r>
      <w:r>
        <w:rPr>
          <w:rFonts w:ascii="Arial" w:eastAsia="Arial" w:hAnsi="Arial" w:cs="Arial"/>
          <w:sz w:val="20"/>
          <w:szCs w:val="20"/>
        </w:rPr>
        <w:t>mentům vyhotoveným v souvislosti s plněním závazků dle této smlouvy včetně přístupu i k těm informacím a dokumentům, které podléhají ochraně podle zvláštních právních předpisů (např. obchodní tajemství, utajované skutečnosti), a to za předpokladu, že budou</w:t>
      </w:r>
      <w:r>
        <w:rPr>
          <w:rFonts w:ascii="Arial" w:eastAsia="Arial" w:hAnsi="Arial" w:cs="Arial"/>
          <w:sz w:val="20"/>
          <w:szCs w:val="20"/>
        </w:rPr>
        <w:t xml:space="preserve"> splněny požadavky kladené příslušnými právními předpisy. Prodávající je povinen poskytnout výše uvedeným orgánům součinnost při prováděných kontrolách;</w:t>
      </w:r>
    </w:p>
    <w:p w:rsidR="00B45E65" w:rsidRDefault="00B45E65">
      <w:pPr>
        <w:spacing w:line="83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1"/>
          <w:numId w:val="32"/>
        </w:numPr>
        <w:tabs>
          <w:tab w:val="left" w:pos="561"/>
        </w:tabs>
        <w:spacing w:line="282" w:lineRule="auto"/>
        <w:ind w:left="561" w:right="980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ve smlouvách se svými poddodavateli umožnit kontrolním orgánům uvedeným v předchozím písmenu kontrolu </w:t>
      </w:r>
      <w:r>
        <w:rPr>
          <w:rFonts w:ascii="Arial" w:eastAsia="Arial" w:hAnsi="Arial" w:cs="Arial"/>
          <w:sz w:val="20"/>
          <w:szCs w:val="20"/>
        </w:rPr>
        <w:t>poddodavatelů prodávajícího v rozsahu dle předchozího písmena.</w:t>
      </w:r>
    </w:p>
    <w:p w:rsidR="00B45E65" w:rsidRDefault="00B45E65">
      <w:pPr>
        <w:spacing w:line="40" w:lineRule="exact"/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numPr>
          <w:ilvl w:val="0"/>
          <w:numId w:val="32"/>
        </w:numPr>
        <w:tabs>
          <w:tab w:val="left" w:pos="281"/>
        </w:tabs>
        <w:ind w:left="281" w:hanging="2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Nedílnou součástí smlouvy je příloha č. 1 – Technická specifikace.</w:t>
      </w:r>
    </w:p>
    <w:p w:rsidR="00B45E65" w:rsidRDefault="00B45E65">
      <w:pPr>
        <w:spacing w:line="118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0"/>
          <w:numId w:val="32"/>
        </w:numPr>
        <w:tabs>
          <w:tab w:val="left" w:pos="281"/>
        </w:tabs>
        <w:spacing w:line="282" w:lineRule="auto"/>
        <w:ind w:left="281" w:right="980" w:hanging="281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Smlouva je uzavřena dnem podpisu poslední ze smluvních stran. Smlouva nabývá účinnosti jejím zveřejněním v registru smluv v </w:t>
      </w:r>
      <w:r>
        <w:rPr>
          <w:rFonts w:ascii="Arial" w:eastAsia="Arial" w:hAnsi="Arial" w:cs="Arial"/>
          <w:sz w:val="20"/>
          <w:szCs w:val="20"/>
        </w:rPr>
        <w:t>souladu se zákonem č. 340/2016 Sb., o zvláštních podmínkách</w:t>
      </w:r>
    </w:p>
    <w:p w:rsidR="00B45E65" w:rsidRDefault="00B45E65">
      <w:pPr>
        <w:spacing w:line="290" w:lineRule="exact"/>
        <w:rPr>
          <w:sz w:val="20"/>
          <w:szCs w:val="20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3560"/>
        <w:gridCol w:w="20"/>
      </w:tblGrid>
      <w:tr w:rsidR="00B45E65">
        <w:trPr>
          <w:trHeight w:val="187"/>
        </w:trPr>
        <w:tc>
          <w:tcPr>
            <w:tcW w:w="648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CEITEC – Central European Institute of Technology</w:t>
            </w:r>
          </w:p>
        </w:tc>
        <w:tc>
          <w:tcPr>
            <w:tcW w:w="3560" w:type="dxa"/>
            <w:vAlign w:val="bottom"/>
          </w:tcPr>
          <w:p w:rsidR="00B45E65" w:rsidRDefault="00B45E6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85"/>
        </w:trPr>
        <w:tc>
          <w:tcPr>
            <w:tcW w:w="648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Masaryk University</w:t>
            </w:r>
          </w:p>
        </w:tc>
        <w:tc>
          <w:tcPr>
            <w:tcW w:w="3560" w:type="dxa"/>
            <w:vAlign w:val="bottom"/>
          </w:tcPr>
          <w:p w:rsidR="00B45E65" w:rsidRDefault="00B45E6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83"/>
        </w:trPr>
        <w:tc>
          <w:tcPr>
            <w:tcW w:w="648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Kamenice 753/5, 625 00 Brno, Czech Republic</w:t>
            </w:r>
          </w:p>
        </w:tc>
        <w:tc>
          <w:tcPr>
            <w:tcW w:w="3560" w:type="dxa"/>
            <w:vAlign w:val="bottom"/>
          </w:tcPr>
          <w:p w:rsidR="00B45E65" w:rsidRDefault="00B45E6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98"/>
        </w:trPr>
        <w:tc>
          <w:tcPr>
            <w:tcW w:w="648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1A9C0"/>
                <w:sz w:val="14"/>
                <w:szCs w:val="14"/>
              </w:rPr>
              <w:t>www.ceitec.eu</w:t>
            </w:r>
          </w:p>
        </w:tc>
        <w:tc>
          <w:tcPr>
            <w:tcW w:w="3560" w:type="dxa"/>
            <w:vMerge w:val="restart"/>
            <w:vAlign w:val="bottom"/>
          </w:tcPr>
          <w:p w:rsidR="00B45E65" w:rsidRDefault="00E917A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13/20</w:t>
            </w: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03"/>
        </w:trPr>
        <w:tc>
          <w:tcPr>
            <w:tcW w:w="6480" w:type="dxa"/>
            <w:vAlign w:val="bottom"/>
          </w:tcPr>
          <w:p w:rsidR="00B45E65" w:rsidRDefault="00B45E65">
            <w:pPr>
              <w:rPr>
                <w:sz w:val="8"/>
                <w:szCs w:val="8"/>
              </w:rPr>
            </w:pPr>
          </w:p>
        </w:tc>
        <w:tc>
          <w:tcPr>
            <w:tcW w:w="3560" w:type="dxa"/>
            <w:vMerge/>
            <w:vAlign w:val="bottom"/>
          </w:tcPr>
          <w:p w:rsidR="00B45E65" w:rsidRDefault="00B45E6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</w:tbl>
    <w:p w:rsidR="00B45E65" w:rsidRDefault="00E917A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5085715</wp:posOffset>
            </wp:positionH>
            <wp:positionV relativeFrom="paragraph">
              <wp:posOffset>-535940</wp:posOffset>
            </wp:positionV>
            <wp:extent cx="903605" cy="25908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25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5E65" w:rsidRDefault="00B45E65">
      <w:pPr>
        <w:sectPr w:rsidR="00B45E65">
          <w:pgSz w:w="11920" w:h="16845"/>
          <w:pgMar w:top="1440" w:right="450" w:bottom="48" w:left="1419" w:header="0" w:footer="0" w:gutter="0"/>
          <w:cols w:space="708" w:equalWidth="0">
            <w:col w:w="10041"/>
          </w:cols>
        </w:sectPr>
      </w:pPr>
    </w:p>
    <w:p w:rsidR="00B45E65" w:rsidRDefault="00E917A2">
      <w:pPr>
        <w:spacing w:line="200" w:lineRule="exact"/>
        <w:rPr>
          <w:sz w:val="20"/>
          <w:szCs w:val="20"/>
        </w:rPr>
      </w:pPr>
      <w:bookmarkStart w:id="13" w:name="page14"/>
      <w:bookmarkEnd w:id="13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70528" behindDoc="1" locked="0" layoutInCell="0" allowOverlap="1">
            <wp:simplePos x="0" y="0"/>
            <wp:positionH relativeFrom="page">
              <wp:posOffset>5598795</wp:posOffset>
            </wp:positionH>
            <wp:positionV relativeFrom="page">
              <wp:posOffset>0</wp:posOffset>
            </wp:positionV>
            <wp:extent cx="1959610" cy="199072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199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9" w:lineRule="exact"/>
        <w:rPr>
          <w:sz w:val="20"/>
          <w:szCs w:val="20"/>
        </w:rPr>
      </w:pPr>
    </w:p>
    <w:p w:rsidR="00B45E65" w:rsidRDefault="00E917A2">
      <w:pPr>
        <w:ind w:left="28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účinnosti ně</w:t>
      </w:r>
      <w:r>
        <w:rPr>
          <w:rFonts w:ascii="Arial" w:eastAsia="Arial" w:hAnsi="Arial" w:cs="Arial"/>
          <w:sz w:val="20"/>
          <w:szCs w:val="20"/>
        </w:rPr>
        <w:t>kterých smluv, uveřejňování těchto smluv o registru smluv (zákon o registru smluv),</w:t>
      </w:r>
    </w:p>
    <w:p w:rsidR="00B45E65" w:rsidRDefault="00B45E65">
      <w:pPr>
        <w:spacing w:line="26" w:lineRule="exact"/>
        <w:rPr>
          <w:sz w:val="20"/>
          <w:szCs w:val="20"/>
        </w:rPr>
      </w:pPr>
    </w:p>
    <w:p w:rsidR="00B45E65" w:rsidRDefault="00E917A2">
      <w:pPr>
        <w:ind w:left="28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 platném znění.</w:t>
      </w:r>
    </w:p>
    <w:p w:rsidR="00B45E65" w:rsidRDefault="00B45E65">
      <w:pPr>
        <w:spacing w:line="92" w:lineRule="exact"/>
        <w:rPr>
          <w:sz w:val="20"/>
          <w:szCs w:val="20"/>
        </w:rPr>
      </w:pPr>
    </w:p>
    <w:p w:rsidR="00B45E65" w:rsidRDefault="00E917A2">
      <w:pPr>
        <w:numPr>
          <w:ilvl w:val="0"/>
          <w:numId w:val="33"/>
        </w:numPr>
        <w:tabs>
          <w:tab w:val="left" w:pos="281"/>
        </w:tabs>
        <w:spacing w:line="282" w:lineRule="auto"/>
        <w:ind w:left="281" w:right="980" w:hanging="2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Smlouva je vyhotovena ve 4 (slovy: čtyřech) originálech. Každá smluvní strana obdrží po 2 (slovy: dvou) z nich.</w:t>
      </w:r>
    </w:p>
    <w:p w:rsidR="00B45E65" w:rsidRDefault="00B45E65">
      <w:pPr>
        <w:spacing w:line="40" w:lineRule="exact"/>
        <w:rPr>
          <w:rFonts w:ascii="Arial Narrow" w:eastAsia="Arial Narrow" w:hAnsi="Arial Narrow" w:cs="Arial Narrow"/>
          <w:sz w:val="20"/>
          <w:szCs w:val="20"/>
        </w:rPr>
      </w:pPr>
    </w:p>
    <w:p w:rsidR="00B45E65" w:rsidRDefault="00E917A2">
      <w:pPr>
        <w:numPr>
          <w:ilvl w:val="0"/>
          <w:numId w:val="33"/>
        </w:numPr>
        <w:tabs>
          <w:tab w:val="left" w:pos="281"/>
        </w:tabs>
        <w:spacing w:line="282" w:lineRule="auto"/>
        <w:ind w:left="281" w:right="980" w:hanging="2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Smluvní strany potvrzují, že si smlouvu </w:t>
      </w:r>
      <w:r>
        <w:rPr>
          <w:rFonts w:ascii="Arial" w:eastAsia="Arial" w:hAnsi="Arial" w:cs="Arial"/>
          <w:sz w:val="20"/>
          <w:szCs w:val="20"/>
        </w:rPr>
        <w:t>před jejím podpisem přečetly a s jejím obsahem souhlasí. Na důkaz toho připojují své podpisy.</w:t>
      </w:r>
    </w:p>
    <w:p w:rsidR="00B45E65" w:rsidRDefault="00B45E65">
      <w:pPr>
        <w:sectPr w:rsidR="00B45E65">
          <w:pgSz w:w="11920" w:h="16845"/>
          <w:pgMar w:top="1440" w:right="450" w:bottom="48" w:left="1419" w:header="0" w:footer="0" w:gutter="0"/>
          <w:cols w:space="708" w:equalWidth="0">
            <w:col w:w="10041"/>
          </w:cols>
        </w:sect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58" w:lineRule="exact"/>
        <w:rPr>
          <w:sz w:val="20"/>
          <w:szCs w:val="20"/>
        </w:rPr>
      </w:pPr>
    </w:p>
    <w:p w:rsidR="00B45E65" w:rsidRDefault="00E917A2">
      <w:pPr>
        <w:ind w:left="10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 Brně dne ………………………………</w:t>
      </w: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331" w:lineRule="exact"/>
        <w:rPr>
          <w:sz w:val="20"/>
          <w:szCs w:val="20"/>
        </w:rPr>
      </w:pPr>
    </w:p>
    <w:p w:rsidR="00B45E65" w:rsidRDefault="00E917A2">
      <w:pPr>
        <w:ind w:left="10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………………………………....................</w:t>
      </w:r>
    </w:p>
    <w:p w:rsidR="00B45E65" w:rsidRDefault="00B45E65">
      <w:pPr>
        <w:spacing w:line="36" w:lineRule="exact"/>
        <w:rPr>
          <w:sz w:val="20"/>
          <w:szCs w:val="20"/>
        </w:rPr>
      </w:pPr>
    </w:p>
    <w:p w:rsidR="00B45E65" w:rsidRDefault="00E917A2">
      <w:pPr>
        <w:ind w:left="10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Mgr. XXXXX</w:t>
      </w:r>
      <w:r>
        <w:rPr>
          <w:rFonts w:ascii="Arial" w:eastAsia="Arial" w:hAnsi="Arial" w:cs="Arial"/>
          <w:sz w:val="20"/>
          <w:szCs w:val="20"/>
        </w:rPr>
        <w:t>, LL. M.,</w:t>
      </w:r>
    </w:p>
    <w:p w:rsidR="00B45E65" w:rsidRDefault="00B45E65">
      <w:pPr>
        <w:spacing w:line="10" w:lineRule="exact"/>
        <w:rPr>
          <w:sz w:val="20"/>
          <w:szCs w:val="20"/>
        </w:rPr>
      </w:pPr>
    </w:p>
    <w:p w:rsidR="00B45E65" w:rsidRDefault="00E917A2">
      <w:pPr>
        <w:ind w:left="10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ředitel,</w:t>
      </w:r>
    </w:p>
    <w:p w:rsidR="00B45E65" w:rsidRDefault="00B45E65">
      <w:pPr>
        <w:spacing w:line="10" w:lineRule="exact"/>
        <w:rPr>
          <w:sz w:val="20"/>
          <w:szCs w:val="20"/>
        </w:rPr>
      </w:pPr>
    </w:p>
    <w:p w:rsidR="00B45E65" w:rsidRDefault="00E917A2">
      <w:pPr>
        <w:ind w:left="10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 kupujícího</w:t>
      </w:r>
    </w:p>
    <w:p w:rsidR="00B45E65" w:rsidRDefault="00E917A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38" w:lineRule="exact"/>
        <w:rPr>
          <w:sz w:val="20"/>
          <w:szCs w:val="20"/>
        </w:rPr>
      </w:pPr>
    </w:p>
    <w:p w:rsidR="00B45E65" w:rsidRDefault="00E917A2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 Brně, dne viz el. </w:t>
      </w:r>
      <w:r>
        <w:rPr>
          <w:rFonts w:ascii="Arial" w:eastAsia="Arial" w:hAnsi="Arial" w:cs="Arial"/>
          <w:sz w:val="20"/>
          <w:szCs w:val="20"/>
        </w:rPr>
        <w:t>podpis</w:t>
      </w:r>
    </w:p>
    <w:p w:rsidR="00B45E65" w:rsidRDefault="00B45E65">
      <w:pPr>
        <w:spacing w:line="110" w:lineRule="exact"/>
        <w:rPr>
          <w:sz w:val="20"/>
          <w:szCs w:val="20"/>
        </w:rPr>
      </w:pPr>
    </w:p>
    <w:p w:rsidR="00B45E65" w:rsidRDefault="00B45E65">
      <w:pPr>
        <w:spacing w:line="20" w:lineRule="exact"/>
        <w:rPr>
          <w:sz w:val="20"/>
          <w:szCs w:val="20"/>
        </w:rPr>
      </w:pPr>
    </w:p>
    <w:p w:rsidR="00E917A2" w:rsidRDefault="00E917A2">
      <w:pPr>
        <w:rPr>
          <w:rFonts w:ascii="Arial" w:eastAsia="Arial" w:hAnsi="Arial" w:cs="Arial"/>
          <w:sz w:val="20"/>
          <w:szCs w:val="20"/>
        </w:rPr>
      </w:pPr>
    </w:p>
    <w:p w:rsidR="00E917A2" w:rsidRDefault="00E917A2">
      <w:pPr>
        <w:rPr>
          <w:rFonts w:ascii="Arial" w:eastAsia="Arial" w:hAnsi="Arial" w:cs="Arial"/>
          <w:sz w:val="20"/>
          <w:szCs w:val="20"/>
        </w:rPr>
      </w:pPr>
    </w:p>
    <w:p w:rsidR="00E917A2" w:rsidRDefault="00E917A2">
      <w:pPr>
        <w:rPr>
          <w:rFonts w:ascii="Arial" w:eastAsia="Arial" w:hAnsi="Arial" w:cs="Arial"/>
          <w:sz w:val="20"/>
          <w:szCs w:val="20"/>
        </w:rPr>
      </w:pPr>
    </w:p>
    <w:p w:rsidR="00B45E65" w:rsidRDefault="00E917A2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………………………………....................</w:t>
      </w:r>
    </w:p>
    <w:p w:rsidR="00B45E65" w:rsidRDefault="00B45E65">
      <w:pPr>
        <w:spacing w:line="10" w:lineRule="exact"/>
        <w:rPr>
          <w:sz w:val="20"/>
          <w:szCs w:val="20"/>
        </w:rPr>
      </w:pPr>
    </w:p>
    <w:p w:rsidR="00B45E65" w:rsidRDefault="00E917A2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XXXXXXXX</w:t>
      </w:r>
      <w:r>
        <w:rPr>
          <w:rFonts w:ascii="Arial" w:eastAsia="Arial" w:hAnsi="Arial" w:cs="Arial"/>
          <w:sz w:val="20"/>
          <w:szCs w:val="20"/>
        </w:rPr>
        <w:t>,</w:t>
      </w:r>
    </w:p>
    <w:p w:rsidR="00B45E65" w:rsidRDefault="00B45E65">
      <w:pPr>
        <w:spacing w:line="10" w:lineRule="exact"/>
        <w:rPr>
          <w:sz w:val="20"/>
          <w:szCs w:val="20"/>
        </w:rPr>
      </w:pPr>
    </w:p>
    <w:p w:rsidR="00B45E65" w:rsidRDefault="00E917A2">
      <w:pPr>
        <w:spacing w:line="265" w:lineRule="auto"/>
        <w:ind w:right="18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jednatel společnosti M Computers s.r.o., za prodávajícího</w:t>
      </w: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ectPr w:rsidR="00B45E65">
          <w:type w:val="continuous"/>
          <w:pgSz w:w="11920" w:h="16845"/>
          <w:pgMar w:top="1440" w:right="450" w:bottom="48" w:left="1419" w:header="0" w:footer="0" w:gutter="0"/>
          <w:cols w:num="2" w:space="708" w:equalWidth="0">
            <w:col w:w="3921" w:space="720"/>
            <w:col w:w="5400"/>
          </w:cols>
        </w:sect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396" w:lineRule="exact"/>
        <w:rPr>
          <w:sz w:val="20"/>
          <w:szCs w:val="20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3560"/>
        <w:gridCol w:w="20"/>
      </w:tblGrid>
      <w:tr w:rsidR="00B45E65">
        <w:trPr>
          <w:trHeight w:val="187"/>
        </w:trPr>
        <w:tc>
          <w:tcPr>
            <w:tcW w:w="648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CEITEC – Central European Institute of Technology</w:t>
            </w:r>
          </w:p>
        </w:tc>
        <w:tc>
          <w:tcPr>
            <w:tcW w:w="3560" w:type="dxa"/>
            <w:vAlign w:val="bottom"/>
          </w:tcPr>
          <w:p w:rsidR="00B45E65" w:rsidRDefault="00B45E6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85"/>
        </w:trPr>
        <w:tc>
          <w:tcPr>
            <w:tcW w:w="648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Masaryk University</w:t>
            </w:r>
          </w:p>
        </w:tc>
        <w:tc>
          <w:tcPr>
            <w:tcW w:w="3560" w:type="dxa"/>
            <w:vAlign w:val="bottom"/>
          </w:tcPr>
          <w:p w:rsidR="00B45E65" w:rsidRDefault="00B45E6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83"/>
        </w:trPr>
        <w:tc>
          <w:tcPr>
            <w:tcW w:w="648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Kamenice 753/5, 625 00 Brno, Czech Republic</w:t>
            </w:r>
          </w:p>
        </w:tc>
        <w:tc>
          <w:tcPr>
            <w:tcW w:w="3560" w:type="dxa"/>
            <w:vAlign w:val="bottom"/>
          </w:tcPr>
          <w:p w:rsidR="00B45E65" w:rsidRDefault="00B45E6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98"/>
        </w:trPr>
        <w:tc>
          <w:tcPr>
            <w:tcW w:w="6480" w:type="dxa"/>
            <w:vAlign w:val="bottom"/>
          </w:tcPr>
          <w:p w:rsidR="00B45E65" w:rsidRDefault="00E917A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1A9C0"/>
                <w:sz w:val="14"/>
                <w:szCs w:val="14"/>
              </w:rPr>
              <w:t>www.ceitec.eu</w:t>
            </w:r>
          </w:p>
        </w:tc>
        <w:tc>
          <w:tcPr>
            <w:tcW w:w="3560" w:type="dxa"/>
            <w:vMerge w:val="restart"/>
            <w:vAlign w:val="bottom"/>
          </w:tcPr>
          <w:p w:rsidR="00B45E65" w:rsidRDefault="00E917A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14/20</w:t>
            </w: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>
        <w:trPr>
          <w:trHeight w:val="103"/>
        </w:trPr>
        <w:tc>
          <w:tcPr>
            <w:tcW w:w="6480" w:type="dxa"/>
            <w:vAlign w:val="bottom"/>
          </w:tcPr>
          <w:p w:rsidR="00B45E65" w:rsidRDefault="00B45E65">
            <w:pPr>
              <w:rPr>
                <w:sz w:val="8"/>
                <w:szCs w:val="8"/>
              </w:rPr>
            </w:pPr>
          </w:p>
        </w:tc>
        <w:tc>
          <w:tcPr>
            <w:tcW w:w="3560" w:type="dxa"/>
            <w:vMerge/>
            <w:vAlign w:val="bottom"/>
          </w:tcPr>
          <w:p w:rsidR="00B45E65" w:rsidRDefault="00B45E6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</w:tbl>
    <w:p w:rsidR="00B45E65" w:rsidRDefault="00E917A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5085715</wp:posOffset>
            </wp:positionH>
            <wp:positionV relativeFrom="paragraph">
              <wp:posOffset>-535940</wp:posOffset>
            </wp:positionV>
            <wp:extent cx="903605" cy="25908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25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5E65" w:rsidRDefault="00B45E65">
      <w:pPr>
        <w:sectPr w:rsidR="00B45E65">
          <w:type w:val="continuous"/>
          <w:pgSz w:w="11920" w:h="16845"/>
          <w:pgMar w:top="1440" w:right="450" w:bottom="48" w:left="1419" w:header="0" w:footer="0" w:gutter="0"/>
          <w:cols w:space="708" w:equalWidth="0">
            <w:col w:w="10041"/>
          </w:cols>
        </w:sectPr>
      </w:pPr>
    </w:p>
    <w:p w:rsidR="00B45E65" w:rsidRDefault="00E917A2">
      <w:pPr>
        <w:ind w:left="7"/>
        <w:rPr>
          <w:sz w:val="20"/>
          <w:szCs w:val="20"/>
        </w:rPr>
      </w:pPr>
      <w:bookmarkStart w:id="14" w:name="page15"/>
      <w:bookmarkEnd w:id="14"/>
      <w:r>
        <w:rPr>
          <w:rFonts w:eastAsia="Times New Roman"/>
          <w:b/>
          <w:bCs/>
          <w:sz w:val="28"/>
          <w:szCs w:val="28"/>
        </w:rPr>
        <w:lastRenderedPageBreak/>
        <w:t>Příloha č. 1 – Technická specifikace</w:t>
      </w: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300" w:lineRule="exact"/>
        <w:rPr>
          <w:sz w:val="20"/>
          <w:szCs w:val="20"/>
        </w:rPr>
      </w:pPr>
    </w:p>
    <w:p w:rsidR="00B45E65" w:rsidRDefault="00E917A2">
      <w:pPr>
        <w:ind w:left="7"/>
        <w:rPr>
          <w:sz w:val="20"/>
          <w:szCs w:val="20"/>
        </w:rPr>
      </w:pPr>
      <w:r>
        <w:rPr>
          <w:rFonts w:eastAsia="Times New Roman"/>
          <w:b/>
          <w:bCs/>
        </w:rPr>
        <w:t>Požadavky zadavatele na dodávku jako celek:</w:t>
      </w: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97" w:lineRule="exact"/>
        <w:rPr>
          <w:sz w:val="20"/>
          <w:szCs w:val="20"/>
        </w:rPr>
      </w:pPr>
    </w:p>
    <w:p w:rsidR="00B45E65" w:rsidRDefault="00E917A2">
      <w:pPr>
        <w:spacing w:line="260" w:lineRule="auto"/>
        <w:ind w:left="7" w:right="680"/>
        <w:jc w:val="both"/>
        <w:rPr>
          <w:sz w:val="20"/>
          <w:szCs w:val="20"/>
        </w:rPr>
      </w:pPr>
      <w:r>
        <w:rPr>
          <w:rFonts w:eastAsia="Times New Roman"/>
        </w:rPr>
        <w:t xml:space="preserve">Předmětem plnění veřejné zakázky je kompletní ř ešení, sestávající se z dodávky, instalace a zprovoznění výpočetního </w:t>
      </w:r>
      <w:r>
        <w:rPr>
          <w:rFonts w:eastAsia="Times New Roman"/>
        </w:rPr>
        <w:t>clusteru a poskytnutí rozšířené záruky v četně technické podpory ve formě reakce next-business day, on site v lokalitě CEITEC MU, místnost 2S027 budovy A35, Kamenice 5, Brno.</w:t>
      </w:r>
    </w:p>
    <w:p w:rsidR="00B45E65" w:rsidRDefault="00B45E65">
      <w:pPr>
        <w:spacing w:line="56" w:lineRule="exact"/>
        <w:rPr>
          <w:sz w:val="20"/>
          <w:szCs w:val="20"/>
        </w:rPr>
      </w:pPr>
    </w:p>
    <w:p w:rsidR="00B45E65" w:rsidRDefault="00E917A2">
      <w:pPr>
        <w:spacing w:line="280" w:lineRule="auto"/>
        <w:ind w:left="7" w:right="680"/>
        <w:jc w:val="both"/>
        <w:rPr>
          <w:sz w:val="20"/>
          <w:szCs w:val="20"/>
        </w:rPr>
      </w:pPr>
      <w:r>
        <w:rPr>
          <w:rFonts w:eastAsia="Times New Roman"/>
        </w:rPr>
        <w:t>Požadované plně ní se bude skládat z čelního uzlu výpočetní clusteru (frontend),</w:t>
      </w:r>
      <w:r>
        <w:rPr>
          <w:rFonts w:eastAsia="Times New Roman"/>
        </w:rPr>
        <w:t xml:space="preserve"> alespoň 10 ks vlastních výpočetních uzlů (node), rackových skříní pro umístění clusteru, elektrických a síťových kabelů.</w:t>
      </w:r>
    </w:p>
    <w:p w:rsidR="00B45E65" w:rsidRDefault="00B45E65">
      <w:pPr>
        <w:spacing w:line="40" w:lineRule="exact"/>
        <w:rPr>
          <w:sz w:val="20"/>
          <w:szCs w:val="20"/>
        </w:rPr>
      </w:pPr>
    </w:p>
    <w:p w:rsidR="00B45E65" w:rsidRDefault="00E917A2">
      <w:pPr>
        <w:spacing w:line="275" w:lineRule="auto"/>
        <w:ind w:left="7" w:right="680" w:firstLine="408"/>
        <w:jc w:val="both"/>
        <w:rPr>
          <w:sz w:val="20"/>
          <w:szCs w:val="20"/>
        </w:rPr>
      </w:pPr>
      <w:r>
        <w:rPr>
          <w:rFonts w:eastAsia="Times New Roman"/>
          <w:i/>
          <w:iCs/>
          <w:color w:val="FF0000"/>
        </w:rPr>
        <w:t xml:space="preserve">Nabídka se skládá z 1ks čelního uzlu výpočetního clusteru (frontend), 10ks vlastních výpočetních uzlů (node), 2 rackových skříní pro </w:t>
      </w:r>
      <w:r>
        <w:rPr>
          <w:rFonts w:eastAsia="Times New Roman"/>
          <w:i/>
          <w:iCs/>
          <w:color w:val="FF0000"/>
        </w:rPr>
        <w:t>umístění clusteru a alektrických a síťových kabelů.</w:t>
      </w:r>
    </w:p>
    <w:p w:rsidR="00B45E65" w:rsidRDefault="00B45E65">
      <w:pPr>
        <w:spacing w:line="43" w:lineRule="exact"/>
        <w:rPr>
          <w:sz w:val="20"/>
          <w:szCs w:val="20"/>
        </w:rPr>
      </w:pPr>
    </w:p>
    <w:p w:rsidR="00B45E65" w:rsidRDefault="00E917A2">
      <w:pPr>
        <w:spacing w:line="253" w:lineRule="auto"/>
        <w:ind w:left="7" w:right="680"/>
        <w:jc w:val="both"/>
        <w:rPr>
          <w:sz w:val="20"/>
          <w:szCs w:val="20"/>
        </w:rPr>
      </w:pPr>
      <w:r>
        <w:rPr>
          <w:rFonts w:eastAsia="Times New Roman"/>
        </w:rPr>
        <w:t xml:space="preserve">Instalací a zprovozněním se rozumí instalace hardware do rack skříní, které jsou součástí dodávky, zapojení všech síťových rozhraní, zapojení do elektrické sít ě, spuštění hardware a ověření bezchybného </w:t>
      </w:r>
      <w:r>
        <w:rPr>
          <w:rFonts w:eastAsia="Times New Roman"/>
        </w:rPr>
        <w:t>chodu všech komponent. Součástí zakázky je také dodání zprávy o výchozí revizi elektrického zařízení podle ČSN 33 1500, ČSN 33 2000-6,ev.č.S-36/15 po instalaci.</w:t>
      </w:r>
    </w:p>
    <w:p w:rsidR="00B45E65" w:rsidRDefault="00B45E65">
      <w:pPr>
        <w:spacing w:line="68" w:lineRule="exact"/>
        <w:rPr>
          <w:sz w:val="20"/>
          <w:szCs w:val="20"/>
        </w:rPr>
      </w:pPr>
    </w:p>
    <w:p w:rsidR="00B45E65" w:rsidRDefault="00E917A2">
      <w:pPr>
        <w:spacing w:line="252" w:lineRule="auto"/>
        <w:ind w:left="7" w:right="680" w:firstLine="408"/>
        <w:jc w:val="both"/>
        <w:rPr>
          <w:sz w:val="20"/>
          <w:szCs w:val="20"/>
        </w:rPr>
      </w:pPr>
      <w:r>
        <w:rPr>
          <w:rFonts w:eastAsia="Times New Roman"/>
          <w:i/>
          <w:iCs/>
          <w:color w:val="FF0000"/>
        </w:rPr>
        <w:t>Instalace a zprovoznění HW do rack skříní, které jsou součástí dodávky, zapoojení všech síť</w:t>
      </w:r>
      <w:r>
        <w:rPr>
          <w:rFonts w:eastAsia="Times New Roman"/>
          <w:i/>
          <w:iCs/>
          <w:color w:val="FF0000"/>
        </w:rPr>
        <w:t>ových rozhraní, zapojení do elektrické sítě , spuštění HW a ověření bezchybného chodu všech komponent. Součástí zakázky je dodání zprávy o výchozí rivizi elektrického zařízení podle ČSN 33 1500, ČSN 33 2000-6.ev.č.S-36/15 po instalaci.</w:t>
      </w: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34" w:lineRule="exact"/>
        <w:rPr>
          <w:sz w:val="20"/>
          <w:szCs w:val="20"/>
        </w:rPr>
      </w:pPr>
    </w:p>
    <w:p w:rsidR="00B45E65" w:rsidRDefault="00E917A2">
      <w:pPr>
        <w:ind w:left="7"/>
        <w:rPr>
          <w:sz w:val="20"/>
          <w:szCs w:val="20"/>
        </w:rPr>
      </w:pPr>
      <w:r>
        <w:rPr>
          <w:rFonts w:eastAsia="Times New Roman"/>
          <w:b/>
          <w:bCs/>
        </w:rPr>
        <w:t>Společné požadavky</w:t>
      </w:r>
      <w:r>
        <w:rPr>
          <w:rFonts w:eastAsia="Times New Roman"/>
          <w:b/>
          <w:bCs/>
        </w:rPr>
        <w:t>:</w:t>
      </w:r>
    </w:p>
    <w:p w:rsidR="00B45E65" w:rsidRDefault="00B45E65">
      <w:pPr>
        <w:spacing w:line="378" w:lineRule="exact"/>
        <w:rPr>
          <w:sz w:val="20"/>
          <w:szCs w:val="20"/>
        </w:rPr>
      </w:pPr>
    </w:p>
    <w:p w:rsidR="00B45E65" w:rsidRDefault="00E917A2">
      <w:pPr>
        <w:numPr>
          <w:ilvl w:val="0"/>
          <w:numId w:val="34"/>
        </w:numPr>
        <w:tabs>
          <w:tab w:val="left" w:pos="262"/>
        </w:tabs>
        <w:spacing w:line="255" w:lineRule="auto"/>
        <w:ind w:left="7" w:right="680" w:hanging="7"/>
        <w:rPr>
          <w:rFonts w:eastAsia="Times New Roman"/>
        </w:rPr>
      </w:pPr>
      <w:r>
        <w:rPr>
          <w:rFonts w:eastAsia="Times New Roman"/>
        </w:rPr>
        <w:t>Minimální záruční doba musí být 3 roky s reakční dobou nejpozději následující pracovní den (NBD). Výměny vadných komponent je třeba provádět výhradně v místě instalace clusteru.</w:t>
      </w:r>
    </w:p>
    <w:p w:rsidR="00B45E65" w:rsidRDefault="00E917A2">
      <w:pPr>
        <w:spacing w:line="248" w:lineRule="auto"/>
        <w:ind w:left="787" w:right="680"/>
        <w:rPr>
          <w:rFonts w:eastAsia="Times New Roman"/>
        </w:rPr>
      </w:pPr>
      <w:r>
        <w:rPr>
          <w:rFonts w:eastAsia="Times New Roman"/>
          <w:i/>
          <w:iCs/>
          <w:color w:val="FF0000"/>
        </w:rPr>
        <w:t>Záruka 3 roky s reakční dobou nejpozději následující pracovní den (NBD). Vý</w:t>
      </w:r>
      <w:r>
        <w:rPr>
          <w:rFonts w:eastAsia="Times New Roman"/>
          <w:i/>
          <w:iCs/>
          <w:color w:val="FF0000"/>
        </w:rPr>
        <w:t>měna vadných komponent bude prováděna výhradně v místě instalace clusteru.</w:t>
      </w:r>
    </w:p>
    <w:p w:rsidR="00B45E65" w:rsidRDefault="00B45E65">
      <w:pPr>
        <w:spacing w:line="203" w:lineRule="exact"/>
        <w:rPr>
          <w:rFonts w:eastAsia="Times New Roman"/>
        </w:rPr>
      </w:pPr>
    </w:p>
    <w:p w:rsidR="00B45E65" w:rsidRDefault="00E917A2">
      <w:pPr>
        <w:numPr>
          <w:ilvl w:val="0"/>
          <w:numId w:val="34"/>
        </w:numPr>
        <w:tabs>
          <w:tab w:val="left" w:pos="211"/>
        </w:tabs>
        <w:spacing w:line="246" w:lineRule="auto"/>
        <w:ind w:left="7" w:right="680" w:hanging="7"/>
        <w:jc w:val="both"/>
        <w:rPr>
          <w:rFonts w:eastAsia="Times New Roman"/>
        </w:rPr>
      </w:pPr>
      <w:r>
        <w:rPr>
          <w:rFonts w:eastAsia="Times New Roman"/>
        </w:rPr>
        <w:t>Veškeré zařízení by mělo být možno koupit bez jakéhokoliv software. Pokud je programové vybavení nutnou součástí nabídky (například SW pro vzdálenou správu), musí být jasně specifi</w:t>
      </w:r>
      <w:r>
        <w:rPr>
          <w:rFonts w:eastAsia="Times New Roman"/>
        </w:rPr>
        <w:t>kovány důvody a cena za takový SW musí být zahrnuta do ceny dodávky (na dobu neurčitou; pokud autor / výrobce / dodavatel SW neposkytuje licenci na dobu neurčitou, je uchazeč povinen tuto skutečnost zadavateli prokázat a zajistit licenci nejméně do konce z</w:t>
      </w:r>
      <w:r>
        <w:rPr>
          <w:rFonts w:eastAsia="Times New Roman"/>
        </w:rPr>
        <w:t>áruční doby).</w:t>
      </w:r>
    </w:p>
    <w:p w:rsidR="00B45E65" w:rsidRDefault="00E917A2">
      <w:pPr>
        <w:ind w:left="807"/>
        <w:rPr>
          <w:rFonts w:eastAsia="Times New Roman"/>
        </w:rPr>
      </w:pPr>
      <w:r>
        <w:rPr>
          <w:rFonts w:eastAsia="Times New Roman"/>
          <w:i/>
          <w:iCs/>
          <w:color w:val="FF0000"/>
        </w:rPr>
        <w:t>K veškerému zařízení není nutno dokupovat jakýkoliv software.</w:t>
      </w:r>
    </w:p>
    <w:p w:rsidR="00B45E65" w:rsidRDefault="00B45E65">
      <w:pPr>
        <w:spacing w:line="222" w:lineRule="exact"/>
        <w:rPr>
          <w:rFonts w:eastAsia="Times New Roman"/>
        </w:rPr>
      </w:pPr>
    </w:p>
    <w:p w:rsidR="00B45E65" w:rsidRDefault="00E917A2">
      <w:pPr>
        <w:numPr>
          <w:ilvl w:val="0"/>
          <w:numId w:val="34"/>
        </w:numPr>
        <w:tabs>
          <w:tab w:val="left" w:pos="228"/>
        </w:tabs>
        <w:spacing w:line="249" w:lineRule="auto"/>
        <w:ind w:left="7" w:right="680" w:hanging="7"/>
        <w:jc w:val="both"/>
        <w:rPr>
          <w:rFonts w:eastAsia="Times New Roman"/>
        </w:rPr>
      </w:pPr>
      <w:r>
        <w:rPr>
          <w:rFonts w:eastAsia="Times New Roman"/>
        </w:rPr>
        <w:t xml:space="preserve">Všechny komponenty, které jsou touto technickou specifikací požadovány, musí být použitelné v prostředí operačního systému Linux (zejména, ale nikoliv výhradně 64bit Debian), tj. </w:t>
      </w:r>
      <w:r>
        <w:rPr>
          <w:rFonts w:eastAsia="Times New Roman"/>
        </w:rPr>
        <w:t>musí být podporovány distribučním nebo originálním jádrem nebo s využitím externích ovladačů dostupných ve zdrojovém kódu.</w:t>
      </w:r>
    </w:p>
    <w:p w:rsidR="00B45E65" w:rsidRDefault="00B45E65">
      <w:pPr>
        <w:spacing w:line="3" w:lineRule="exact"/>
        <w:rPr>
          <w:rFonts w:eastAsia="Times New Roman"/>
        </w:rPr>
      </w:pPr>
    </w:p>
    <w:p w:rsidR="00B45E65" w:rsidRDefault="00E917A2">
      <w:pPr>
        <w:spacing w:line="244" w:lineRule="auto"/>
        <w:ind w:left="7" w:right="680" w:firstLine="540"/>
        <w:jc w:val="both"/>
        <w:rPr>
          <w:rFonts w:eastAsia="Times New Roman"/>
        </w:rPr>
      </w:pPr>
      <w:r>
        <w:rPr>
          <w:rFonts w:eastAsia="Times New Roman"/>
          <w:i/>
          <w:iCs/>
          <w:color w:val="FF0000"/>
        </w:rPr>
        <w:t>Všechny komponenty, jsou použitelné v prostředí operačního systému Linux (zejména, ale nikoliv výhradně 64bit Debian). Jsou buď</w:t>
      </w:r>
      <w:r>
        <w:rPr>
          <w:rFonts w:eastAsia="Times New Roman"/>
          <w:i/>
          <w:iCs/>
          <w:color w:val="FF0000"/>
        </w:rPr>
        <w:t xml:space="preserve"> podporovány distribučním nebo originálním jádrem nebo s využitím externích ovladačů dostupných ve zdrojovém kódu.</w:t>
      </w:r>
    </w:p>
    <w:p w:rsidR="00B45E65" w:rsidRDefault="00B45E65">
      <w:pPr>
        <w:spacing w:line="209" w:lineRule="exact"/>
        <w:rPr>
          <w:rFonts w:eastAsia="Times New Roman"/>
        </w:rPr>
      </w:pPr>
    </w:p>
    <w:p w:rsidR="00B45E65" w:rsidRDefault="00E917A2">
      <w:pPr>
        <w:numPr>
          <w:ilvl w:val="0"/>
          <w:numId w:val="34"/>
        </w:numPr>
        <w:tabs>
          <w:tab w:val="left" w:pos="228"/>
        </w:tabs>
        <w:spacing w:line="255" w:lineRule="auto"/>
        <w:ind w:left="7" w:right="680" w:hanging="7"/>
        <w:rPr>
          <w:rFonts w:eastAsia="Times New Roman"/>
        </w:rPr>
      </w:pPr>
      <w:r>
        <w:rPr>
          <w:rFonts w:eastAsia="Times New Roman"/>
        </w:rPr>
        <w:t xml:space="preserve">Součástí nabídky musí být celková maximální spotřeba sestavy (maximální spotřeba odpovídá spotřebě při plném zatížení všech komponent, tedy </w:t>
      </w:r>
      <w:r>
        <w:rPr>
          <w:rFonts w:eastAsia="Times New Roman"/>
        </w:rPr>
        <w:t>serverů).</w:t>
      </w:r>
    </w:p>
    <w:p w:rsidR="00B45E65" w:rsidRDefault="00E917A2">
      <w:pPr>
        <w:ind w:left="547"/>
        <w:rPr>
          <w:rFonts w:eastAsia="Times New Roman"/>
        </w:rPr>
      </w:pPr>
      <w:r>
        <w:rPr>
          <w:rFonts w:eastAsia="Times New Roman"/>
          <w:i/>
          <w:iCs/>
          <w:color w:val="FF0000"/>
        </w:rPr>
        <w:t>Celková maximální spotřeba všech serverů je 17kW</w:t>
      </w:r>
    </w:p>
    <w:p w:rsidR="00B45E65" w:rsidRDefault="00B45E65">
      <w:pPr>
        <w:spacing w:line="221" w:lineRule="exact"/>
        <w:rPr>
          <w:rFonts w:eastAsia="Times New Roman"/>
        </w:rPr>
      </w:pPr>
    </w:p>
    <w:p w:rsidR="00B45E65" w:rsidRDefault="00E917A2">
      <w:pPr>
        <w:numPr>
          <w:ilvl w:val="0"/>
          <w:numId w:val="34"/>
        </w:numPr>
        <w:tabs>
          <w:tab w:val="left" w:pos="281"/>
        </w:tabs>
        <w:spacing w:line="253" w:lineRule="auto"/>
        <w:ind w:left="7" w:right="680" w:hanging="7"/>
        <w:jc w:val="both"/>
        <w:rPr>
          <w:rFonts w:eastAsia="Times New Roman"/>
        </w:rPr>
      </w:pPr>
      <w:r>
        <w:rPr>
          <w:rFonts w:eastAsia="Times New Roman"/>
        </w:rPr>
        <w:t xml:space="preserve">Pro účely hodnocení splnění technických parametrů je uchazeč povinen popsat technické parametry nabízené sestavy a navrženou konfiguraci. Popis lze realizovat formou komentářů k jednotlivým bodům </w:t>
      </w:r>
      <w:r>
        <w:rPr>
          <w:rFonts w:eastAsia="Times New Roman"/>
        </w:rPr>
        <w:t>časti “Požadavky zadavatele na jednotlivé části dodávky”, zpravidla však nepostačují odpovědi typu ANO/NE, je nutné konkrétně popsat konfiguraci navrženého řešení. Nabídky bez technického popisu nejsou přípustné.</w:t>
      </w:r>
    </w:p>
    <w:p w:rsidR="00B45E65" w:rsidRDefault="00B45E65">
      <w:pPr>
        <w:sectPr w:rsidR="00B45E65">
          <w:pgSz w:w="11920" w:h="16845"/>
          <w:pgMar w:top="1218" w:right="450" w:bottom="100" w:left="1133" w:header="0" w:footer="0" w:gutter="0"/>
          <w:cols w:space="708" w:equalWidth="0">
            <w:col w:w="10327"/>
          </w:cols>
        </w:sect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90" w:lineRule="exact"/>
        <w:rPr>
          <w:sz w:val="20"/>
          <w:szCs w:val="20"/>
        </w:rPr>
      </w:pPr>
    </w:p>
    <w:p w:rsidR="00B45E65" w:rsidRDefault="00E917A2">
      <w:pPr>
        <w:ind w:left="9827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15/20</w:t>
      </w:r>
    </w:p>
    <w:p w:rsidR="00B45E65" w:rsidRDefault="00B45E65">
      <w:pPr>
        <w:sectPr w:rsidR="00B45E65">
          <w:type w:val="continuous"/>
          <w:pgSz w:w="11920" w:h="16845"/>
          <w:pgMar w:top="1218" w:right="450" w:bottom="100" w:left="1133" w:header="0" w:footer="0" w:gutter="0"/>
          <w:cols w:space="708" w:equalWidth="0">
            <w:col w:w="10327"/>
          </w:cols>
        </w:sectPr>
      </w:pPr>
    </w:p>
    <w:p w:rsidR="00B45E65" w:rsidRDefault="00E917A2">
      <w:pPr>
        <w:rPr>
          <w:sz w:val="20"/>
          <w:szCs w:val="20"/>
        </w:rPr>
      </w:pPr>
      <w:bookmarkStart w:id="15" w:name="page16"/>
      <w:bookmarkEnd w:id="15"/>
      <w:r>
        <w:rPr>
          <w:rFonts w:eastAsia="Times New Roman"/>
          <w:b/>
          <w:bCs/>
        </w:rPr>
        <w:lastRenderedPageBreak/>
        <w:t>Požadavky na čelní uzel</w:t>
      </w:r>
    </w:p>
    <w:p w:rsidR="00B45E65" w:rsidRDefault="00B45E65">
      <w:pPr>
        <w:spacing w:line="118" w:lineRule="exact"/>
        <w:rPr>
          <w:sz w:val="20"/>
          <w:szCs w:val="20"/>
        </w:rPr>
      </w:pPr>
    </w:p>
    <w:p w:rsidR="00B45E65" w:rsidRDefault="00E917A2">
      <w:pPr>
        <w:numPr>
          <w:ilvl w:val="0"/>
          <w:numId w:val="35"/>
        </w:numPr>
        <w:tabs>
          <w:tab w:val="left" w:pos="720"/>
        </w:tabs>
        <w:spacing w:line="247" w:lineRule="auto"/>
        <w:ind w:left="720" w:right="680" w:hanging="367"/>
        <w:jc w:val="both"/>
        <w:rPr>
          <w:rFonts w:eastAsia="Times New Roman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server musí mít alespoň jeden procesor v architektuře x86_64. Výkon celého serveru ve SpecINT2017 rate, baseline musí být alespoň 110 bodů. Zároveň výkon v tomto benchmarku přepočtený na jedno jádro CPU, </w:t>
      </w:r>
      <w:r>
        <w:rPr>
          <w:rFonts w:ascii="Arial Narrow" w:eastAsia="Arial Narrow" w:hAnsi="Arial Narrow" w:cs="Arial Narrow"/>
          <w:sz w:val="24"/>
          <w:szCs w:val="24"/>
        </w:rPr>
        <w:t>tj. výkon celého uzlu vydělený počtem fyzických jader v uzlu, dosahuje alespoň 6,5. Počítají se pouze fyzická jádra, nikoli technologie hyperthreading</w:t>
      </w:r>
    </w:p>
    <w:p w:rsidR="00B45E65" w:rsidRDefault="00B45E65">
      <w:pPr>
        <w:spacing w:line="1" w:lineRule="exact"/>
        <w:rPr>
          <w:rFonts w:eastAsia="Times New Roman"/>
        </w:rPr>
      </w:pPr>
    </w:p>
    <w:p w:rsidR="00B45E65" w:rsidRDefault="00E917A2">
      <w:pPr>
        <w:spacing w:line="241" w:lineRule="auto"/>
        <w:ind w:left="800" w:right="680"/>
        <w:jc w:val="both"/>
        <w:rPr>
          <w:rFonts w:eastAsia="Times New Roman"/>
        </w:rPr>
      </w:pPr>
      <w:r>
        <w:rPr>
          <w:rFonts w:ascii="Arial Narrow" w:eastAsia="Arial Narrow" w:hAnsi="Arial Narrow" w:cs="Arial Narrow"/>
          <w:i/>
          <w:iCs/>
          <w:color w:val="FF0000"/>
          <w:sz w:val="24"/>
          <w:szCs w:val="24"/>
        </w:rPr>
        <w:t>Server s jedním procesorem AMD Epyc 7302P (16-core), v x86_64 architektuře. Výkon serveru ve SpecINT2017</w:t>
      </w:r>
      <w:r>
        <w:rPr>
          <w:rFonts w:ascii="Arial Narrow" w:eastAsia="Arial Narrow" w:hAnsi="Arial Narrow" w:cs="Arial Narrow"/>
          <w:i/>
          <w:iCs/>
          <w:color w:val="FF0000"/>
          <w:sz w:val="24"/>
          <w:szCs w:val="24"/>
        </w:rPr>
        <w:t xml:space="preserve"> rate, baseline je 117 bodů. Zároveň výkon v benchmarku přepočtený na jedno jádro CPU, tj. Výkon celého uzlu vydělený počtem fyzických jader v uzlu, dosahuje 7,3.</w:t>
      </w:r>
    </w:p>
    <w:p w:rsidR="00B45E65" w:rsidRDefault="00B45E65">
      <w:pPr>
        <w:spacing w:line="2" w:lineRule="exact"/>
        <w:rPr>
          <w:rFonts w:eastAsia="Times New Roman"/>
        </w:rPr>
      </w:pPr>
    </w:p>
    <w:p w:rsidR="00B45E65" w:rsidRDefault="00E917A2">
      <w:pPr>
        <w:numPr>
          <w:ilvl w:val="0"/>
          <w:numId w:val="35"/>
        </w:numPr>
        <w:tabs>
          <w:tab w:val="left" w:pos="720"/>
        </w:tabs>
        <w:ind w:left="720" w:hanging="367"/>
        <w:rPr>
          <w:rFonts w:eastAsia="Times New Roman"/>
        </w:rPr>
      </w:pPr>
      <w:r>
        <w:rPr>
          <w:rFonts w:eastAsia="Times New Roman"/>
        </w:rPr>
        <w:t>server musí mít alespoň 256 GB RAM ECC</w:t>
      </w:r>
    </w:p>
    <w:p w:rsidR="00B45E65" w:rsidRDefault="00E917A2">
      <w:pPr>
        <w:spacing w:line="234" w:lineRule="auto"/>
        <w:ind w:left="800"/>
        <w:rPr>
          <w:sz w:val="20"/>
          <w:szCs w:val="20"/>
        </w:rPr>
      </w:pPr>
      <w:r>
        <w:rPr>
          <w:rFonts w:eastAsia="Times New Roman"/>
          <w:i/>
          <w:iCs/>
          <w:color w:val="FF0000"/>
        </w:rPr>
        <w:t>Server má 256GB RAM ECC</w:t>
      </w:r>
    </w:p>
    <w:p w:rsidR="00B45E65" w:rsidRDefault="00E917A2">
      <w:pPr>
        <w:numPr>
          <w:ilvl w:val="0"/>
          <w:numId w:val="36"/>
        </w:numPr>
        <w:tabs>
          <w:tab w:val="left" w:pos="720"/>
        </w:tabs>
        <w:ind w:left="720" w:right="680" w:hanging="367"/>
        <w:jc w:val="both"/>
        <w:rPr>
          <w:rFonts w:eastAsia="Times New Roman"/>
        </w:rPr>
      </w:pPr>
      <w:r>
        <w:rPr>
          <w:rFonts w:ascii="Arial Narrow" w:eastAsia="Arial Narrow" w:hAnsi="Arial Narrow" w:cs="Arial Narrow"/>
          <w:sz w:val="24"/>
          <w:szCs w:val="24"/>
        </w:rPr>
        <w:t>server musí být osazen alespo</w:t>
      </w:r>
      <w:r>
        <w:rPr>
          <w:rFonts w:ascii="Arial Narrow" w:eastAsia="Arial Narrow" w:hAnsi="Arial Narrow" w:cs="Arial Narrow"/>
          <w:sz w:val="24"/>
          <w:szCs w:val="24"/>
        </w:rPr>
        <w:t>ň dvěma SSD disky s celkovou kapacitou alespoň 480 GB. Rychlost lineárního čtení/zápisu každého SSD disku musí být alespoň 500/500 MB/s, každý SSD disk musí nabízet alespoň 50000/10000 IOPS pro náhodné čtení/zápis, každý disk musí mít TBW (TeraBytes Writte</w:t>
      </w:r>
      <w:r>
        <w:rPr>
          <w:rFonts w:ascii="Arial Narrow" w:eastAsia="Arial Narrow" w:hAnsi="Arial Narrow" w:cs="Arial Narrow"/>
          <w:sz w:val="24"/>
          <w:szCs w:val="24"/>
        </w:rPr>
        <w:t>n) alespoň 1 PB. Disky budou použity jako mirror a musí být vyměnitelné za chodu.</w:t>
      </w:r>
    </w:p>
    <w:p w:rsidR="00B45E65" w:rsidRDefault="00E917A2">
      <w:pPr>
        <w:spacing w:line="241" w:lineRule="auto"/>
        <w:ind w:left="800" w:right="680"/>
        <w:jc w:val="both"/>
        <w:rPr>
          <w:rFonts w:eastAsia="Times New Roman"/>
        </w:rPr>
      </w:pPr>
      <w:r>
        <w:rPr>
          <w:rFonts w:ascii="Arial Narrow" w:eastAsia="Arial Narrow" w:hAnsi="Arial Narrow" w:cs="Arial Narrow"/>
          <w:i/>
          <w:iCs/>
          <w:color w:val="FF0000"/>
          <w:sz w:val="24"/>
          <w:szCs w:val="24"/>
        </w:rPr>
        <w:t>Server osazen dvěma SSD disky s celkovou kapacitou 960GB. Rychlost lineárního č</w:t>
      </w:r>
      <w:r>
        <w:rPr>
          <w:rFonts w:ascii="Arial Narrow" w:eastAsia="Arial Narrow" w:hAnsi="Arial Narrow" w:cs="Arial Narrow"/>
          <w:i/>
          <w:iCs/>
          <w:color w:val="FF0000"/>
          <w:sz w:val="24"/>
          <w:szCs w:val="24"/>
        </w:rPr>
        <w:t>tení/zápisu každého SSD disku je 555/520 MB/s, každý SSD disk má 98 000/58 000 IOPS pro náhodné čtení/zápis, každý disk musí mít TBW (TeraBytes Written) 1139 TBW. Disky budou použity jako mirror a jsou vyměnitelné za chodu.</w:t>
      </w:r>
    </w:p>
    <w:p w:rsidR="00B45E65" w:rsidRDefault="00B45E65">
      <w:pPr>
        <w:spacing w:line="1" w:lineRule="exact"/>
        <w:rPr>
          <w:rFonts w:eastAsia="Times New Roman"/>
        </w:rPr>
      </w:pPr>
    </w:p>
    <w:p w:rsidR="00B45E65" w:rsidRDefault="00E917A2">
      <w:pPr>
        <w:numPr>
          <w:ilvl w:val="0"/>
          <w:numId w:val="36"/>
        </w:numPr>
        <w:tabs>
          <w:tab w:val="left" w:pos="720"/>
        </w:tabs>
        <w:ind w:left="720" w:right="680" w:hanging="367"/>
        <w:rPr>
          <w:rFonts w:eastAsia="Times New Roman"/>
        </w:rPr>
      </w:pPr>
      <w:r>
        <w:rPr>
          <w:rFonts w:eastAsia="Times New Roman"/>
        </w:rPr>
        <w:t>musí mít síťové rozhraní 1Gb Et</w:t>
      </w:r>
      <w:r>
        <w:rPr>
          <w:rFonts w:eastAsia="Times New Roman"/>
        </w:rPr>
        <w:t>hernet, 10Gb Ethernet, rozhraní 1Gb Ethernet musí podporovat bootování přes PXE. 10Gb rozhraní musí být typu LR a je osazeno SFP+ module</w:t>
      </w:r>
    </w:p>
    <w:p w:rsidR="00B45E65" w:rsidRDefault="00E917A2">
      <w:pPr>
        <w:spacing w:line="236" w:lineRule="auto"/>
        <w:ind w:left="800" w:right="680"/>
        <w:rPr>
          <w:rFonts w:eastAsia="Times New Roman"/>
        </w:rPr>
      </w:pPr>
      <w:r>
        <w:rPr>
          <w:rFonts w:eastAsia="Times New Roman"/>
          <w:i/>
          <w:iCs/>
          <w:color w:val="FF0000"/>
        </w:rPr>
        <w:t>Server má 2x 1Gb Ethernet, 10Gb Ethernet. Rozhraní 1Gb Ethernet podporuje bootování přes PXE. 10Gb rozhraní SFP+ s modu</w:t>
      </w:r>
      <w:r>
        <w:rPr>
          <w:rFonts w:eastAsia="Times New Roman"/>
          <w:i/>
          <w:iCs/>
          <w:color w:val="FF0000"/>
        </w:rPr>
        <w:t>lem typu LR.</w:t>
      </w:r>
    </w:p>
    <w:p w:rsidR="00B45E65" w:rsidRDefault="00E917A2">
      <w:pPr>
        <w:numPr>
          <w:ilvl w:val="0"/>
          <w:numId w:val="36"/>
        </w:numPr>
        <w:tabs>
          <w:tab w:val="left" w:pos="720"/>
        </w:tabs>
        <w:spacing w:line="259" w:lineRule="auto"/>
        <w:ind w:left="720" w:right="680" w:hanging="36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umožňuje centralizovaný přístup ke konzoli (klávesnice + monitor), a to jak lokálně (KVM switch), tak po síti (síťový KVM nebo BMC).</w:t>
      </w:r>
    </w:p>
    <w:p w:rsidR="00B45E65" w:rsidRDefault="00B45E65">
      <w:pPr>
        <w:spacing w:line="52" w:lineRule="exact"/>
        <w:rPr>
          <w:sz w:val="20"/>
          <w:szCs w:val="20"/>
        </w:rPr>
      </w:pPr>
    </w:p>
    <w:p w:rsidR="00B45E65" w:rsidRDefault="00E917A2">
      <w:pPr>
        <w:spacing w:line="281" w:lineRule="auto"/>
        <w:ind w:left="800" w:right="680"/>
        <w:rPr>
          <w:sz w:val="20"/>
          <w:szCs w:val="20"/>
        </w:rPr>
      </w:pPr>
      <w:r>
        <w:rPr>
          <w:rFonts w:ascii="Arial Narrow" w:eastAsia="Arial Narrow" w:hAnsi="Arial Narrow" w:cs="Arial Narrow"/>
          <w:i/>
          <w:iCs/>
          <w:color w:val="FF0000"/>
          <w:sz w:val="24"/>
          <w:szCs w:val="24"/>
        </w:rPr>
        <w:t>Umožnuje centralizovaný přistup ke konzoli (klávesnice + monitor), a to jak lokálně (KVM switch), tak i po sí</w:t>
      </w:r>
      <w:r>
        <w:rPr>
          <w:rFonts w:ascii="Arial Narrow" w:eastAsia="Arial Narrow" w:hAnsi="Arial Narrow" w:cs="Arial Narrow"/>
          <w:i/>
          <w:iCs/>
          <w:color w:val="FF0000"/>
          <w:sz w:val="24"/>
          <w:szCs w:val="24"/>
        </w:rPr>
        <w:t>ťi (síťový KVM nebo BMC).</w:t>
      </w:r>
    </w:p>
    <w:p w:rsidR="00B45E65" w:rsidRDefault="00B45E65">
      <w:pPr>
        <w:spacing w:line="15" w:lineRule="exact"/>
        <w:rPr>
          <w:sz w:val="20"/>
          <w:szCs w:val="20"/>
        </w:rPr>
      </w:pPr>
    </w:p>
    <w:p w:rsidR="00B45E65" w:rsidRDefault="00E917A2">
      <w:pPr>
        <w:numPr>
          <w:ilvl w:val="0"/>
          <w:numId w:val="37"/>
        </w:numPr>
        <w:tabs>
          <w:tab w:val="left" w:pos="720"/>
        </w:tabs>
        <w:spacing w:line="290" w:lineRule="auto"/>
        <w:ind w:left="720" w:right="680" w:hanging="36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podporuje bootování z externího zařízení, a to jak lokálně (boot z USB – CD-ROM, flash disk, harddisk), tak po síti (boot z virtuálního média implementovaného pomocí síťového KVM nebo BMC).</w:t>
      </w:r>
    </w:p>
    <w:p w:rsidR="00B45E65" w:rsidRDefault="00B45E65">
      <w:pPr>
        <w:spacing w:line="16" w:lineRule="exact"/>
        <w:rPr>
          <w:sz w:val="20"/>
          <w:szCs w:val="20"/>
        </w:rPr>
      </w:pPr>
    </w:p>
    <w:p w:rsidR="00B45E65" w:rsidRDefault="00E917A2">
      <w:pPr>
        <w:spacing w:line="281" w:lineRule="auto"/>
        <w:ind w:left="800" w:right="680"/>
        <w:rPr>
          <w:sz w:val="20"/>
          <w:szCs w:val="20"/>
        </w:rPr>
      </w:pPr>
      <w:r>
        <w:rPr>
          <w:rFonts w:ascii="Arial Narrow" w:eastAsia="Arial Narrow" w:hAnsi="Arial Narrow" w:cs="Arial Narrow"/>
          <w:i/>
          <w:iCs/>
          <w:color w:val="FF0000"/>
          <w:sz w:val="24"/>
          <w:szCs w:val="24"/>
        </w:rPr>
        <w:t>Podporuje bootování z externího za říz</w:t>
      </w:r>
      <w:r>
        <w:rPr>
          <w:rFonts w:ascii="Arial Narrow" w:eastAsia="Arial Narrow" w:hAnsi="Arial Narrow" w:cs="Arial Narrow"/>
          <w:i/>
          <w:iCs/>
          <w:color w:val="FF0000"/>
          <w:sz w:val="24"/>
          <w:szCs w:val="24"/>
        </w:rPr>
        <w:t>ení, a to jak lokální (boot z USB – CD-ROM, flash disku, HDD), tak po síťi (boot z virtuálního media implementovaného pomocí síťového KVM nebo BMC).</w:t>
      </w:r>
    </w:p>
    <w:p w:rsidR="00B45E65" w:rsidRDefault="00B45E65">
      <w:pPr>
        <w:spacing w:line="17" w:lineRule="exact"/>
        <w:rPr>
          <w:sz w:val="20"/>
          <w:szCs w:val="20"/>
        </w:rPr>
      </w:pPr>
    </w:p>
    <w:p w:rsidR="00B45E65" w:rsidRDefault="00E917A2">
      <w:pPr>
        <w:numPr>
          <w:ilvl w:val="0"/>
          <w:numId w:val="38"/>
        </w:numPr>
        <w:tabs>
          <w:tab w:val="left" w:pos="704"/>
        </w:tabs>
        <w:spacing w:line="344" w:lineRule="auto"/>
        <w:ind w:left="800" w:right="3580" w:hanging="44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Základní deska musí umožňovat změnu pořadí bootovacích zařízení. </w:t>
      </w:r>
      <w:r>
        <w:rPr>
          <w:rFonts w:ascii="Arial Narrow" w:eastAsia="Arial Narrow" w:hAnsi="Arial Narrow" w:cs="Arial Narrow"/>
          <w:i/>
          <w:iCs/>
          <w:color w:val="FF0000"/>
          <w:sz w:val="24"/>
          <w:szCs w:val="24"/>
        </w:rPr>
        <w:t>Základní deska umožňuje změnu pořadí boot</w:t>
      </w:r>
      <w:r>
        <w:rPr>
          <w:rFonts w:ascii="Arial Narrow" w:eastAsia="Arial Narrow" w:hAnsi="Arial Narrow" w:cs="Arial Narrow"/>
          <w:i/>
          <w:iCs/>
          <w:color w:val="FF0000"/>
          <w:sz w:val="24"/>
          <w:szCs w:val="24"/>
        </w:rPr>
        <w:t>vacího zařízení.</w:t>
      </w:r>
    </w:p>
    <w:p w:rsidR="00B45E65" w:rsidRDefault="00E917A2">
      <w:pPr>
        <w:numPr>
          <w:ilvl w:val="0"/>
          <w:numId w:val="38"/>
        </w:numPr>
        <w:tabs>
          <w:tab w:val="left" w:pos="720"/>
        </w:tabs>
        <w:spacing w:line="256" w:lineRule="auto"/>
        <w:ind w:left="720" w:right="680" w:hanging="36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Základní deska musí obsahovat management controller (BMC) kompatibilní se specifikací IPMI 2.0 nebo vyšší. BMC musí umět monitorovat minimálně funkčnost ventilátorů a zdroje, teplotu CPU a základní desky; dále musí BMC poskytovat základní </w:t>
      </w:r>
      <w:r>
        <w:rPr>
          <w:rFonts w:ascii="Arial Narrow" w:eastAsia="Arial Narrow" w:hAnsi="Arial Narrow" w:cs="Arial Narrow"/>
          <w:sz w:val="24"/>
          <w:szCs w:val="24"/>
        </w:rPr>
        <w:t>vzdálený power management (vypnout, zapnout, reset). Požadujeme možnost změny bootovacího zařízení vzdáleně pomocí BMC nebo KVM.</w:t>
      </w:r>
    </w:p>
    <w:p w:rsidR="00B45E65" w:rsidRDefault="00B45E65">
      <w:pPr>
        <w:spacing w:line="57" w:lineRule="exact"/>
        <w:rPr>
          <w:sz w:val="20"/>
          <w:szCs w:val="20"/>
        </w:rPr>
      </w:pPr>
    </w:p>
    <w:p w:rsidR="00B45E65" w:rsidRDefault="00E917A2">
      <w:pPr>
        <w:spacing w:line="253" w:lineRule="auto"/>
        <w:ind w:left="800" w:right="680"/>
        <w:jc w:val="both"/>
        <w:rPr>
          <w:sz w:val="20"/>
          <w:szCs w:val="20"/>
        </w:rPr>
      </w:pPr>
      <w:r>
        <w:rPr>
          <w:rFonts w:ascii="Arial Narrow" w:eastAsia="Arial Narrow" w:hAnsi="Arial Narrow" w:cs="Arial Narrow"/>
          <w:i/>
          <w:iCs/>
          <w:color w:val="FF0000"/>
          <w:sz w:val="24"/>
          <w:szCs w:val="24"/>
        </w:rPr>
        <w:t>Základní deska obsahuje management controller (BMC) kompatibilní se specifikací IPMI 2.0 nebo vyšší. BMC umí monitorovat funkč</w:t>
      </w:r>
      <w:r>
        <w:rPr>
          <w:rFonts w:ascii="Arial Narrow" w:eastAsia="Arial Narrow" w:hAnsi="Arial Narrow" w:cs="Arial Narrow"/>
          <w:i/>
          <w:iCs/>
          <w:color w:val="FF0000"/>
          <w:sz w:val="24"/>
          <w:szCs w:val="24"/>
        </w:rPr>
        <w:t>nost ventilátorů a zdroje, teplotu CPU a základní desky; dále BMC poskytuje základní vzdálený power management (vypnout, zapnout, reset). Možnost změny bootovacího zařízení vzdáleně pomocí BMC nebo KVM.</w:t>
      </w:r>
    </w:p>
    <w:p w:rsidR="00B45E65" w:rsidRDefault="00B45E65">
      <w:pPr>
        <w:spacing w:line="50" w:lineRule="exact"/>
        <w:rPr>
          <w:sz w:val="20"/>
          <w:szCs w:val="20"/>
        </w:rPr>
      </w:pPr>
    </w:p>
    <w:p w:rsidR="00B45E65" w:rsidRDefault="00E917A2">
      <w:pPr>
        <w:numPr>
          <w:ilvl w:val="0"/>
          <w:numId w:val="39"/>
        </w:numPr>
        <w:tabs>
          <w:tab w:val="left" w:pos="720"/>
        </w:tabs>
        <w:spacing w:line="290" w:lineRule="auto"/>
        <w:ind w:left="720" w:right="680" w:hanging="36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Funkcionalita IPMI musí být přístupná z příkazové řá</w:t>
      </w:r>
      <w:r>
        <w:rPr>
          <w:rFonts w:ascii="Arial Narrow" w:eastAsia="Arial Narrow" w:hAnsi="Arial Narrow" w:cs="Arial Narrow"/>
          <w:sz w:val="24"/>
          <w:szCs w:val="24"/>
        </w:rPr>
        <w:t>dky běžící na vzdáleném linuxovém systému připojeném k BMC přes LAN.</w:t>
      </w:r>
    </w:p>
    <w:p w:rsidR="00B45E65" w:rsidRDefault="00B45E65">
      <w:pPr>
        <w:spacing w:line="14" w:lineRule="exact"/>
        <w:rPr>
          <w:sz w:val="20"/>
          <w:szCs w:val="20"/>
        </w:rPr>
      </w:pPr>
    </w:p>
    <w:p w:rsidR="00B45E65" w:rsidRDefault="00E917A2">
      <w:pPr>
        <w:ind w:left="800"/>
        <w:rPr>
          <w:sz w:val="20"/>
          <w:szCs w:val="20"/>
        </w:rPr>
      </w:pPr>
      <w:r>
        <w:rPr>
          <w:rFonts w:ascii="Arial Narrow" w:eastAsia="Arial Narrow" w:hAnsi="Arial Narrow" w:cs="Arial Narrow"/>
          <w:i/>
          <w:iCs/>
          <w:color w:val="FF0000"/>
          <w:sz w:val="23"/>
          <w:szCs w:val="23"/>
        </w:rPr>
        <w:t>Funkcionalita IPMI je přístupná z příkazové řádky běžící na vzdáleném linuxovém systému připojeném</w:t>
      </w:r>
    </w:p>
    <w:p w:rsidR="00B45E65" w:rsidRDefault="00B45E65">
      <w:pPr>
        <w:spacing w:line="38" w:lineRule="exact"/>
        <w:rPr>
          <w:sz w:val="20"/>
          <w:szCs w:val="20"/>
        </w:rPr>
      </w:pPr>
    </w:p>
    <w:p w:rsidR="00B45E65" w:rsidRDefault="00E917A2">
      <w:pPr>
        <w:ind w:left="800"/>
        <w:rPr>
          <w:sz w:val="20"/>
          <w:szCs w:val="20"/>
        </w:rPr>
      </w:pPr>
      <w:r>
        <w:rPr>
          <w:rFonts w:ascii="Arial Narrow" w:eastAsia="Arial Narrow" w:hAnsi="Arial Narrow" w:cs="Arial Narrow"/>
          <w:i/>
          <w:iCs/>
          <w:color w:val="FF0000"/>
          <w:sz w:val="24"/>
          <w:szCs w:val="24"/>
        </w:rPr>
        <w:t>k BMC přes LAN.</w:t>
      </w:r>
    </w:p>
    <w:p w:rsidR="00B45E65" w:rsidRDefault="00B45E65">
      <w:pPr>
        <w:spacing w:line="95" w:lineRule="exact"/>
        <w:rPr>
          <w:sz w:val="20"/>
          <w:szCs w:val="20"/>
        </w:rPr>
      </w:pPr>
    </w:p>
    <w:p w:rsidR="00B45E65" w:rsidRDefault="00E917A2">
      <w:pPr>
        <w:numPr>
          <w:ilvl w:val="0"/>
          <w:numId w:val="40"/>
        </w:numPr>
        <w:tabs>
          <w:tab w:val="left" w:pos="704"/>
        </w:tabs>
        <w:spacing w:line="278" w:lineRule="auto"/>
        <w:ind w:left="800" w:right="3860" w:hanging="447"/>
        <w:rPr>
          <w:rFonts w:eastAsia="Times New Roman"/>
        </w:rPr>
      </w:pPr>
      <w:r>
        <w:rPr>
          <w:rFonts w:eastAsia="Times New Roman"/>
        </w:rPr>
        <w:t xml:space="preserve">musí mít duální napájení. Zdroje musí být vyměnitelné za chodu. </w:t>
      </w:r>
      <w:r>
        <w:rPr>
          <w:rFonts w:eastAsia="Times New Roman"/>
          <w:i/>
          <w:iCs/>
          <w:color w:val="FF0000"/>
        </w:rPr>
        <w:t>Serve</w:t>
      </w:r>
      <w:r>
        <w:rPr>
          <w:rFonts w:eastAsia="Times New Roman"/>
          <w:i/>
          <w:iCs/>
          <w:color w:val="FF0000"/>
        </w:rPr>
        <w:t>r má duální zapájení vyměnitelné za chodu.</w:t>
      </w: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8" w:lineRule="exact"/>
        <w:rPr>
          <w:sz w:val="20"/>
          <w:szCs w:val="20"/>
        </w:rPr>
      </w:pPr>
    </w:p>
    <w:p w:rsidR="00B45E65" w:rsidRDefault="00E917A2">
      <w:pPr>
        <w:rPr>
          <w:sz w:val="20"/>
          <w:szCs w:val="20"/>
        </w:rPr>
      </w:pPr>
      <w:r>
        <w:rPr>
          <w:rFonts w:eastAsia="Times New Roman"/>
          <w:b/>
          <w:bCs/>
        </w:rPr>
        <w:t>Požadavky na výpočetní uzly:</w:t>
      </w:r>
    </w:p>
    <w:p w:rsidR="00B45E65" w:rsidRDefault="00B45E65">
      <w:pPr>
        <w:sectPr w:rsidR="00B45E65">
          <w:pgSz w:w="11920" w:h="16845"/>
          <w:pgMar w:top="1104" w:right="450" w:bottom="100" w:left="1140" w:header="0" w:footer="0" w:gutter="0"/>
          <w:cols w:space="708" w:equalWidth="0">
            <w:col w:w="10320"/>
          </w:cols>
        </w:sectPr>
      </w:pPr>
    </w:p>
    <w:p w:rsidR="00B45E65" w:rsidRDefault="00B45E65">
      <w:pPr>
        <w:spacing w:line="322" w:lineRule="exact"/>
        <w:rPr>
          <w:sz w:val="20"/>
          <w:szCs w:val="20"/>
        </w:rPr>
      </w:pPr>
    </w:p>
    <w:p w:rsidR="00B45E65" w:rsidRDefault="00E917A2">
      <w:pPr>
        <w:ind w:left="982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16/20</w:t>
      </w:r>
    </w:p>
    <w:p w:rsidR="00B45E65" w:rsidRDefault="00B45E65">
      <w:pPr>
        <w:sectPr w:rsidR="00B45E65">
          <w:type w:val="continuous"/>
          <w:pgSz w:w="11920" w:h="16845"/>
          <w:pgMar w:top="1104" w:right="450" w:bottom="100" w:left="1140" w:header="0" w:footer="0" w:gutter="0"/>
          <w:cols w:space="708" w:equalWidth="0">
            <w:col w:w="10320"/>
          </w:cols>
        </w:sectPr>
      </w:pPr>
    </w:p>
    <w:p w:rsidR="00B45E65" w:rsidRDefault="00E917A2">
      <w:pPr>
        <w:numPr>
          <w:ilvl w:val="0"/>
          <w:numId w:val="41"/>
        </w:numPr>
        <w:tabs>
          <w:tab w:val="left" w:pos="214"/>
        </w:tabs>
        <w:spacing w:line="255" w:lineRule="auto"/>
        <w:ind w:left="987" w:right="3360" w:hanging="987"/>
        <w:rPr>
          <w:rFonts w:eastAsia="Times New Roman"/>
        </w:rPr>
      </w:pPr>
      <w:bookmarkStart w:id="16" w:name="page17"/>
      <w:bookmarkEnd w:id="16"/>
      <w:r>
        <w:rPr>
          <w:rFonts w:eastAsia="Times New Roman"/>
        </w:rPr>
        <w:lastRenderedPageBreak/>
        <w:t xml:space="preserve">Provedení do standardního 19" racku, velikost uzlu musí být maximálně 4U. </w:t>
      </w:r>
      <w:r>
        <w:rPr>
          <w:rFonts w:eastAsia="Times New Roman"/>
          <w:i/>
          <w:iCs/>
          <w:color w:val="FF0000"/>
        </w:rPr>
        <w:t>Server do standardního 19“ racku, velikost uzlu je 2U</w:t>
      </w:r>
    </w:p>
    <w:p w:rsidR="00B45E65" w:rsidRDefault="00E917A2">
      <w:pPr>
        <w:numPr>
          <w:ilvl w:val="0"/>
          <w:numId w:val="41"/>
        </w:numPr>
        <w:tabs>
          <w:tab w:val="left" w:pos="242"/>
        </w:tabs>
        <w:ind w:left="7" w:right="680" w:hanging="7"/>
        <w:rPr>
          <w:rFonts w:eastAsia="Times New Roman"/>
        </w:rPr>
      </w:pPr>
      <w:r>
        <w:rPr>
          <w:rFonts w:eastAsia="Times New Roman"/>
        </w:rPr>
        <w:t>Výpočetní uzel clusteru (výpočetní jednotka se samostatnou pamětí, chipsetem, procesory, diskem, atd.) musí mít minimálně dva procesory se sdílenou pamětí v architektuře x86_64.</w:t>
      </w:r>
    </w:p>
    <w:p w:rsidR="00B45E65" w:rsidRDefault="00E917A2">
      <w:pPr>
        <w:spacing w:line="248" w:lineRule="auto"/>
        <w:ind w:left="407" w:right="680"/>
        <w:rPr>
          <w:rFonts w:eastAsia="Times New Roman"/>
        </w:rPr>
      </w:pPr>
      <w:r>
        <w:rPr>
          <w:rFonts w:eastAsia="Times New Roman"/>
          <w:i/>
          <w:iCs/>
          <w:color w:val="FF0000"/>
        </w:rPr>
        <w:t xml:space="preserve">Výpočetní uzel clusteru Tyan Transport HX TN83-B8251 (jednotka se samostatnou </w:t>
      </w:r>
      <w:r>
        <w:rPr>
          <w:rFonts w:eastAsia="Times New Roman"/>
          <w:i/>
          <w:iCs/>
          <w:color w:val="FF0000"/>
        </w:rPr>
        <w:t>pamětí, chipsetem, procesory, diskem, atd.). Dva procesory se sdilenou pamětí v architektuře x86 64.</w:t>
      </w:r>
    </w:p>
    <w:p w:rsidR="00B45E65" w:rsidRDefault="00B45E65">
      <w:pPr>
        <w:spacing w:line="203" w:lineRule="exact"/>
        <w:rPr>
          <w:rFonts w:eastAsia="Times New Roman"/>
        </w:rPr>
      </w:pPr>
    </w:p>
    <w:p w:rsidR="00B45E65" w:rsidRDefault="00E917A2">
      <w:pPr>
        <w:numPr>
          <w:ilvl w:val="0"/>
          <w:numId w:val="41"/>
        </w:numPr>
        <w:tabs>
          <w:tab w:val="left" w:pos="302"/>
        </w:tabs>
        <w:spacing w:line="255" w:lineRule="auto"/>
        <w:ind w:left="7" w:right="680" w:hanging="7"/>
        <w:rPr>
          <w:rFonts w:eastAsia="Times New Roman"/>
        </w:rPr>
      </w:pPr>
      <w:r>
        <w:rPr>
          <w:rFonts w:eastAsia="Times New Roman"/>
        </w:rPr>
        <w:t>Nabízený procesor i další komponenty (motherboard, BIOS) musí podporovat virtualizaci, včetně virtualizace I/O (v terminologii firmy Intel VT-d, v termino</w:t>
      </w:r>
      <w:r>
        <w:rPr>
          <w:rFonts w:eastAsia="Times New Roman"/>
        </w:rPr>
        <w:t>logii firmy AMD AMD-Vi).</w:t>
      </w:r>
    </w:p>
    <w:p w:rsidR="00B45E65" w:rsidRDefault="00E917A2">
      <w:pPr>
        <w:spacing w:line="248" w:lineRule="auto"/>
        <w:ind w:left="407" w:right="680"/>
        <w:rPr>
          <w:rFonts w:eastAsia="Times New Roman"/>
        </w:rPr>
      </w:pPr>
      <w:r>
        <w:rPr>
          <w:rFonts w:eastAsia="Times New Roman"/>
          <w:i/>
          <w:iCs/>
          <w:color w:val="FF0000"/>
        </w:rPr>
        <w:t>Nabízený procesor i další komponenty (motherboard, BIOS) podporuje virtualizaci, včetně virtualizace I/O (AMD AMD-Vi).</w:t>
      </w:r>
    </w:p>
    <w:p w:rsidR="00B45E65" w:rsidRDefault="00B45E65">
      <w:pPr>
        <w:spacing w:line="203" w:lineRule="exact"/>
        <w:rPr>
          <w:rFonts w:eastAsia="Times New Roman"/>
        </w:rPr>
      </w:pPr>
    </w:p>
    <w:p w:rsidR="00B45E65" w:rsidRDefault="00E917A2">
      <w:pPr>
        <w:numPr>
          <w:ilvl w:val="0"/>
          <w:numId w:val="41"/>
        </w:numPr>
        <w:tabs>
          <w:tab w:val="left" w:pos="242"/>
        </w:tabs>
        <w:spacing w:line="244" w:lineRule="auto"/>
        <w:ind w:left="7" w:right="680" w:hanging="7"/>
        <w:jc w:val="both"/>
        <w:rPr>
          <w:rFonts w:eastAsia="Times New Roman"/>
        </w:rPr>
      </w:pPr>
      <w:r>
        <w:rPr>
          <w:rFonts w:eastAsia="Times New Roman"/>
        </w:rPr>
        <w:t>Každý CPU musí mít minimálně 16 výpočetních jader se základní frekvencí minimálně 3.0 GHz. Výkon uzlu v benchma</w:t>
      </w:r>
      <w:r>
        <w:rPr>
          <w:rFonts w:eastAsia="Times New Roman"/>
        </w:rPr>
        <w:t>rku SPEC CPU2017 FP Rate Base je alespoň 270 bodů. Výkon lze prokázat předložením oficiálního výsledku z webu www.spec.org dosaženého na ekvivalentním stroji (typ a počet procesorů totožný s dodanými procesory; počet a frekvence paměťových DIMMů a organiza</w:t>
      </w:r>
      <w:r>
        <w:rPr>
          <w:rFonts w:eastAsia="Times New Roman"/>
        </w:rPr>
        <w:t>ce paměti totožné s dodanou pamětí, velikost paměti se může lišit) nebo výsledkem spuštění benchmarku na uzlu nakonfigurovaném dle uvedené technické specifikace.</w:t>
      </w:r>
    </w:p>
    <w:p w:rsidR="00B45E65" w:rsidRDefault="00B45E65">
      <w:pPr>
        <w:spacing w:line="6" w:lineRule="exact"/>
        <w:rPr>
          <w:rFonts w:eastAsia="Times New Roman"/>
        </w:rPr>
      </w:pPr>
    </w:p>
    <w:p w:rsidR="00B45E65" w:rsidRDefault="00E917A2">
      <w:pPr>
        <w:spacing w:line="250" w:lineRule="auto"/>
        <w:ind w:left="407" w:right="680"/>
        <w:rPr>
          <w:rFonts w:eastAsia="Times New Roman"/>
        </w:rPr>
      </w:pPr>
      <w:r>
        <w:rPr>
          <w:rFonts w:eastAsia="Times New Roman"/>
          <w:i/>
          <w:iCs/>
          <w:color w:val="FF0000"/>
        </w:rPr>
        <w:t>Každý CPU má právě 16 výpočetních jader se základní frekvencí minimálně 3.0 GHz. Výkon uzlu v</w:t>
      </w:r>
      <w:r>
        <w:rPr>
          <w:rFonts w:eastAsia="Times New Roman"/>
          <w:i/>
          <w:iCs/>
          <w:color w:val="FF0000"/>
        </w:rPr>
        <w:t xml:space="preserve"> benchmarku SPEC CPU2017 FP Rate Base je 273 bodů.</w:t>
      </w:r>
    </w:p>
    <w:p w:rsidR="00B45E65" w:rsidRDefault="00B45E65">
      <w:pPr>
        <w:spacing w:line="199" w:lineRule="exact"/>
        <w:rPr>
          <w:rFonts w:eastAsia="Times New Roman"/>
        </w:rPr>
      </w:pPr>
    </w:p>
    <w:p w:rsidR="00B45E65" w:rsidRDefault="00E917A2">
      <w:pPr>
        <w:numPr>
          <w:ilvl w:val="0"/>
          <w:numId w:val="41"/>
        </w:numPr>
        <w:tabs>
          <w:tab w:val="left" w:pos="242"/>
        </w:tabs>
        <w:spacing w:line="250" w:lineRule="auto"/>
        <w:ind w:left="7" w:right="680" w:hanging="7"/>
        <w:jc w:val="both"/>
        <w:rPr>
          <w:rFonts w:eastAsia="Times New Roman"/>
        </w:rPr>
      </w:pPr>
      <w:r>
        <w:rPr>
          <w:rFonts w:eastAsia="Times New Roman"/>
        </w:rPr>
        <w:t xml:space="preserve">Operační paměť minimálně 256 GB DDR4. Rychlost paměti musí být stejná jako je maximální rychlost, kterou podporuje CPU. Na všech použitých paměťových kanálech musí být stejný počet DIMMů. Všechny použité </w:t>
      </w:r>
      <w:r>
        <w:rPr>
          <w:rFonts w:eastAsia="Times New Roman"/>
        </w:rPr>
        <w:t>paměťové kanály musí být osazeny stejně.</w:t>
      </w:r>
    </w:p>
    <w:p w:rsidR="00B45E65" w:rsidRDefault="00B45E65">
      <w:pPr>
        <w:spacing w:line="2" w:lineRule="exact"/>
        <w:rPr>
          <w:rFonts w:eastAsia="Times New Roman"/>
        </w:rPr>
      </w:pPr>
    </w:p>
    <w:p w:rsidR="00B45E65" w:rsidRDefault="00E917A2">
      <w:pPr>
        <w:spacing w:line="248" w:lineRule="auto"/>
        <w:ind w:left="7" w:right="680" w:firstLine="408"/>
        <w:rPr>
          <w:rFonts w:eastAsia="Times New Roman"/>
        </w:rPr>
      </w:pPr>
      <w:r>
        <w:rPr>
          <w:rFonts w:eastAsia="Times New Roman"/>
          <w:i/>
          <w:iCs/>
          <w:color w:val="FF0000"/>
        </w:rPr>
        <w:t>Operační paměť 256 GB DDR4 3200MHz. Na všech použitých paměťových kanálech je stejný počet DIMMů. Všechny použité paměťové kanály jsou osazeny stejně</w:t>
      </w:r>
    </w:p>
    <w:p w:rsidR="00B45E65" w:rsidRDefault="00B45E65">
      <w:pPr>
        <w:spacing w:line="203" w:lineRule="exact"/>
        <w:rPr>
          <w:rFonts w:eastAsia="Times New Roman"/>
        </w:rPr>
      </w:pPr>
    </w:p>
    <w:p w:rsidR="00B45E65" w:rsidRDefault="00E917A2">
      <w:pPr>
        <w:numPr>
          <w:ilvl w:val="0"/>
          <w:numId w:val="41"/>
        </w:numPr>
        <w:tabs>
          <w:tab w:val="left" w:pos="227"/>
        </w:tabs>
        <w:ind w:left="227" w:hanging="227"/>
        <w:rPr>
          <w:rFonts w:eastAsia="Times New Roman"/>
        </w:rPr>
      </w:pPr>
      <w:r>
        <w:rPr>
          <w:rFonts w:eastAsia="Times New Roman"/>
        </w:rPr>
        <w:t>Základní deska je osazena PCI-E 4.0.</w:t>
      </w:r>
    </w:p>
    <w:p w:rsidR="00B45E65" w:rsidRDefault="00B45E65">
      <w:pPr>
        <w:spacing w:line="31" w:lineRule="exact"/>
        <w:rPr>
          <w:sz w:val="20"/>
          <w:szCs w:val="20"/>
        </w:rPr>
      </w:pPr>
    </w:p>
    <w:p w:rsidR="00B45E65" w:rsidRDefault="00E917A2">
      <w:pPr>
        <w:ind w:left="407"/>
        <w:rPr>
          <w:sz w:val="20"/>
          <w:szCs w:val="20"/>
        </w:rPr>
      </w:pPr>
      <w:r>
        <w:rPr>
          <w:rFonts w:eastAsia="Times New Roman"/>
          <w:color w:val="FF0000"/>
        </w:rPr>
        <w:t>Základní deska je osazena</w:t>
      </w:r>
      <w:r>
        <w:rPr>
          <w:rFonts w:eastAsia="Times New Roman"/>
          <w:color w:val="FF0000"/>
        </w:rPr>
        <w:t xml:space="preserve"> PCI-E 4.0</w:t>
      </w:r>
    </w:p>
    <w:p w:rsidR="00B45E65" w:rsidRDefault="00B45E65">
      <w:pPr>
        <w:spacing w:line="221" w:lineRule="exact"/>
        <w:rPr>
          <w:sz w:val="20"/>
          <w:szCs w:val="20"/>
        </w:rPr>
      </w:pPr>
    </w:p>
    <w:p w:rsidR="00B45E65" w:rsidRDefault="00E917A2">
      <w:pPr>
        <w:numPr>
          <w:ilvl w:val="0"/>
          <w:numId w:val="42"/>
        </w:numPr>
        <w:tabs>
          <w:tab w:val="left" w:pos="262"/>
        </w:tabs>
        <w:spacing w:line="245" w:lineRule="auto"/>
        <w:ind w:left="7" w:right="680" w:hanging="7"/>
        <w:jc w:val="both"/>
        <w:rPr>
          <w:rFonts w:eastAsia="Times New Roman"/>
        </w:rPr>
      </w:pPr>
      <w:r>
        <w:rPr>
          <w:rFonts w:eastAsia="Times New Roman"/>
        </w:rPr>
        <w:t>Výpočetní uzel musí mít přístup k lokálnímu SSD prostoru, na kterém bude nainstalována cache pro souborový systém, vše realizováno alespoň dvěma SSD disky s celkovou kapacitou alespoň 2 TB. Rychlost lineárního čtení/zápisu SSD disků musí být al</w:t>
      </w:r>
      <w:r>
        <w:rPr>
          <w:rFonts w:eastAsia="Times New Roman"/>
        </w:rPr>
        <w:t>espoň 2800/1100 MB/s, SSD disky musí v součtu nabízet alespoň 465000/70000 IOPS pro náhodné čtení/zápis, každý disk musí mít Endurance Rating (Lifetime Writes) alespoň 1.9 PBW. Všechny disky musí být totožného typu a kapacity. Radič SSD disku musí umožňova</w:t>
      </w:r>
      <w:r>
        <w:rPr>
          <w:rFonts w:eastAsia="Times New Roman"/>
        </w:rPr>
        <w:t>ť zapojení disku do hardwarového diskového pole RAID 1. Disky musí být vyměnitelné za chodu.</w:t>
      </w:r>
    </w:p>
    <w:p w:rsidR="00B45E65" w:rsidRDefault="00B45E65">
      <w:pPr>
        <w:spacing w:line="1" w:lineRule="exact"/>
        <w:rPr>
          <w:rFonts w:eastAsia="Times New Roman"/>
        </w:rPr>
      </w:pPr>
    </w:p>
    <w:p w:rsidR="00B45E65" w:rsidRDefault="00E917A2">
      <w:pPr>
        <w:spacing w:line="241" w:lineRule="auto"/>
        <w:ind w:left="407" w:right="680"/>
        <w:jc w:val="both"/>
        <w:rPr>
          <w:rFonts w:eastAsia="Times New Roman"/>
        </w:rPr>
      </w:pPr>
      <w:r>
        <w:rPr>
          <w:rFonts w:eastAsia="Times New Roman"/>
          <w:i/>
          <w:iCs/>
          <w:color w:val="FF0000"/>
        </w:rPr>
        <w:t>Výpočetní uzel má přístup k lokálnímu SSD prostoru, na kterém bude nainstalována cache pro souborový systém, vše realizováno dvěma SSD disky Intel P4510 s celkovo</w:t>
      </w:r>
      <w:r>
        <w:rPr>
          <w:rFonts w:eastAsia="Times New Roman"/>
          <w:i/>
          <w:iCs/>
          <w:color w:val="FF0000"/>
        </w:rPr>
        <w:t>u kapacitou 2 TB. Rychlost lineárního čtení/zápisu SSD disků má 2850/1100 MB/s, SSD disky nabízí 465000/70000 IOPS pro náhodné čtení/zápis, každý disk má Endurance Rating (Lifetime Writes) alespoň 1.92 PBW. Všechny disky jsout totožného typu a kapacity. Ra</w:t>
      </w:r>
      <w:r>
        <w:rPr>
          <w:rFonts w:eastAsia="Times New Roman"/>
          <w:i/>
          <w:iCs/>
          <w:color w:val="FF0000"/>
        </w:rPr>
        <w:t>dič SSD disku umožňuje zapojení disku do hardwarového diskového pole RAID 1. Disky jsou vyměnitelné za chodu.</w:t>
      </w:r>
    </w:p>
    <w:p w:rsidR="00B45E65" w:rsidRDefault="00B45E65">
      <w:pPr>
        <w:spacing w:line="213" w:lineRule="exact"/>
        <w:rPr>
          <w:rFonts w:eastAsia="Times New Roman"/>
        </w:rPr>
      </w:pPr>
    </w:p>
    <w:p w:rsidR="00B45E65" w:rsidRDefault="00E917A2">
      <w:pPr>
        <w:numPr>
          <w:ilvl w:val="0"/>
          <w:numId w:val="42"/>
        </w:numPr>
        <w:tabs>
          <w:tab w:val="left" w:pos="240"/>
        </w:tabs>
        <w:spacing w:line="256" w:lineRule="auto"/>
        <w:ind w:left="7" w:right="680" w:hanging="7"/>
        <w:rPr>
          <w:rFonts w:eastAsia="Times New Roman"/>
        </w:rPr>
      </w:pPr>
      <w:r>
        <w:rPr>
          <w:rFonts w:eastAsia="Times New Roman"/>
        </w:rPr>
        <w:t>Výpočetní uzel musí mít přístup k lokálnímu disku s alespoň 7.200 RPM (SAS, FC, SCSI nebo SATA s NCQ), s celkovou kapacitou alespoň 10 TB.</w:t>
      </w:r>
    </w:p>
    <w:p w:rsidR="00B45E65" w:rsidRDefault="00E917A2">
      <w:pPr>
        <w:ind w:left="407"/>
        <w:rPr>
          <w:rFonts w:eastAsia="Times New Roman"/>
        </w:rPr>
      </w:pPr>
      <w:r>
        <w:rPr>
          <w:rFonts w:eastAsia="Times New Roman"/>
          <w:i/>
          <w:iCs/>
          <w:color w:val="FF0000"/>
          <w:sz w:val="24"/>
          <w:szCs w:val="24"/>
        </w:rPr>
        <w:t>Výpoč</w:t>
      </w:r>
      <w:r>
        <w:rPr>
          <w:rFonts w:eastAsia="Times New Roman"/>
          <w:i/>
          <w:iCs/>
          <w:color w:val="FF0000"/>
          <w:sz w:val="24"/>
          <w:szCs w:val="24"/>
        </w:rPr>
        <w:t>etní uzel má přístup k lokálnímu disku 10TB 7.200 RPM SATA</w:t>
      </w:r>
    </w:p>
    <w:p w:rsidR="00B45E65" w:rsidRDefault="00B45E65">
      <w:pPr>
        <w:spacing w:line="220" w:lineRule="exact"/>
        <w:rPr>
          <w:rFonts w:eastAsia="Times New Roman"/>
        </w:rPr>
      </w:pPr>
    </w:p>
    <w:p w:rsidR="00B45E65" w:rsidRDefault="00E917A2">
      <w:pPr>
        <w:numPr>
          <w:ilvl w:val="0"/>
          <w:numId w:val="42"/>
        </w:numPr>
        <w:tabs>
          <w:tab w:val="left" w:pos="266"/>
        </w:tabs>
        <w:spacing w:line="244" w:lineRule="auto"/>
        <w:ind w:left="7" w:right="680" w:hanging="7"/>
        <w:jc w:val="both"/>
        <w:rPr>
          <w:rFonts w:eastAsia="Times New Roman"/>
        </w:rPr>
      </w:pPr>
      <w:r>
        <w:rPr>
          <w:rFonts w:eastAsia="Times New Roman"/>
        </w:rPr>
        <w:t>Výpočetní uzel musí obsahovat čtyři GPU akcelerátory s podporou CUDA API a tenzorových jader. Teoretický a výkon je minimálně 11,2 TFLOPS v FP32 na jedno GPU. Každý GPU akcelerátor je osazen s min</w:t>
      </w:r>
      <w:r>
        <w:rPr>
          <w:rFonts w:eastAsia="Times New Roman"/>
        </w:rPr>
        <w:t>imálně 16 GB RAM s ECC. Maximalni vykon GPU karty bude 240 W. Karta bude osazena prvkem aktivniho chlazeni (vlastni ventilator), který bude podporovat proudeni vzduchu paralelne s nejdelsim rozmerem karty. Pocitacova skrin bude obsahovat dodatecne ventilat</w:t>
      </w:r>
      <w:r>
        <w:rPr>
          <w:rFonts w:eastAsia="Times New Roman"/>
        </w:rPr>
        <w:t>ory v oblasti osazeni GPU podporujici proudeni vzduch podel karty.</w:t>
      </w:r>
    </w:p>
    <w:p w:rsidR="00B45E65" w:rsidRDefault="00B45E65">
      <w:pPr>
        <w:spacing w:line="6" w:lineRule="exact"/>
        <w:rPr>
          <w:rFonts w:eastAsia="Times New Roman"/>
        </w:rPr>
      </w:pPr>
    </w:p>
    <w:p w:rsidR="00B45E65" w:rsidRDefault="00E917A2">
      <w:pPr>
        <w:spacing w:line="244" w:lineRule="auto"/>
        <w:ind w:left="407" w:right="680"/>
        <w:jc w:val="both"/>
        <w:rPr>
          <w:rFonts w:eastAsia="Times New Roman"/>
        </w:rPr>
      </w:pPr>
      <w:r>
        <w:rPr>
          <w:rFonts w:eastAsia="Times New Roman"/>
          <w:i/>
          <w:iCs/>
          <w:color w:val="FF0000"/>
        </w:rPr>
        <w:t>Výpočetní uzel obsahuje čtyři GPU akcelerátory s podporou CUDA API a tenzorových jader. NVidia Quadro RTX 5000. Teoretický a výkon je 11,2 TFLOPS v FP32 na jedno GPU. Každý GPU akcelerátor</w:t>
      </w:r>
      <w:r>
        <w:rPr>
          <w:rFonts w:eastAsia="Times New Roman"/>
          <w:i/>
          <w:iCs/>
          <w:color w:val="FF0000"/>
        </w:rPr>
        <w:t xml:space="preserve"> je osazen s 16 GB RAM s ECC. Maximalni vykon GPU karty je 230 W. Karta bude osazena prvkem</w:t>
      </w:r>
    </w:p>
    <w:p w:rsidR="00B45E65" w:rsidRDefault="00B45E65">
      <w:pPr>
        <w:sectPr w:rsidR="00B45E65">
          <w:pgSz w:w="11920" w:h="16845"/>
          <w:pgMar w:top="1362" w:right="450" w:bottom="100" w:left="1133" w:header="0" w:footer="0" w:gutter="0"/>
          <w:cols w:space="708" w:equalWidth="0">
            <w:col w:w="10327"/>
          </w:cols>
        </w:sectPr>
      </w:pPr>
    </w:p>
    <w:p w:rsidR="00B45E65" w:rsidRDefault="00B45E65">
      <w:pPr>
        <w:spacing w:line="363" w:lineRule="exact"/>
        <w:rPr>
          <w:sz w:val="20"/>
          <w:szCs w:val="20"/>
        </w:rPr>
      </w:pPr>
    </w:p>
    <w:p w:rsidR="00B45E65" w:rsidRDefault="00E917A2">
      <w:pPr>
        <w:ind w:left="9827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17/20</w:t>
      </w:r>
    </w:p>
    <w:p w:rsidR="00B45E65" w:rsidRDefault="00B45E65">
      <w:pPr>
        <w:sectPr w:rsidR="00B45E65">
          <w:type w:val="continuous"/>
          <w:pgSz w:w="11920" w:h="16845"/>
          <w:pgMar w:top="1362" w:right="450" w:bottom="100" w:left="1133" w:header="0" w:footer="0" w:gutter="0"/>
          <w:cols w:space="708" w:equalWidth="0">
            <w:col w:w="10327"/>
          </w:cols>
        </w:sectPr>
      </w:pPr>
    </w:p>
    <w:p w:rsidR="00B45E65" w:rsidRDefault="00E917A2">
      <w:pPr>
        <w:spacing w:line="258" w:lineRule="auto"/>
        <w:ind w:left="407" w:right="680"/>
        <w:jc w:val="both"/>
        <w:rPr>
          <w:sz w:val="20"/>
          <w:szCs w:val="20"/>
        </w:rPr>
      </w:pPr>
      <w:bookmarkStart w:id="17" w:name="page18"/>
      <w:bookmarkEnd w:id="17"/>
      <w:r>
        <w:rPr>
          <w:rFonts w:eastAsia="Times New Roman"/>
          <w:i/>
          <w:iCs/>
          <w:color w:val="FF0000"/>
        </w:rPr>
        <w:lastRenderedPageBreak/>
        <w:t xml:space="preserve">aktivniho chlazeni (vlastni ventilator), který bude podporovat proudeni vzduchu paralelne s nejdelsim rozmerem </w:t>
      </w:r>
      <w:r>
        <w:rPr>
          <w:rFonts w:eastAsia="Times New Roman"/>
          <w:i/>
          <w:iCs/>
          <w:color w:val="FF0000"/>
        </w:rPr>
        <w:t>karty. Pocitacova skrin bude obsahovat dodatecne ventilatory v oblasti osazeni GPU podporujici proudeni vzduch podel karty.</w:t>
      </w:r>
    </w:p>
    <w:p w:rsidR="00B45E65" w:rsidRDefault="00B45E65">
      <w:pPr>
        <w:spacing w:line="193" w:lineRule="exact"/>
        <w:rPr>
          <w:sz w:val="20"/>
          <w:szCs w:val="20"/>
        </w:rPr>
      </w:pPr>
    </w:p>
    <w:p w:rsidR="00B45E65" w:rsidRDefault="00E917A2">
      <w:pPr>
        <w:numPr>
          <w:ilvl w:val="0"/>
          <w:numId w:val="43"/>
        </w:numPr>
        <w:tabs>
          <w:tab w:val="left" w:pos="341"/>
        </w:tabs>
        <w:spacing w:line="253" w:lineRule="auto"/>
        <w:ind w:left="7" w:right="680" w:hanging="7"/>
        <w:jc w:val="both"/>
        <w:rPr>
          <w:rFonts w:eastAsia="Times New Roman"/>
        </w:rPr>
      </w:pPr>
      <w:r>
        <w:rPr>
          <w:rFonts w:eastAsia="Times New Roman"/>
        </w:rPr>
        <w:t>Každý uzel clusteru musí mít síťové rozhraní 1Gb Ethernet, 10Gb Ethernet, rozhraní 1Gb Ethernet musí podporovat bootování přes PXE.</w:t>
      </w:r>
      <w:r>
        <w:rPr>
          <w:rFonts w:eastAsia="Times New Roman"/>
        </w:rPr>
        <w:t xml:space="preserve"> 10Gb rozhraní musí být typu LR. Každý uzel musí na 10Gb rozhraní obsahovat dva SFP+ LR moduly, požadujeme připojení obou modulů do switchů zadavatele kabelem SM9/125um.</w:t>
      </w:r>
    </w:p>
    <w:p w:rsidR="00B45E65" w:rsidRDefault="00B45E65">
      <w:pPr>
        <w:spacing w:line="226" w:lineRule="exact"/>
        <w:rPr>
          <w:sz w:val="20"/>
          <w:szCs w:val="20"/>
        </w:rPr>
      </w:pPr>
    </w:p>
    <w:p w:rsidR="00B45E65" w:rsidRDefault="00E917A2">
      <w:pPr>
        <w:spacing w:line="258" w:lineRule="auto"/>
        <w:ind w:left="407" w:right="680"/>
        <w:jc w:val="both"/>
        <w:rPr>
          <w:sz w:val="20"/>
          <w:szCs w:val="20"/>
        </w:rPr>
      </w:pPr>
      <w:r>
        <w:rPr>
          <w:rFonts w:eastAsia="Times New Roman"/>
          <w:i/>
          <w:iCs/>
          <w:color w:val="FF0000"/>
        </w:rPr>
        <w:t>Každý uzel clusteru má 10Gb Ethernet RJ45 a 2x 10Gb Ethernet SFP+. Rozhraní 10Gb Ethe</w:t>
      </w:r>
      <w:r>
        <w:rPr>
          <w:rFonts w:eastAsia="Times New Roman"/>
          <w:i/>
          <w:iCs/>
          <w:color w:val="FF0000"/>
        </w:rPr>
        <w:t>rnet RJ45 podporuje bootování přes PXE. 10Gb rozhraní SFP+ je typu LR. Každý uzel má na 10Gb rozhraní dva LR moduly SFP+. Součástí dodávky je kabeláž pro připojení obou modulů do switchů zadavatele.</w:t>
      </w:r>
    </w:p>
    <w:p w:rsidR="00B45E65" w:rsidRDefault="00B45E65">
      <w:pPr>
        <w:spacing w:line="191" w:lineRule="exact"/>
        <w:rPr>
          <w:sz w:val="20"/>
          <w:szCs w:val="20"/>
        </w:rPr>
      </w:pPr>
    </w:p>
    <w:p w:rsidR="00B45E65" w:rsidRDefault="00E917A2">
      <w:pPr>
        <w:numPr>
          <w:ilvl w:val="0"/>
          <w:numId w:val="44"/>
        </w:numPr>
        <w:tabs>
          <w:tab w:val="left" w:pos="343"/>
        </w:tabs>
        <w:spacing w:line="281" w:lineRule="auto"/>
        <w:ind w:left="7" w:right="680" w:hanging="7"/>
        <w:rPr>
          <w:rFonts w:eastAsia="Times New Roman"/>
        </w:rPr>
      </w:pPr>
      <w:r>
        <w:rPr>
          <w:rFonts w:eastAsia="Times New Roman"/>
        </w:rPr>
        <w:t>Uzel clusteru umožňuje centralizovaný přístup ke konzoli</w:t>
      </w:r>
      <w:r>
        <w:rPr>
          <w:rFonts w:eastAsia="Times New Roman"/>
        </w:rPr>
        <w:t xml:space="preserve"> (klávesnice + monitor), a to jak lokálně (KVM switch), tak po síti (síťový KVM nebo BMC).</w:t>
      </w:r>
    </w:p>
    <w:p w:rsidR="00B45E65" w:rsidRDefault="00B45E65">
      <w:pPr>
        <w:spacing w:line="166" w:lineRule="exact"/>
        <w:rPr>
          <w:sz w:val="20"/>
          <w:szCs w:val="20"/>
        </w:rPr>
      </w:pPr>
    </w:p>
    <w:p w:rsidR="00B45E65" w:rsidRDefault="00E917A2">
      <w:pPr>
        <w:spacing w:line="281" w:lineRule="auto"/>
        <w:ind w:left="407" w:right="680"/>
        <w:rPr>
          <w:sz w:val="20"/>
          <w:szCs w:val="20"/>
        </w:rPr>
      </w:pPr>
      <w:r>
        <w:rPr>
          <w:rFonts w:ascii="Arial Narrow" w:eastAsia="Arial Narrow" w:hAnsi="Arial Narrow" w:cs="Arial Narrow"/>
          <w:i/>
          <w:iCs/>
          <w:color w:val="FF0000"/>
          <w:sz w:val="24"/>
          <w:szCs w:val="24"/>
        </w:rPr>
        <w:t>Umožnuje centralizovaný přistup ke konzoli (klávesnice + monitor), a to jak lokálně (KVM switch), tak i po síťi (síťový KVM nebo BMC).</w:t>
      </w:r>
    </w:p>
    <w:p w:rsidR="00B45E65" w:rsidRDefault="00B45E65">
      <w:pPr>
        <w:spacing w:line="162" w:lineRule="exact"/>
        <w:rPr>
          <w:sz w:val="20"/>
          <w:szCs w:val="20"/>
        </w:rPr>
      </w:pPr>
    </w:p>
    <w:p w:rsidR="00B45E65" w:rsidRDefault="00E917A2">
      <w:pPr>
        <w:numPr>
          <w:ilvl w:val="0"/>
          <w:numId w:val="45"/>
        </w:numPr>
        <w:tabs>
          <w:tab w:val="left" w:pos="355"/>
        </w:tabs>
        <w:spacing w:line="278" w:lineRule="auto"/>
        <w:ind w:left="7" w:right="680" w:hanging="7"/>
        <w:jc w:val="both"/>
        <w:rPr>
          <w:rFonts w:eastAsia="Times New Roman"/>
        </w:rPr>
      </w:pPr>
      <w:r>
        <w:rPr>
          <w:rFonts w:eastAsia="Times New Roman"/>
        </w:rPr>
        <w:t xml:space="preserve">Uzel clusteru podporuje </w:t>
      </w:r>
      <w:r>
        <w:rPr>
          <w:rFonts w:eastAsia="Times New Roman"/>
        </w:rPr>
        <w:t>bootování z externího zařízení a to jak lokálně (boot z USB – CD-ROM, flash disk, harddisk), tak po síti (boot z virtuálního média implementovaného pomocí síťového KVM nebo BMC).</w:t>
      </w:r>
    </w:p>
    <w:p w:rsidR="00B45E65" w:rsidRDefault="00B45E65">
      <w:pPr>
        <w:spacing w:line="170" w:lineRule="exact"/>
        <w:rPr>
          <w:sz w:val="20"/>
          <w:szCs w:val="20"/>
        </w:rPr>
      </w:pPr>
    </w:p>
    <w:p w:rsidR="00B45E65" w:rsidRDefault="00E917A2">
      <w:pPr>
        <w:spacing w:line="281" w:lineRule="auto"/>
        <w:ind w:left="407" w:right="680"/>
        <w:rPr>
          <w:sz w:val="20"/>
          <w:szCs w:val="20"/>
        </w:rPr>
      </w:pPr>
      <w:r>
        <w:rPr>
          <w:rFonts w:ascii="Arial Narrow" w:eastAsia="Arial Narrow" w:hAnsi="Arial Narrow" w:cs="Arial Narrow"/>
          <w:i/>
          <w:iCs/>
          <w:color w:val="FF0000"/>
          <w:sz w:val="24"/>
          <w:szCs w:val="24"/>
        </w:rPr>
        <w:t>Podporuje bootování z externího zařízení, a to jak lokální (boot z USB – CD-</w:t>
      </w:r>
      <w:r>
        <w:rPr>
          <w:rFonts w:ascii="Arial Narrow" w:eastAsia="Arial Narrow" w:hAnsi="Arial Narrow" w:cs="Arial Narrow"/>
          <w:i/>
          <w:iCs/>
          <w:color w:val="FF0000"/>
          <w:sz w:val="24"/>
          <w:szCs w:val="24"/>
        </w:rPr>
        <w:t>ROM, flash disku, HDD), tak po síťi (boot z virtuálního media implementovaného pomocí síťového KVM nebo BMC).</w:t>
      </w:r>
    </w:p>
    <w:p w:rsidR="00B45E65" w:rsidRDefault="00B45E65">
      <w:pPr>
        <w:spacing w:line="282" w:lineRule="exact"/>
        <w:rPr>
          <w:sz w:val="20"/>
          <w:szCs w:val="20"/>
        </w:rPr>
      </w:pPr>
    </w:p>
    <w:p w:rsidR="00B45E65" w:rsidRDefault="00E917A2">
      <w:pPr>
        <w:numPr>
          <w:ilvl w:val="0"/>
          <w:numId w:val="46"/>
        </w:numPr>
        <w:tabs>
          <w:tab w:val="left" w:pos="327"/>
        </w:tabs>
        <w:ind w:left="327" w:hanging="327"/>
        <w:rPr>
          <w:rFonts w:eastAsia="Times New Roman"/>
        </w:rPr>
      </w:pPr>
      <w:r>
        <w:rPr>
          <w:rFonts w:eastAsia="Times New Roman"/>
        </w:rPr>
        <w:t>Základní deska musí umožňovat změnu pořadí bootovacích zařízení.</w:t>
      </w:r>
    </w:p>
    <w:p w:rsidR="00B45E65" w:rsidRDefault="00B45E65">
      <w:pPr>
        <w:spacing w:line="251" w:lineRule="exact"/>
        <w:rPr>
          <w:rFonts w:eastAsia="Times New Roman"/>
        </w:rPr>
      </w:pPr>
    </w:p>
    <w:p w:rsidR="00B45E65" w:rsidRDefault="00E917A2">
      <w:pPr>
        <w:ind w:left="407"/>
        <w:rPr>
          <w:rFonts w:eastAsia="Times New Roman"/>
        </w:rPr>
      </w:pPr>
      <w:r>
        <w:rPr>
          <w:rFonts w:ascii="Arial Narrow" w:eastAsia="Arial Narrow" w:hAnsi="Arial Narrow" w:cs="Arial Narrow"/>
          <w:i/>
          <w:iCs/>
          <w:color w:val="FF0000"/>
          <w:sz w:val="24"/>
          <w:szCs w:val="24"/>
        </w:rPr>
        <w:t>Základní deska umožňuje změnu pořadí bootvacího zařízení.</w:t>
      </w:r>
    </w:p>
    <w:p w:rsidR="00B45E65" w:rsidRDefault="00B45E65">
      <w:pPr>
        <w:spacing w:line="375" w:lineRule="exact"/>
        <w:rPr>
          <w:rFonts w:eastAsia="Times New Roman"/>
        </w:rPr>
      </w:pPr>
    </w:p>
    <w:p w:rsidR="00B45E65" w:rsidRDefault="00E917A2">
      <w:pPr>
        <w:numPr>
          <w:ilvl w:val="0"/>
          <w:numId w:val="46"/>
        </w:numPr>
        <w:tabs>
          <w:tab w:val="left" w:pos="338"/>
        </w:tabs>
        <w:spacing w:line="253" w:lineRule="auto"/>
        <w:ind w:left="7" w:right="680" w:hanging="7"/>
        <w:jc w:val="both"/>
        <w:rPr>
          <w:rFonts w:eastAsia="Times New Roman"/>
        </w:rPr>
      </w:pPr>
      <w:r>
        <w:rPr>
          <w:rFonts w:eastAsia="Times New Roman"/>
        </w:rPr>
        <w:t xml:space="preserve">Základní deska musí </w:t>
      </w:r>
      <w:r>
        <w:rPr>
          <w:rFonts w:eastAsia="Times New Roman"/>
        </w:rPr>
        <w:t>obsahovat management controller (BMC) kompatibilní se specifikací IPMI 2.0 nebo vyšší. BMC musí umět monitorovat minimálně funkčnost ventilátorů a zdroje, teplotu CPU a základní desky; dále musí BMC poskytovat základní vzdálený power management (vypnout, z</w:t>
      </w:r>
      <w:r>
        <w:rPr>
          <w:rFonts w:eastAsia="Times New Roman"/>
        </w:rPr>
        <w:t>apnout, reset). Požadujeme možnost změny bootovacího zařízení vzdáleně pomocí BMC nebo KVM.</w:t>
      </w:r>
    </w:p>
    <w:p w:rsidR="00B45E65" w:rsidRDefault="00B45E65">
      <w:pPr>
        <w:spacing w:line="219" w:lineRule="exact"/>
        <w:rPr>
          <w:sz w:val="20"/>
          <w:szCs w:val="20"/>
        </w:rPr>
      </w:pPr>
    </w:p>
    <w:p w:rsidR="00B45E65" w:rsidRDefault="00E917A2">
      <w:pPr>
        <w:spacing w:line="253" w:lineRule="auto"/>
        <w:ind w:left="407" w:right="680"/>
        <w:jc w:val="both"/>
        <w:rPr>
          <w:sz w:val="20"/>
          <w:szCs w:val="20"/>
        </w:rPr>
      </w:pPr>
      <w:r>
        <w:rPr>
          <w:rFonts w:ascii="Arial Narrow" w:eastAsia="Arial Narrow" w:hAnsi="Arial Narrow" w:cs="Arial Narrow"/>
          <w:i/>
          <w:iCs/>
          <w:color w:val="FF0000"/>
          <w:sz w:val="24"/>
          <w:szCs w:val="24"/>
        </w:rPr>
        <w:t>Základní deska obsahuje management controller (BMC) kompatibilní se specifikací IPMI 2.0 nebo vyšší. BMC umí monitorovat funkčnost ventilátorů a zdroje, teplotu CP</w:t>
      </w:r>
      <w:r>
        <w:rPr>
          <w:rFonts w:ascii="Arial Narrow" w:eastAsia="Arial Narrow" w:hAnsi="Arial Narrow" w:cs="Arial Narrow"/>
          <w:i/>
          <w:iCs/>
          <w:color w:val="FF0000"/>
          <w:sz w:val="24"/>
          <w:szCs w:val="24"/>
        </w:rPr>
        <w:t>U a základní desky; dále BMC poskytuje základní vzdálený power management (vypnout, zapnout, reset). Možnost změny bootovacího zařízení vzdáleně pomocí BMC nebo KVM.</w:t>
      </w:r>
    </w:p>
    <w:p w:rsidR="00B45E65" w:rsidRDefault="00B45E65">
      <w:pPr>
        <w:spacing w:line="337" w:lineRule="exact"/>
        <w:rPr>
          <w:sz w:val="20"/>
          <w:szCs w:val="20"/>
        </w:rPr>
      </w:pPr>
    </w:p>
    <w:p w:rsidR="00B45E65" w:rsidRDefault="00E917A2">
      <w:pPr>
        <w:ind w:left="7"/>
        <w:rPr>
          <w:sz w:val="20"/>
          <w:szCs w:val="20"/>
        </w:rPr>
      </w:pPr>
      <w:r>
        <w:rPr>
          <w:rFonts w:eastAsia="Times New Roman"/>
        </w:rPr>
        <w:t>16. Každý uzel musí mít duální napájení. Zdroje musí být vyměnitelné za chodu.</w:t>
      </w: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1" w:lineRule="exact"/>
        <w:rPr>
          <w:sz w:val="20"/>
          <w:szCs w:val="20"/>
        </w:rPr>
      </w:pPr>
    </w:p>
    <w:p w:rsidR="00B45E65" w:rsidRDefault="00E917A2">
      <w:pPr>
        <w:ind w:left="407"/>
        <w:rPr>
          <w:sz w:val="20"/>
          <w:szCs w:val="20"/>
        </w:rPr>
      </w:pPr>
      <w:r>
        <w:rPr>
          <w:rFonts w:eastAsia="Times New Roman"/>
          <w:i/>
          <w:iCs/>
          <w:color w:val="FF0000"/>
        </w:rPr>
        <w:t>Server m</w:t>
      </w:r>
      <w:r>
        <w:rPr>
          <w:rFonts w:eastAsia="Times New Roman"/>
          <w:i/>
          <w:iCs/>
          <w:color w:val="FF0000"/>
        </w:rPr>
        <w:t>á duální zapájení vyměnitelné za chodu.</w:t>
      </w:r>
    </w:p>
    <w:p w:rsidR="00B45E65" w:rsidRDefault="00B45E65">
      <w:pPr>
        <w:spacing w:line="247" w:lineRule="exact"/>
        <w:rPr>
          <w:sz w:val="20"/>
          <w:szCs w:val="20"/>
        </w:rPr>
      </w:pPr>
    </w:p>
    <w:p w:rsidR="00B45E65" w:rsidRDefault="00E917A2">
      <w:pPr>
        <w:numPr>
          <w:ilvl w:val="0"/>
          <w:numId w:val="47"/>
        </w:numPr>
        <w:tabs>
          <w:tab w:val="left" w:pos="346"/>
        </w:tabs>
        <w:spacing w:line="255" w:lineRule="auto"/>
        <w:ind w:left="7" w:right="680" w:hanging="7"/>
        <w:jc w:val="both"/>
        <w:rPr>
          <w:rFonts w:eastAsia="Times New Roman"/>
        </w:rPr>
      </w:pPr>
      <w:r>
        <w:rPr>
          <w:rFonts w:eastAsia="Times New Roman"/>
        </w:rPr>
        <w:t>Součástí dodávky musí být veškerá propojovací kabeláž pro připojení každého uzlu do síťových switchů 1Gb a 2x 10Gb ethernet ve vedlejším racku. Veškeré kabely budou dodány na míru, jejich délka nepřesáhne</w:t>
      </w:r>
    </w:p>
    <w:p w:rsidR="00B45E65" w:rsidRDefault="00E917A2">
      <w:pPr>
        <w:numPr>
          <w:ilvl w:val="0"/>
          <w:numId w:val="48"/>
        </w:numPr>
        <w:tabs>
          <w:tab w:val="left" w:pos="267"/>
        </w:tabs>
        <w:ind w:left="267" w:hanging="267"/>
        <w:rPr>
          <w:rFonts w:eastAsia="Times New Roman"/>
        </w:rPr>
      </w:pPr>
      <w:r>
        <w:rPr>
          <w:rFonts w:eastAsia="Times New Roman"/>
        </w:rPr>
        <w:t xml:space="preserve">m. </w:t>
      </w:r>
      <w:r>
        <w:rPr>
          <w:rFonts w:eastAsia="Times New Roman"/>
        </w:rPr>
        <w:t>Ethernet switche nejsou součástí dodávky.</w:t>
      </w:r>
    </w:p>
    <w:p w:rsidR="00B45E65" w:rsidRDefault="00B45E65">
      <w:pPr>
        <w:spacing w:line="225" w:lineRule="exact"/>
        <w:rPr>
          <w:sz w:val="20"/>
          <w:szCs w:val="20"/>
        </w:rPr>
      </w:pPr>
    </w:p>
    <w:p w:rsidR="00B45E65" w:rsidRDefault="00E917A2">
      <w:pPr>
        <w:spacing w:line="258" w:lineRule="auto"/>
        <w:ind w:left="407" w:right="680"/>
        <w:jc w:val="both"/>
        <w:rPr>
          <w:sz w:val="20"/>
          <w:szCs w:val="20"/>
        </w:rPr>
      </w:pPr>
      <w:r>
        <w:rPr>
          <w:rFonts w:eastAsia="Times New Roman"/>
          <w:i/>
          <w:iCs/>
          <w:color w:val="FF0000"/>
        </w:rPr>
        <w:t>Součást dodávky je veškerá propojovací kabeláž pro připojení každého uzlu do síťových switchů 1Gb a 2x 10Gb ethernet ve vedlejším racku. Veškeré kabely budou dodány na míro. Maximální délka 15m. Ethernet switche n</w:t>
      </w:r>
      <w:r>
        <w:rPr>
          <w:rFonts w:eastAsia="Times New Roman"/>
          <w:i/>
          <w:iCs/>
          <w:color w:val="FF0000"/>
        </w:rPr>
        <w:t>ejsou součástí dodávky</w:t>
      </w: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2" w:lineRule="exact"/>
        <w:rPr>
          <w:sz w:val="20"/>
          <w:szCs w:val="20"/>
        </w:rPr>
      </w:pPr>
    </w:p>
    <w:p w:rsidR="00B45E65" w:rsidRDefault="00E917A2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Požadavky na rackové skříně</w:t>
      </w:r>
    </w:p>
    <w:p w:rsidR="00B45E65" w:rsidRDefault="00B45E65">
      <w:pPr>
        <w:spacing w:line="30" w:lineRule="exact"/>
        <w:rPr>
          <w:sz w:val="20"/>
          <w:szCs w:val="20"/>
        </w:rPr>
      </w:pPr>
    </w:p>
    <w:p w:rsidR="00B45E65" w:rsidRDefault="00E917A2">
      <w:pPr>
        <w:numPr>
          <w:ilvl w:val="0"/>
          <w:numId w:val="49"/>
        </w:numPr>
        <w:tabs>
          <w:tab w:val="left" w:pos="727"/>
        </w:tabs>
        <w:ind w:left="727" w:hanging="367"/>
        <w:rPr>
          <w:rFonts w:eastAsia="Times New Roman"/>
        </w:rPr>
      </w:pPr>
      <w:r>
        <w:rPr>
          <w:rFonts w:eastAsia="Times New Roman"/>
        </w:rPr>
        <w:t>Rozměr 800x2000x1000 mm.</w:t>
      </w:r>
    </w:p>
    <w:p w:rsidR="00B45E65" w:rsidRDefault="00B45E65">
      <w:pPr>
        <w:sectPr w:rsidR="00B45E65">
          <w:pgSz w:w="11920" w:h="16845"/>
          <w:pgMar w:top="1112" w:right="450" w:bottom="100" w:left="1133" w:header="0" w:footer="0" w:gutter="0"/>
          <w:cols w:space="708" w:equalWidth="0">
            <w:col w:w="10327"/>
          </w:cols>
        </w:sect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52" w:lineRule="exact"/>
        <w:rPr>
          <w:sz w:val="20"/>
          <w:szCs w:val="20"/>
        </w:rPr>
      </w:pPr>
    </w:p>
    <w:p w:rsidR="00B45E65" w:rsidRDefault="00E917A2">
      <w:pPr>
        <w:ind w:left="9827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18/20</w:t>
      </w:r>
    </w:p>
    <w:p w:rsidR="00B45E65" w:rsidRDefault="00B45E65">
      <w:pPr>
        <w:sectPr w:rsidR="00B45E65">
          <w:type w:val="continuous"/>
          <w:pgSz w:w="11920" w:h="16845"/>
          <w:pgMar w:top="1112" w:right="450" w:bottom="100" w:left="1133" w:header="0" w:footer="0" w:gutter="0"/>
          <w:cols w:space="708" w:equalWidth="0">
            <w:col w:w="10327"/>
          </w:cols>
        </w:sectPr>
      </w:pPr>
    </w:p>
    <w:p w:rsidR="00B45E65" w:rsidRDefault="00E917A2">
      <w:pPr>
        <w:ind w:left="680"/>
        <w:rPr>
          <w:sz w:val="20"/>
          <w:szCs w:val="20"/>
        </w:rPr>
      </w:pPr>
      <w:bookmarkStart w:id="18" w:name="page19"/>
      <w:bookmarkEnd w:id="18"/>
      <w:r>
        <w:rPr>
          <w:rFonts w:eastAsia="Times New Roman"/>
          <w:i/>
          <w:iCs/>
          <w:color w:val="FF0000"/>
        </w:rPr>
        <w:lastRenderedPageBreak/>
        <w:t>Rozměr 800x2000x1000 mm (Rittal)</w:t>
      </w:r>
    </w:p>
    <w:p w:rsidR="00B45E65" w:rsidRDefault="00B45E65">
      <w:pPr>
        <w:spacing w:line="30" w:lineRule="exact"/>
        <w:rPr>
          <w:sz w:val="20"/>
          <w:szCs w:val="20"/>
        </w:rPr>
      </w:pPr>
    </w:p>
    <w:p w:rsidR="00B45E65" w:rsidRDefault="00E917A2">
      <w:pPr>
        <w:numPr>
          <w:ilvl w:val="0"/>
          <w:numId w:val="50"/>
        </w:numPr>
        <w:tabs>
          <w:tab w:val="left" w:pos="406"/>
        </w:tabs>
        <w:ind w:left="680" w:right="3660" w:hanging="627"/>
        <w:rPr>
          <w:rFonts w:eastAsia="Times New Roman"/>
        </w:rPr>
      </w:pPr>
      <w:r>
        <w:rPr>
          <w:rFonts w:eastAsia="Times New Roman"/>
        </w:rPr>
        <w:t xml:space="preserve">Statická zatížitelnost 1500 kg, nosná konstrukce svařovaný rám. </w:t>
      </w:r>
      <w:r>
        <w:rPr>
          <w:rFonts w:eastAsia="Times New Roman"/>
          <w:i/>
          <w:iCs/>
          <w:color w:val="FF0000"/>
        </w:rPr>
        <w:t>Statická zatížitelnost 15</w:t>
      </w:r>
      <w:r>
        <w:rPr>
          <w:rFonts w:eastAsia="Times New Roman"/>
          <w:i/>
          <w:iCs/>
          <w:color w:val="FF0000"/>
        </w:rPr>
        <w:t>00kg, snosná konstrukce svařovaný rám.</w:t>
      </w:r>
    </w:p>
    <w:p w:rsidR="00B45E65" w:rsidRDefault="00E917A2">
      <w:pPr>
        <w:numPr>
          <w:ilvl w:val="0"/>
          <w:numId w:val="50"/>
        </w:numPr>
        <w:tabs>
          <w:tab w:val="left" w:pos="406"/>
        </w:tabs>
        <w:ind w:left="680" w:right="2880" w:hanging="627"/>
        <w:rPr>
          <w:rFonts w:eastAsia="Times New Roman"/>
        </w:rPr>
      </w:pPr>
      <w:r>
        <w:rPr>
          <w:rFonts w:eastAsia="Times New Roman"/>
        </w:rPr>
        <w:t xml:space="preserve">Perforované přední a zadní dveře se stupněm perforace minimálně 85 %. </w:t>
      </w:r>
      <w:r>
        <w:rPr>
          <w:rFonts w:eastAsia="Times New Roman"/>
          <w:i/>
          <w:iCs/>
          <w:color w:val="FF0000"/>
        </w:rPr>
        <w:t>Perforované přední a zadní dveře se stupněm perforace minimálně 85 %.</w:t>
      </w:r>
    </w:p>
    <w:p w:rsidR="00B45E65" w:rsidRDefault="00E917A2">
      <w:pPr>
        <w:numPr>
          <w:ilvl w:val="0"/>
          <w:numId w:val="50"/>
        </w:numPr>
        <w:tabs>
          <w:tab w:val="left" w:pos="420"/>
        </w:tabs>
        <w:ind w:left="420" w:hanging="367"/>
        <w:rPr>
          <w:rFonts w:eastAsia="Times New Roman"/>
        </w:rPr>
      </w:pPr>
      <w:r>
        <w:rPr>
          <w:rFonts w:eastAsia="Times New Roman"/>
        </w:rPr>
        <w:t>Vnější barva RAL 7035</w:t>
      </w:r>
    </w:p>
    <w:p w:rsidR="00B45E65" w:rsidRDefault="00E917A2">
      <w:pPr>
        <w:ind w:left="680"/>
        <w:rPr>
          <w:sz w:val="20"/>
          <w:szCs w:val="20"/>
        </w:rPr>
      </w:pPr>
      <w:r>
        <w:rPr>
          <w:rFonts w:eastAsia="Times New Roman"/>
          <w:i/>
          <w:iCs/>
          <w:color w:val="FF0000"/>
        </w:rPr>
        <w:t>Vnější barva RAL 7035</w:t>
      </w:r>
    </w:p>
    <w:p w:rsidR="00B45E65" w:rsidRDefault="00E917A2">
      <w:pPr>
        <w:numPr>
          <w:ilvl w:val="0"/>
          <w:numId w:val="51"/>
        </w:numPr>
        <w:tabs>
          <w:tab w:val="left" w:pos="406"/>
        </w:tabs>
        <w:ind w:left="680" w:right="2340" w:hanging="627"/>
        <w:rPr>
          <w:rFonts w:eastAsia="Times New Roman"/>
        </w:rPr>
      </w:pPr>
      <w:r>
        <w:rPr>
          <w:rFonts w:eastAsia="Times New Roman"/>
        </w:rPr>
        <w:t xml:space="preserve">Přední dveře vcelku, zadní dveře </w:t>
      </w:r>
      <w:r>
        <w:rPr>
          <w:rFonts w:eastAsia="Times New Roman"/>
        </w:rPr>
        <w:t xml:space="preserve">vertikálně půlené se čtyřbodovým zamykáním. </w:t>
      </w:r>
      <w:r>
        <w:rPr>
          <w:rFonts w:eastAsia="Times New Roman"/>
          <w:i/>
          <w:iCs/>
          <w:color w:val="FF0000"/>
        </w:rPr>
        <w:t>Přední dveře vcelku, zadní dveře vertikálně půlené se čtyřbodovým zamykáním</w:t>
      </w:r>
      <w:r>
        <w:rPr>
          <w:rFonts w:eastAsia="Times New Roman"/>
          <w:color w:val="000000"/>
        </w:rPr>
        <w:t>.</w:t>
      </w:r>
    </w:p>
    <w:p w:rsidR="00B45E65" w:rsidRDefault="00E917A2">
      <w:pPr>
        <w:numPr>
          <w:ilvl w:val="0"/>
          <w:numId w:val="51"/>
        </w:numPr>
        <w:tabs>
          <w:tab w:val="left" w:pos="420"/>
        </w:tabs>
        <w:ind w:left="420" w:hanging="367"/>
        <w:rPr>
          <w:rFonts w:eastAsia="Times New Roman"/>
        </w:rPr>
      </w:pPr>
      <w:r>
        <w:rPr>
          <w:rFonts w:eastAsia="Times New Roman"/>
        </w:rPr>
        <w:t>Odemykání všech dveří společným klíčem.</w:t>
      </w:r>
    </w:p>
    <w:p w:rsidR="00B45E65" w:rsidRDefault="00E917A2">
      <w:pPr>
        <w:ind w:left="680"/>
        <w:rPr>
          <w:sz w:val="20"/>
          <w:szCs w:val="20"/>
        </w:rPr>
      </w:pPr>
      <w:r>
        <w:rPr>
          <w:rFonts w:eastAsia="Times New Roman"/>
          <w:i/>
          <w:iCs/>
          <w:color w:val="FF0000"/>
        </w:rPr>
        <w:t>Odemykání všech dveří společným klíčem.</w:t>
      </w:r>
    </w:p>
    <w:p w:rsidR="00B45E65" w:rsidRDefault="00E917A2">
      <w:pPr>
        <w:numPr>
          <w:ilvl w:val="0"/>
          <w:numId w:val="52"/>
        </w:numPr>
        <w:tabs>
          <w:tab w:val="left" w:pos="420"/>
        </w:tabs>
        <w:ind w:left="420" w:hanging="367"/>
        <w:rPr>
          <w:rFonts w:eastAsia="Times New Roman"/>
        </w:rPr>
      </w:pPr>
      <w:r>
        <w:rPr>
          <w:rFonts w:eastAsia="Times New Roman"/>
        </w:rPr>
        <w:t xml:space="preserve">Střecha s kartáčovými kabelovými průchody po levé a </w:t>
      </w:r>
      <w:r>
        <w:rPr>
          <w:rFonts w:eastAsia="Times New Roman"/>
        </w:rPr>
        <w:t>pravé straně přes celou hloubku racku.</w:t>
      </w:r>
    </w:p>
    <w:p w:rsidR="00B45E65" w:rsidRDefault="00E917A2">
      <w:pPr>
        <w:ind w:left="680"/>
        <w:rPr>
          <w:sz w:val="20"/>
          <w:szCs w:val="20"/>
        </w:rPr>
      </w:pPr>
      <w:r>
        <w:rPr>
          <w:rFonts w:eastAsia="Times New Roman"/>
          <w:i/>
          <w:iCs/>
          <w:color w:val="FF0000"/>
        </w:rPr>
        <w:t>Střecha s kartáčovými kabelovými průchody po levé a pravé straně přes celou hloubku racku.</w:t>
      </w:r>
    </w:p>
    <w:p w:rsidR="00B45E65" w:rsidRDefault="00B45E65">
      <w:pPr>
        <w:spacing w:line="1" w:lineRule="exact"/>
        <w:rPr>
          <w:sz w:val="20"/>
          <w:szCs w:val="20"/>
        </w:rPr>
      </w:pPr>
    </w:p>
    <w:p w:rsidR="00B45E65" w:rsidRDefault="00E917A2">
      <w:pPr>
        <w:numPr>
          <w:ilvl w:val="0"/>
          <w:numId w:val="53"/>
        </w:numPr>
        <w:tabs>
          <w:tab w:val="left" w:pos="420"/>
        </w:tabs>
        <w:ind w:left="420" w:right="680" w:hanging="367"/>
        <w:rPr>
          <w:rFonts w:eastAsia="Times New Roman"/>
        </w:rPr>
      </w:pPr>
      <w:r>
        <w:rPr>
          <w:rFonts w:eastAsia="Times New Roman"/>
        </w:rPr>
        <w:t>Postranní záslepky po obou stranách 19” roviny (vlevo i vpravo) s integrovanými třemi vertikálně orientovanými pozicemi 1U po</w:t>
      </w:r>
      <w:r>
        <w:rPr>
          <w:rFonts w:eastAsia="Times New Roman"/>
        </w:rPr>
        <w:t xml:space="preserve"> každé straně.</w:t>
      </w:r>
    </w:p>
    <w:p w:rsidR="00B45E65" w:rsidRDefault="00B45E65">
      <w:pPr>
        <w:spacing w:line="1" w:lineRule="exact"/>
        <w:rPr>
          <w:rFonts w:eastAsia="Times New Roman"/>
        </w:rPr>
      </w:pPr>
    </w:p>
    <w:p w:rsidR="00B45E65" w:rsidRDefault="00E917A2">
      <w:pPr>
        <w:spacing w:line="239" w:lineRule="auto"/>
        <w:ind w:left="680" w:right="680"/>
        <w:rPr>
          <w:rFonts w:eastAsia="Times New Roman"/>
        </w:rPr>
      </w:pPr>
      <w:r>
        <w:rPr>
          <w:rFonts w:eastAsia="Times New Roman"/>
          <w:i/>
          <w:iCs/>
          <w:color w:val="FF0000"/>
        </w:rPr>
        <w:t>Postranní záslepky po obou stranách 19” roviny (vlevo i vpravo) s integrovanými třemi vertikálně orientovanými pozicemi 1U po každé straně.</w:t>
      </w:r>
    </w:p>
    <w:p w:rsidR="00B45E65" w:rsidRDefault="00E917A2">
      <w:pPr>
        <w:numPr>
          <w:ilvl w:val="0"/>
          <w:numId w:val="53"/>
        </w:numPr>
        <w:tabs>
          <w:tab w:val="left" w:pos="420"/>
        </w:tabs>
        <w:ind w:left="420" w:hanging="367"/>
        <w:rPr>
          <w:rFonts w:eastAsia="Times New Roman"/>
        </w:rPr>
      </w:pPr>
      <w:r>
        <w:rPr>
          <w:rFonts w:eastAsia="Times New Roman"/>
        </w:rPr>
        <w:t>Předinstalovaná přední i zadní 19” rovina posunovatelná rychoupínáním bez použití nářadí.</w:t>
      </w:r>
    </w:p>
    <w:p w:rsidR="00B45E65" w:rsidRDefault="00E917A2">
      <w:pPr>
        <w:ind w:left="680"/>
        <w:rPr>
          <w:sz w:val="20"/>
          <w:szCs w:val="20"/>
        </w:rPr>
      </w:pPr>
      <w:r>
        <w:rPr>
          <w:rFonts w:eastAsia="Times New Roman"/>
          <w:i/>
          <w:iCs/>
          <w:color w:val="FF0000"/>
        </w:rPr>
        <w:t>Př</w:t>
      </w:r>
      <w:r>
        <w:rPr>
          <w:rFonts w:eastAsia="Times New Roman"/>
          <w:i/>
          <w:iCs/>
          <w:color w:val="FF0000"/>
        </w:rPr>
        <w:t>edinstalovaná přední i zadní 19” rovina posunovatelná rychoupínáním bez použití nářadí.</w:t>
      </w:r>
    </w:p>
    <w:p w:rsidR="00B45E65" w:rsidRDefault="00E917A2">
      <w:pPr>
        <w:numPr>
          <w:ilvl w:val="0"/>
          <w:numId w:val="54"/>
        </w:numPr>
        <w:tabs>
          <w:tab w:val="left" w:pos="406"/>
        </w:tabs>
        <w:spacing w:line="251" w:lineRule="auto"/>
        <w:ind w:left="680" w:right="3240" w:hanging="627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 xml:space="preserve">Textový popis jednotlivých U po celé výšce přední i zadní 19” roviny. </w:t>
      </w:r>
      <w:r>
        <w:rPr>
          <w:rFonts w:eastAsia="Times New Roman"/>
          <w:i/>
          <w:iCs/>
          <w:color w:val="FF0000"/>
          <w:sz w:val="21"/>
          <w:szCs w:val="21"/>
        </w:rPr>
        <w:t>Textový popis jednotlivých U po celé výšce přední i zadní 19” roviny.</w:t>
      </w:r>
    </w:p>
    <w:p w:rsidR="00B45E65" w:rsidRDefault="00B45E65">
      <w:pPr>
        <w:spacing w:line="1" w:lineRule="exact"/>
        <w:rPr>
          <w:rFonts w:eastAsia="Times New Roman"/>
          <w:sz w:val="21"/>
          <w:szCs w:val="21"/>
        </w:rPr>
      </w:pPr>
    </w:p>
    <w:p w:rsidR="00B45E65" w:rsidRDefault="00E917A2">
      <w:pPr>
        <w:numPr>
          <w:ilvl w:val="0"/>
          <w:numId w:val="54"/>
        </w:numPr>
        <w:tabs>
          <w:tab w:val="left" w:pos="406"/>
        </w:tabs>
        <w:spacing w:line="251" w:lineRule="auto"/>
        <w:ind w:left="680" w:right="1580" w:hanging="627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Montážní sada a přepážka pr</w:t>
      </w:r>
      <w:r>
        <w:rPr>
          <w:rFonts w:eastAsia="Times New Roman"/>
          <w:sz w:val="21"/>
          <w:szCs w:val="21"/>
        </w:rPr>
        <w:t xml:space="preserve">o spojení se sousedními racky nebo chladicími jednotkami. </w:t>
      </w:r>
      <w:r>
        <w:rPr>
          <w:rFonts w:eastAsia="Times New Roman"/>
          <w:i/>
          <w:iCs/>
          <w:color w:val="FF0000"/>
          <w:sz w:val="21"/>
          <w:szCs w:val="21"/>
        </w:rPr>
        <w:t>Montážní sada a přepážka pro spojení se sousedními racky nebo chladicími jednotkami.</w:t>
      </w:r>
    </w:p>
    <w:p w:rsidR="00B45E65" w:rsidRDefault="00B45E65">
      <w:pPr>
        <w:spacing w:line="1" w:lineRule="exact"/>
        <w:rPr>
          <w:rFonts w:eastAsia="Times New Roman"/>
          <w:sz w:val="21"/>
          <w:szCs w:val="21"/>
        </w:rPr>
      </w:pPr>
    </w:p>
    <w:p w:rsidR="00B45E65" w:rsidRDefault="00E917A2">
      <w:pPr>
        <w:numPr>
          <w:ilvl w:val="0"/>
          <w:numId w:val="54"/>
        </w:numPr>
        <w:tabs>
          <w:tab w:val="left" w:pos="420"/>
        </w:tabs>
        <w:ind w:left="420" w:right="680" w:hanging="367"/>
        <w:rPr>
          <w:rFonts w:eastAsia="Times New Roman"/>
        </w:rPr>
      </w:pPr>
      <w:r>
        <w:rPr>
          <w:rFonts w:eastAsia="Times New Roman"/>
        </w:rPr>
        <w:t>Uzamykatelné bočnice, případně dělící příčka (nutno upřesnit dle aktuálního stavu zaplnění datového centra v dob</w:t>
      </w:r>
      <w:r>
        <w:rPr>
          <w:rFonts w:eastAsia="Times New Roman"/>
        </w:rPr>
        <w:t>ě soutěže).</w:t>
      </w:r>
    </w:p>
    <w:p w:rsidR="00B45E65" w:rsidRDefault="00E917A2">
      <w:pPr>
        <w:ind w:left="680"/>
        <w:rPr>
          <w:rFonts w:eastAsia="Times New Roman"/>
        </w:rPr>
      </w:pPr>
      <w:r>
        <w:rPr>
          <w:rFonts w:eastAsia="Times New Roman"/>
          <w:i/>
          <w:iCs/>
          <w:color w:val="FF0000"/>
        </w:rPr>
        <w:t>ANO</w:t>
      </w:r>
    </w:p>
    <w:p w:rsidR="00B45E65" w:rsidRDefault="00E917A2">
      <w:pPr>
        <w:numPr>
          <w:ilvl w:val="0"/>
          <w:numId w:val="54"/>
        </w:numPr>
        <w:tabs>
          <w:tab w:val="left" w:pos="420"/>
        </w:tabs>
        <w:ind w:left="420" w:right="680" w:hanging="367"/>
        <w:rPr>
          <w:rFonts w:eastAsia="Times New Roman"/>
        </w:rPr>
      </w:pPr>
      <w:r>
        <w:rPr>
          <w:rFonts w:eastAsia="Times New Roman"/>
        </w:rPr>
        <w:t>Součástí zakázky je i instalace serverového stojanu na místo, fyzické spojení se sousedními prvky a jejich připojení na systém ochranného pospojování.</w:t>
      </w:r>
    </w:p>
    <w:p w:rsidR="00B45E65" w:rsidRDefault="00E917A2">
      <w:pPr>
        <w:ind w:left="680" w:right="680"/>
        <w:rPr>
          <w:rFonts w:eastAsia="Times New Roman"/>
        </w:rPr>
      </w:pPr>
      <w:r>
        <w:rPr>
          <w:rFonts w:eastAsia="Times New Roman"/>
          <w:i/>
          <w:iCs/>
          <w:color w:val="FF0000"/>
        </w:rPr>
        <w:t>Instalace serverových stojanů na místo, fyzické spojení se sousedními prvky a jejich přip</w:t>
      </w:r>
      <w:r>
        <w:rPr>
          <w:rFonts w:eastAsia="Times New Roman"/>
          <w:i/>
          <w:iCs/>
          <w:color w:val="FF0000"/>
        </w:rPr>
        <w:t>ojení na systém chranného spojení.</w:t>
      </w:r>
    </w:p>
    <w:p w:rsidR="00B45E65" w:rsidRDefault="00E917A2">
      <w:pPr>
        <w:numPr>
          <w:ilvl w:val="0"/>
          <w:numId w:val="54"/>
        </w:numPr>
        <w:tabs>
          <w:tab w:val="left" w:pos="420"/>
        </w:tabs>
        <w:spacing w:line="239" w:lineRule="auto"/>
        <w:ind w:left="420" w:right="680" w:hanging="367"/>
        <w:jc w:val="both"/>
        <w:rPr>
          <w:rFonts w:eastAsia="Times New Roman"/>
        </w:rPr>
      </w:pPr>
      <w:r>
        <w:rPr>
          <w:rFonts w:eastAsia="Times New Roman"/>
        </w:rPr>
        <w:t xml:space="preserve">V racku jsou namontovány rozvodné panely PDU se zásuvkami CEE 7/5 v dostatečném počtu tak, že umožní připojení všech instalovaných uzlů a zároveň bude možno každé PDU připojit do standardní jednofázové zásuvky jištěné na </w:t>
      </w:r>
      <w:r>
        <w:rPr>
          <w:rFonts w:eastAsia="Times New Roman"/>
        </w:rPr>
        <w:t>16A, aniž by došlo i při dlouhodobém zatížení instalovaných uzlů na plný výkon k přetížení napájení.</w:t>
      </w:r>
    </w:p>
    <w:p w:rsidR="00B45E65" w:rsidRDefault="00B45E65">
      <w:pPr>
        <w:spacing w:line="2" w:lineRule="exact"/>
        <w:rPr>
          <w:rFonts w:eastAsia="Times New Roman"/>
        </w:rPr>
      </w:pPr>
    </w:p>
    <w:p w:rsidR="00B45E65" w:rsidRDefault="00E917A2">
      <w:pPr>
        <w:spacing w:line="243" w:lineRule="auto"/>
        <w:ind w:left="680" w:right="680"/>
        <w:jc w:val="both"/>
        <w:rPr>
          <w:rFonts w:eastAsia="Times New Roman"/>
        </w:rPr>
      </w:pPr>
      <w:r>
        <w:rPr>
          <w:rFonts w:eastAsia="Times New Roman"/>
          <w:i/>
          <w:iCs/>
          <w:color w:val="FF0000"/>
        </w:rPr>
        <w:t>V racku jsou namontovány rozvodné panely PDU se zásuvkami CEE 7/5 v dostatečném počtu tak, že umožní připojení všech instalovaných uzlů a zároveň</w:t>
      </w:r>
      <w:r>
        <w:rPr>
          <w:rFonts w:eastAsia="Times New Roman"/>
          <w:i/>
          <w:iCs/>
          <w:color w:val="FF0000"/>
        </w:rPr>
        <w:t xml:space="preserve"> bude možno každé PDU připojit do standardní jednofázové zásuvky jištěné na 16A, aniž by došlo i při dlouhodobém zatížení instalovaných uzlů na plný výkon k přetížení napájení.</w:t>
      </w:r>
    </w:p>
    <w:p w:rsidR="00B45E65" w:rsidRDefault="00B45E65">
      <w:pPr>
        <w:spacing w:line="200" w:lineRule="exact"/>
        <w:rPr>
          <w:rFonts w:eastAsia="Times New Roman"/>
        </w:rPr>
      </w:pPr>
    </w:p>
    <w:p w:rsidR="00B45E65" w:rsidRDefault="00B45E65">
      <w:pPr>
        <w:spacing w:line="282" w:lineRule="exact"/>
        <w:rPr>
          <w:rFonts w:eastAsia="Times New Roman"/>
        </w:rPr>
      </w:pPr>
    </w:p>
    <w:p w:rsidR="00B45E65" w:rsidRDefault="00E917A2">
      <w:pPr>
        <w:numPr>
          <w:ilvl w:val="0"/>
          <w:numId w:val="54"/>
        </w:numPr>
        <w:tabs>
          <w:tab w:val="left" w:pos="420"/>
        </w:tabs>
        <w:ind w:left="420" w:hanging="367"/>
        <w:rPr>
          <w:rFonts w:eastAsia="Times New Roman"/>
          <w:sz w:val="24"/>
          <w:szCs w:val="24"/>
        </w:rPr>
      </w:pPr>
      <w:r>
        <w:rPr>
          <w:rFonts w:eastAsia="Times New Roman"/>
        </w:rPr>
        <w:t>Limit instalovaného maximálního příkonu na jeden rack je 11 kW.</w:t>
      </w:r>
    </w:p>
    <w:p w:rsidR="00B45E65" w:rsidRDefault="00B45E65">
      <w:pPr>
        <w:spacing w:line="8" w:lineRule="exact"/>
        <w:rPr>
          <w:sz w:val="20"/>
          <w:szCs w:val="20"/>
        </w:rPr>
      </w:pPr>
    </w:p>
    <w:p w:rsidR="00B45E65" w:rsidRDefault="00E917A2">
      <w:pPr>
        <w:ind w:left="680"/>
        <w:rPr>
          <w:sz w:val="20"/>
          <w:szCs w:val="20"/>
        </w:rPr>
      </w:pPr>
      <w:r>
        <w:rPr>
          <w:rFonts w:eastAsia="Times New Roman"/>
          <w:i/>
          <w:iCs/>
          <w:color w:val="FF0000"/>
        </w:rPr>
        <w:t>Na každý rac</w:t>
      </w:r>
      <w:r>
        <w:rPr>
          <w:rFonts w:eastAsia="Times New Roman"/>
          <w:i/>
          <w:iCs/>
          <w:color w:val="FF0000"/>
        </w:rPr>
        <w:t>k je maximální přikon 11 kW</w:t>
      </w:r>
    </w:p>
    <w:p w:rsidR="00B45E65" w:rsidRDefault="00B45E65">
      <w:pPr>
        <w:sectPr w:rsidR="00B45E65">
          <w:pgSz w:w="11920" w:h="16845"/>
          <w:pgMar w:top="1112" w:right="450" w:bottom="100" w:left="1440" w:header="0" w:footer="0" w:gutter="0"/>
          <w:cols w:space="708" w:equalWidth="0">
            <w:col w:w="10020"/>
          </w:cols>
        </w:sect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375" w:lineRule="exact"/>
        <w:rPr>
          <w:sz w:val="20"/>
          <w:szCs w:val="20"/>
        </w:rPr>
      </w:pPr>
    </w:p>
    <w:p w:rsidR="00B45E65" w:rsidRDefault="00E917A2">
      <w:pPr>
        <w:ind w:left="952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19/20</w:t>
      </w:r>
    </w:p>
    <w:p w:rsidR="00B45E65" w:rsidRDefault="00B45E65">
      <w:pPr>
        <w:sectPr w:rsidR="00B45E65">
          <w:type w:val="continuous"/>
          <w:pgSz w:w="11920" w:h="16845"/>
          <w:pgMar w:top="1112" w:right="450" w:bottom="100" w:left="1440" w:header="0" w:footer="0" w:gutter="0"/>
          <w:cols w:space="708" w:equalWidth="0">
            <w:col w:w="10020"/>
          </w:cols>
        </w:sectPr>
      </w:pPr>
    </w:p>
    <w:p w:rsidR="00B45E65" w:rsidRDefault="00E917A2">
      <w:pPr>
        <w:ind w:left="80"/>
        <w:rPr>
          <w:sz w:val="20"/>
          <w:szCs w:val="20"/>
        </w:rPr>
      </w:pPr>
      <w:bookmarkStart w:id="19" w:name="page20"/>
      <w:bookmarkEnd w:id="19"/>
      <w:r>
        <w:rPr>
          <w:rFonts w:ascii="Verdana" w:eastAsia="Verdana" w:hAnsi="Verdana" w:cs="Verdana"/>
          <w:b/>
          <w:bCs/>
          <w:sz w:val="25"/>
          <w:szCs w:val="25"/>
        </w:rPr>
        <w:lastRenderedPageBreak/>
        <w:t>Důvěrné</w:t>
      </w:r>
    </w:p>
    <w:p w:rsidR="00B45E65" w:rsidRDefault="00B45E65">
      <w:pPr>
        <w:spacing w:line="147" w:lineRule="exact"/>
        <w:rPr>
          <w:sz w:val="20"/>
          <w:szCs w:val="20"/>
        </w:rPr>
      </w:pPr>
    </w:p>
    <w:p w:rsidR="00B45E65" w:rsidRDefault="00E917A2">
      <w:pPr>
        <w:ind w:left="4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4"/>
          <w:szCs w:val="14"/>
        </w:rPr>
        <w:t>XXXXXX</w:t>
      </w:r>
    </w:p>
    <w:p w:rsidR="00B45E65" w:rsidRDefault="00B45E65">
      <w:pPr>
        <w:spacing w:line="1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0"/>
        <w:gridCol w:w="440"/>
        <w:gridCol w:w="2120"/>
        <w:gridCol w:w="760"/>
        <w:gridCol w:w="960"/>
        <w:gridCol w:w="30"/>
      </w:tblGrid>
      <w:tr w:rsidR="00B45E65" w:rsidTr="00E917A2">
        <w:trPr>
          <w:trHeight w:val="142"/>
        </w:trPr>
        <w:tc>
          <w:tcPr>
            <w:tcW w:w="5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B45E65" w:rsidRDefault="00E917A2">
            <w:pPr>
              <w:ind w:left="24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1"/>
                <w:szCs w:val="11"/>
              </w:rPr>
              <w:t>XXXXXX</w:t>
            </w: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B45E65" w:rsidRDefault="00E917A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1"/>
                <w:szCs w:val="11"/>
              </w:rPr>
              <w:t>XX</w:t>
            </w:r>
          </w:p>
        </w:tc>
        <w:tc>
          <w:tcPr>
            <w:tcW w:w="2120" w:type="dxa"/>
            <w:vMerge w:val="restart"/>
            <w:tcBorders>
              <w:top w:val="single" w:sz="8" w:space="0" w:color="auto"/>
            </w:tcBorders>
            <w:shd w:val="clear" w:color="auto" w:fill="808080"/>
            <w:vAlign w:val="bottom"/>
          </w:tcPr>
          <w:p w:rsidR="00B45E65" w:rsidRDefault="00E917A2">
            <w:pPr>
              <w:ind w:right="86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1"/>
                <w:szCs w:val="11"/>
              </w:rPr>
              <w:t>XXXXXXXXXXXXXXXX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</w:tcBorders>
            <w:shd w:val="clear" w:color="auto" w:fill="808080"/>
            <w:vAlign w:val="bottom"/>
          </w:tcPr>
          <w:p w:rsidR="00B45E65" w:rsidRDefault="00E917A2">
            <w:pPr>
              <w:ind w:left="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1"/>
                <w:szCs w:val="11"/>
              </w:rPr>
              <w:t>XXXXXX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B45E65" w:rsidRDefault="00E917A2">
            <w:pPr>
              <w:ind w:left="6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98"/>
                <w:sz w:val="11"/>
                <w:szCs w:val="11"/>
              </w:rPr>
              <w:t>XXXXXXX</w:t>
            </w:r>
          </w:p>
        </w:tc>
        <w:tc>
          <w:tcPr>
            <w:tcW w:w="3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 w:rsidTr="00E917A2">
        <w:trPr>
          <w:trHeight w:val="75"/>
        </w:trPr>
        <w:tc>
          <w:tcPr>
            <w:tcW w:w="55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B45E65" w:rsidRDefault="00B45E65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shd w:val="clear" w:color="auto" w:fill="808080"/>
            <w:vAlign w:val="bottom"/>
          </w:tcPr>
          <w:p w:rsidR="00B45E65" w:rsidRDefault="00E917A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94"/>
                <w:sz w:val="11"/>
                <w:szCs w:val="11"/>
              </w:rPr>
              <w:t>XXX</w:t>
            </w:r>
          </w:p>
        </w:tc>
        <w:tc>
          <w:tcPr>
            <w:tcW w:w="2120" w:type="dxa"/>
            <w:vMerge/>
            <w:shd w:val="clear" w:color="auto" w:fill="808080"/>
            <w:vAlign w:val="bottom"/>
          </w:tcPr>
          <w:p w:rsidR="00B45E65" w:rsidRDefault="00B45E65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vMerge/>
            <w:shd w:val="clear" w:color="auto" w:fill="808080"/>
            <w:vAlign w:val="bottom"/>
          </w:tcPr>
          <w:p w:rsidR="00B45E65" w:rsidRDefault="00B45E65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808080"/>
            <w:vAlign w:val="bottom"/>
          </w:tcPr>
          <w:p w:rsidR="00B45E65" w:rsidRDefault="00B45E65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 w:rsidTr="00E917A2">
        <w:trPr>
          <w:trHeight w:val="60"/>
        </w:trPr>
        <w:tc>
          <w:tcPr>
            <w:tcW w:w="5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B45E65" w:rsidRDefault="00B45E65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B45E65" w:rsidRDefault="00B45E65"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shd w:val="clear" w:color="auto" w:fill="808080"/>
            <w:vAlign w:val="bottom"/>
          </w:tcPr>
          <w:p w:rsidR="00B45E65" w:rsidRDefault="00B45E65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808080"/>
            <w:vAlign w:val="bottom"/>
          </w:tcPr>
          <w:p w:rsidR="00B45E65" w:rsidRDefault="00B45E65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B45E65" w:rsidRDefault="00B45E65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E917A2" w:rsidTr="00AE711E">
        <w:trPr>
          <w:trHeight w:val="133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7A2" w:rsidRDefault="00E917A2" w:rsidP="00E917A2">
            <w:pPr>
              <w:spacing w:line="133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8D2126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2120" w:type="dxa"/>
          </w:tcPr>
          <w:p w:rsidR="00E917A2" w:rsidRDefault="00E917A2" w:rsidP="00E917A2"/>
        </w:tc>
        <w:tc>
          <w:tcPr>
            <w:tcW w:w="760" w:type="dxa"/>
          </w:tcPr>
          <w:p w:rsidR="00E917A2" w:rsidRDefault="00E917A2" w:rsidP="00E917A2"/>
        </w:tc>
        <w:tc>
          <w:tcPr>
            <w:tcW w:w="960" w:type="dxa"/>
            <w:tcBorders>
              <w:right w:val="single" w:sz="8" w:space="0" w:color="auto"/>
            </w:tcBorders>
          </w:tcPr>
          <w:p w:rsidR="00E917A2" w:rsidRDefault="00E917A2" w:rsidP="00E917A2"/>
        </w:tc>
        <w:tc>
          <w:tcPr>
            <w:tcW w:w="30" w:type="dxa"/>
            <w:vAlign w:val="bottom"/>
          </w:tcPr>
          <w:p w:rsidR="00E917A2" w:rsidRDefault="00E917A2" w:rsidP="00E917A2">
            <w:pPr>
              <w:rPr>
                <w:sz w:val="1"/>
                <w:szCs w:val="1"/>
              </w:rPr>
            </w:pPr>
          </w:p>
        </w:tc>
      </w:tr>
      <w:tr w:rsidR="00E917A2" w:rsidTr="00AE711E">
        <w:trPr>
          <w:trHeight w:val="73"/>
        </w:trPr>
        <w:tc>
          <w:tcPr>
            <w:tcW w:w="55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462A2D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440" w:type="dxa"/>
            <w:vMerge/>
            <w:tcBorders>
              <w:right w:val="single" w:sz="8" w:space="0" w:color="auto"/>
            </w:tcBorders>
          </w:tcPr>
          <w:p w:rsidR="00E917A2" w:rsidRDefault="00E917A2" w:rsidP="00E917A2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</w:tcPr>
          <w:p w:rsidR="00E917A2" w:rsidRDefault="00E917A2" w:rsidP="00E917A2"/>
        </w:tc>
        <w:tc>
          <w:tcPr>
            <w:tcW w:w="760" w:type="dxa"/>
          </w:tcPr>
          <w:p w:rsidR="00E917A2" w:rsidRDefault="00E917A2" w:rsidP="00E917A2"/>
        </w:tc>
        <w:tc>
          <w:tcPr>
            <w:tcW w:w="960" w:type="dxa"/>
            <w:tcBorders>
              <w:right w:val="single" w:sz="8" w:space="0" w:color="auto"/>
            </w:tcBorders>
          </w:tcPr>
          <w:p w:rsidR="00E917A2" w:rsidRDefault="00E917A2" w:rsidP="00E917A2"/>
        </w:tc>
        <w:tc>
          <w:tcPr>
            <w:tcW w:w="30" w:type="dxa"/>
            <w:vAlign w:val="bottom"/>
          </w:tcPr>
          <w:p w:rsidR="00E917A2" w:rsidRDefault="00E917A2" w:rsidP="00E917A2">
            <w:pPr>
              <w:rPr>
                <w:sz w:val="1"/>
                <w:szCs w:val="1"/>
              </w:rPr>
            </w:pPr>
          </w:p>
        </w:tc>
      </w:tr>
      <w:tr w:rsidR="00E917A2" w:rsidTr="00AE711E">
        <w:trPr>
          <w:trHeight w:val="73"/>
        </w:trPr>
        <w:tc>
          <w:tcPr>
            <w:tcW w:w="55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917A2" w:rsidRDefault="00E917A2" w:rsidP="00E917A2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8D2126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2120" w:type="dxa"/>
          </w:tcPr>
          <w:p w:rsidR="00E917A2" w:rsidRDefault="00E917A2" w:rsidP="00E917A2"/>
        </w:tc>
        <w:tc>
          <w:tcPr>
            <w:tcW w:w="760" w:type="dxa"/>
          </w:tcPr>
          <w:p w:rsidR="00E917A2" w:rsidRDefault="00E917A2" w:rsidP="00E917A2"/>
        </w:tc>
        <w:tc>
          <w:tcPr>
            <w:tcW w:w="960" w:type="dxa"/>
            <w:tcBorders>
              <w:right w:val="single" w:sz="8" w:space="0" w:color="auto"/>
            </w:tcBorders>
          </w:tcPr>
          <w:p w:rsidR="00E917A2" w:rsidRDefault="00E917A2" w:rsidP="00E917A2"/>
        </w:tc>
        <w:tc>
          <w:tcPr>
            <w:tcW w:w="30" w:type="dxa"/>
            <w:vAlign w:val="bottom"/>
          </w:tcPr>
          <w:p w:rsidR="00E917A2" w:rsidRDefault="00E917A2" w:rsidP="00E917A2">
            <w:pPr>
              <w:rPr>
                <w:sz w:val="1"/>
                <w:szCs w:val="1"/>
              </w:rPr>
            </w:pPr>
          </w:p>
        </w:tc>
      </w:tr>
      <w:tr w:rsidR="00E917A2" w:rsidTr="00AE711E">
        <w:trPr>
          <w:trHeight w:val="141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462A2D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440" w:type="dxa"/>
            <w:tcBorders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8D2126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2120" w:type="dxa"/>
          </w:tcPr>
          <w:p w:rsidR="00E917A2" w:rsidRDefault="00E917A2" w:rsidP="00E917A2"/>
        </w:tc>
        <w:tc>
          <w:tcPr>
            <w:tcW w:w="760" w:type="dxa"/>
          </w:tcPr>
          <w:p w:rsidR="00E917A2" w:rsidRDefault="00E917A2" w:rsidP="00E917A2"/>
        </w:tc>
        <w:tc>
          <w:tcPr>
            <w:tcW w:w="960" w:type="dxa"/>
            <w:tcBorders>
              <w:right w:val="single" w:sz="8" w:space="0" w:color="auto"/>
            </w:tcBorders>
          </w:tcPr>
          <w:p w:rsidR="00E917A2" w:rsidRDefault="00E917A2" w:rsidP="00E917A2"/>
        </w:tc>
        <w:tc>
          <w:tcPr>
            <w:tcW w:w="30" w:type="dxa"/>
            <w:vAlign w:val="bottom"/>
          </w:tcPr>
          <w:p w:rsidR="00E917A2" w:rsidRDefault="00E917A2" w:rsidP="00E917A2">
            <w:pPr>
              <w:rPr>
                <w:sz w:val="1"/>
                <w:szCs w:val="1"/>
              </w:rPr>
            </w:pPr>
          </w:p>
        </w:tc>
      </w:tr>
      <w:tr w:rsidR="00E917A2" w:rsidTr="00AE711E">
        <w:trPr>
          <w:trHeight w:val="142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462A2D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440" w:type="dxa"/>
            <w:tcBorders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8D2126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2120" w:type="dxa"/>
          </w:tcPr>
          <w:p w:rsidR="00E917A2" w:rsidRDefault="00E917A2" w:rsidP="00E917A2"/>
        </w:tc>
        <w:tc>
          <w:tcPr>
            <w:tcW w:w="760" w:type="dxa"/>
          </w:tcPr>
          <w:p w:rsidR="00E917A2" w:rsidRDefault="00E917A2" w:rsidP="00E917A2"/>
        </w:tc>
        <w:tc>
          <w:tcPr>
            <w:tcW w:w="960" w:type="dxa"/>
            <w:tcBorders>
              <w:right w:val="single" w:sz="8" w:space="0" w:color="auto"/>
            </w:tcBorders>
          </w:tcPr>
          <w:p w:rsidR="00E917A2" w:rsidRDefault="00E917A2" w:rsidP="00E917A2"/>
        </w:tc>
        <w:tc>
          <w:tcPr>
            <w:tcW w:w="30" w:type="dxa"/>
            <w:vAlign w:val="bottom"/>
          </w:tcPr>
          <w:p w:rsidR="00E917A2" w:rsidRDefault="00E917A2" w:rsidP="00E917A2">
            <w:pPr>
              <w:rPr>
                <w:sz w:val="1"/>
                <w:szCs w:val="1"/>
              </w:rPr>
            </w:pPr>
          </w:p>
        </w:tc>
      </w:tr>
      <w:tr w:rsidR="00E917A2" w:rsidTr="00AE711E">
        <w:trPr>
          <w:trHeight w:val="142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462A2D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440" w:type="dxa"/>
            <w:tcBorders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8D2126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2120" w:type="dxa"/>
          </w:tcPr>
          <w:p w:rsidR="00E917A2" w:rsidRDefault="00E917A2" w:rsidP="00E917A2"/>
        </w:tc>
        <w:tc>
          <w:tcPr>
            <w:tcW w:w="760" w:type="dxa"/>
          </w:tcPr>
          <w:p w:rsidR="00E917A2" w:rsidRDefault="00E917A2" w:rsidP="00E917A2"/>
        </w:tc>
        <w:tc>
          <w:tcPr>
            <w:tcW w:w="960" w:type="dxa"/>
            <w:tcBorders>
              <w:right w:val="single" w:sz="8" w:space="0" w:color="auto"/>
            </w:tcBorders>
          </w:tcPr>
          <w:p w:rsidR="00E917A2" w:rsidRDefault="00E917A2" w:rsidP="00E917A2"/>
        </w:tc>
        <w:tc>
          <w:tcPr>
            <w:tcW w:w="30" w:type="dxa"/>
            <w:vAlign w:val="bottom"/>
          </w:tcPr>
          <w:p w:rsidR="00E917A2" w:rsidRDefault="00E917A2" w:rsidP="00E917A2">
            <w:pPr>
              <w:rPr>
                <w:sz w:val="1"/>
                <w:szCs w:val="1"/>
              </w:rPr>
            </w:pPr>
          </w:p>
        </w:tc>
      </w:tr>
      <w:tr w:rsidR="00E917A2" w:rsidTr="00AE711E">
        <w:trPr>
          <w:trHeight w:val="142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462A2D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440" w:type="dxa"/>
            <w:tcBorders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8D2126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2120" w:type="dxa"/>
          </w:tcPr>
          <w:p w:rsidR="00E917A2" w:rsidRDefault="00E917A2" w:rsidP="00E917A2"/>
        </w:tc>
        <w:tc>
          <w:tcPr>
            <w:tcW w:w="760" w:type="dxa"/>
          </w:tcPr>
          <w:p w:rsidR="00E917A2" w:rsidRDefault="00E917A2" w:rsidP="00E917A2"/>
        </w:tc>
        <w:tc>
          <w:tcPr>
            <w:tcW w:w="960" w:type="dxa"/>
            <w:tcBorders>
              <w:right w:val="single" w:sz="8" w:space="0" w:color="auto"/>
            </w:tcBorders>
          </w:tcPr>
          <w:p w:rsidR="00E917A2" w:rsidRDefault="00E917A2" w:rsidP="00E917A2"/>
        </w:tc>
        <w:tc>
          <w:tcPr>
            <w:tcW w:w="30" w:type="dxa"/>
            <w:vAlign w:val="bottom"/>
          </w:tcPr>
          <w:p w:rsidR="00E917A2" w:rsidRDefault="00E917A2" w:rsidP="00E917A2">
            <w:pPr>
              <w:rPr>
                <w:sz w:val="1"/>
                <w:szCs w:val="1"/>
              </w:rPr>
            </w:pPr>
          </w:p>
        </w:tc>
      </w:tr>
      <w:tr w:rsidR="00E917A2" w:rsidTr="00AE711E">
        <w:trPr>
          <w:trHeight w:val="142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462A2D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440" w:type="dxa"/>
            <w:tcBorders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8D2126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2120" w:type="dxa"/>
          </w:tcPr>
          <w:p w:rsidR="00E917A2" w:rsidRDefault="00E917A2" w:rsidP="00E917A2"/>
        </w:tc>
        <w:tc>
          <w:tcPr>
            <w:tcW w:w="760" w:type="dxa"/>
          </w:tcPr>
          <w:p w:rsidR="00E917A2" w:rsidRDefault="00E917A2" w:rsidP="00E917A2"/>
        </w:tc>
        <w:tc>
          <w:tcPr>
            <w:tcW w:w="960" w:type="dxa"/>
            <w:tcBorders>
              <w:right w:val="single" w:sz="8" w:space="0" w:color="auto"/>
            </w:tcBorders>
          </w:tcPr>
          <w:p w:rsidR="00E917A2" w:rsidRDefault="00E917A2" w:rsidP="00E917A2"/>
        </w:tc>
        <w:tc>
          <w:tcPr>
            <w:tcW w:w="30" w:type="dxa"/>
            <w:vAlign w:val="bottom"/>
          </w:tcPr>
          <w:p w:rsidR="00E917A2" w:rsidRDefault="00E917A2" w:rsidP="00E917A2">
            <w:pPr>
              <w:rPr>
                <w:sz w:val="1"/>
                <w:szCs w:val="1"/>
              </w:rPr>
            </w:pPr>
          </w:p>
        </w:tc>
      </w:tr>
      <w:tr w:rsidR="00E917A2" w:rsidTr="00AE711E">
        <w:trPr>
          <w:trHeight w:val="142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462A2D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440" w:type="dxa"/>
            <w:tcBorders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8D2126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2120" w:type="dxa"/>
          </w:tcPr>
          <w:p w:rsidR="00E917A2" w:rsidRDefault="00E917A2" w:rsidP="00E917A2"/>
        </w:tc>
        <w:tc>
          <w:tcPr>
            <w:tcW w:w="760" w:type="dxa"/>
          </w:tcPr>
          <w:p w:rsidR="00E917A2" w:rsidRDefault="00E917A2" w:rsidP="00E917A2"/>
        </w:tc>
        <w:tc>
          <w:tcPr>
            <w:tcW w:w="960" w:type="dxa"/>
            <w:tcBorders>
              <w:right w:val="single" w:sz="8" w:space="0" w:color="auto"/>
            </w:tcBorders>
          </w:tcPr>
          <w:p w:rsidR="00E917A2" w:rsidRDefault="00E917A2" w:rsidP="00E917A2"/>
        </w:tc>
        <w:tc>
          <w:tcPr>
            <w:tcW w:w="30" w:type="dxa"/>
            <w:vAlign w:val="bottom"/>
          </w:tcPr>
          <w:p w:rsidR="00E917A2" w:rsidRDefault="00E917A2" w:rsidP="00E917A2">
            <w:pPr>
              <w:rPr>
                <w:sz w:val="1"/>
                <w:szCs w:val="1"/>
              </w:rPr>
            </w:pPr>
          </w:p>
        </w:tc>
      </w:tr>
      <w:tr w:rsidR="00E917A2" w:rsidTr="00AE711E">
        <w:trPr>
          <w:trHeight w:val="142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462A2D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440" w:type="dxa"/>
            <w:tcBorders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8D2126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2120" w:type="dxa"/>
          </w:tcPr>
          <w:p w:rsidR="00E917A2" w:rsidRDefault="00E917A2" w:rsidP="00E917A2"/>
        </w:tc>
        <w:tc>
          <w:tcPr>
            <w:tcW w:w="760" w:type="dxa"/>
          </w:tcPr>
          <w:p w:rsidR="00E917A2" w:rsidRDefault="00E917A2" w:rsidP="00E917A2"/>
        </w:tc>
        <w:tc>
          <w:tcPr>
            <w:tcW w:w="960" w:type="dxa"/>
            <w:tcBorders>
              <w:right w:val="single" w:sz="8" w:space="0" w:color="auto"/>
            </w:tcBorders>
          </w:tcPr>
          <w:p w:rsidR="00E917A2" w:rsidRDefault="00E917A2" w:rsidP="00E917A2"/>
        </w:tc>
        <w:tc>
          <w:tcPr>
            <w:tcW w:w="30" w:type="dxa"/>
            <w:vAlign w:val="bottom"/>
          </w:tcPr>
          <w:p w:rsidR="00E917A2" w:rsidRDefault="00E917A2" w:rsidP="00E917A2">
            <w:pPr>
              <w:rPr>
                <w:sz w:val="1"/>
                <w:szCs w:val="1"/>
              </w:rPr>
            </w:pPr>
          </w:p>
        </w:tc>
      </w:tr>
      <w:tr w:rsidR="00E917A2" w:rsidTr="00AE711E">
        <w:trPr>
          <w:trHeight w:val="136"/>
        </w:trPr>
        <w:tc>
          <w:tcPr>
            <w:tcW w:w="5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462A2D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8D2126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2120" w:type="dxa"/>
            <w:tcBorders>
              <w:bottom w:val="single" w:sz="8" w:space="0" w:color="auto"/>
            </w:tcBorders>
          </w:tcPr>
          <w:p w:rsidR="00E917A2" w:rsidRDefault="00E917A2" w:rsidP="00E917A2"/>
        </w:tc>
        <w:tc>
          <w:tcPr>
            <w:tcW w:w="760" w:type="dxa"/>
            <w:tcBorders>
              <w:bottom w:val="single" w:sz="8" w:space="0" w:color="auto"/>
            </w:tcBorders>
          </w:tcPr>
          <w:p w:rsidR="00E917A2" w:rsidRDefault="00E917A2" w:rsidP="00E917A2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</w:tcPr>
          <w:p w:rsidR="00E917A2" w:rsidRDefault="00E917A2" w:rsidP="00E917A2"/>
        </w:tc>
        <w:tc>
          <w:tcPr>
            <w:tcW w:w="30" w:type="dxa"/>
            <w:vAlign w:val="bottom"/>
          </w:tcPr>
          <w:p w:rsidR="00E917A2" w:rsidRDefault="00E917A2" w:rsidP="00E917A2">
            <w:pPr>
              <w:rPr>
                <w:sz w:val="1"/>
                <w:szCs w:val="1"/>
              </w:rPr>
            </w:pPr>
          </w:p>
        </w:tc>
      </w:tr>
      <w:tr w:rsidR="00E917A2" w:rsidTr="00AE711E">
        <w:trPr>
          <w:trHeight w:val="129"/>
        </w:trPr>
        <w:tc>
          <w:tcPr>
            <w:tcW w:w="5540" w:type="dxa"/>
            <w:tcBorders>
              <w:left w:val="single" w:sz="8" w:space="0" w:color="auto"/>
              <w:bottom w:val="single" w:sz="8" w:space="0" w:color="auto"/>
              <w:right w:val="single" w:sz="8" w:space="0" w:color="808080"/>
            </w:tcBorders>
            <w:shd w:val="clear" w:color="auto" w:fill="808080"/>
            <w:vAlign w:val="bottom"/>
          </w:tcPr>
          <w:p w:rsidR="00E917A2" w:rsidRDefault="00E917A2" w:rsidP="00E917A2">
            <w:pPr>
              <w:spacing w:line="129" w:lineRule="exact"/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1"/>
                <w:szCs w:val="11"/>
              </w:rPr>
              <w:t>XXXXXXX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808080"/>
            </w:tcBorders>
            <w:shd w:val="clear" w:color="auto" w:fill="808080"/>
          </w:tcPr>
          <w:p w:rsidR="00E917A2" w:rsidRDefault="00E917A2" w:rsidP="00E917A2">
            <w:proofErr w:type="spellStart"/>
            <w:r w:rsidRPr="008D2126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2120" w:type="dxa"/>
            <w:tcBorders>
              <w:bottom w:val="single" w:sz="8" w:space="0" w:color="auto"/>
            </w:tcBorders>
            <w:shd w:val="clear" w:color="auto" w:fill="808080"/>
          </w:tcPr>
          <w:p w:rsidR="00E917A2" w:rsidRDefault="00E917A2" w:rsidP="00E917A2">
            <w:proofErr w:type="spellStart"/>
            <w:r w:rsidRPr="008D2126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808080"/>
          </w:tcPr>
          <w:p w:rsidR="00E917A2" w:rsidRDefault="00E917A2" w:rsidP="00E917A2">
            <w:proofErr w:type="spellStart"/>
            <w:r w:rsidRPr="008D2126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08080"/>
          </w:tcPr>
          <w:p w:rsidR="00E917A2" w:rsidRDefault="00E917A2" w:rsidP="00E917A2">
            <w:proofErr w:type="spellStart"/>
            <w:r w:rsidRPr="008D2126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30" w:type="dxa"/>
            <w:vAlign w:val="bottom"/>
          </w:tcPr>
          <w:p w:rsidR="00E917A2" w:rsidRDefault="00E917A2" w:rsidP="00E917A2">
            <w:pPr>
              <w:rPr>
                <w:sz w:val="1"/>
                <w:szCs w:val="1"/>
              </w:rPr>
            </w:pPr>
          </w:p>
        </w:tc>
      </w:tr>
    </w:tbl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83" w:lineRule="exact"/>
        <w:rPr>
          <w:sz w:val="20"/>
          <w:szCs w:val="20"/>
        </w:rPr>
      </w:pPr>
    </w:p>
    <w:p w:rsidR="00B45E65" w:rsidRDefault="00E917A2">
      <w:pPr>
        <w:ind w:left="4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4"/>
          <w:szCs w:val="14"/>
        </w:rPr>
        <w:t>XXXXXXXXX</w:t>
      </w:r>
    </w:p>
    <w:p w:rsidR="00B45E65" w:rsidRDefault="00B45E65">
      <w:pPr>
        <w:spacing w:line="1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0"/>
        <w:gridCol w:w="440"/>
        <w:gridCol w:w="2120"/>
        <w:gridCol w:w="760"/>
        <w:gridCol w:w="960"/>
        <w:gridCol w:w="30"/>
      </w:tblGrid>
      <w:tr w:rsidR="00B45E65" w:rsidTr="00E917A2">
        <w:trPr>
          <w:trHeight w:val="142"/>
        </w:trPr>
        <w:tc>
          <w:tcPr>
            <w:tcW w:w="5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B45E65" w:rsidRDefault="00E917A2">
            <w:pPr>
              <w:ind w:left="24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1"/>
                <w:szCs w:val="11"/>
              </w:rPr>
              <w:t>XXXXXXXX</w:t>
            </w: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B45E65" w:rsidRDefault="00E917A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1"/>
                <w:szCs w:val="11"/>
              </w:rPr>
              <w:t>XXXX</w:t>
            </w:r>
          </w:p>
        </w:tc>
        <w:tc>
          <w:tcPr>
            <w:tcW w:w="2120" w:type="dxa"/>
            <w:vMerge w:val="restart"/>
            <w:tcBorders>
              <w:top w:val="single" w:sz="8" w:space="0" w:color="auto"/>
            </w:tcBorders>
            <w:shd w:val="clear" w:color="auto" w:fill="808080"/>
            <w:vAlign w:val="bottom"/>
          </w:tcPr>
          <w:p w:rsidR="00B45E65" w:rsidRDefault="00E917A2">
            <w:pPr>
              <w:ind w:right="86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1"/>
                <w:szCs w:val="11"/>
              </w:rPr>
              <w:t>XXXXXXXXXXXXXXXXXXX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</w:tcBorders>
            <w:shd w:val="clear" w:color="auto" w:fill="808080"/>
            <w:vAlign w:val="bottom"/>
          </w:tcPr>
          <w:p w:rsidR="00B45E65" w:rsidRDefault="00E917A2">
            <w:pPr>
              <w:ind w:left="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1"/>
                <w:szCs w:val="11"/>
              </w:rPr>
              <w:t>XXXXXXXX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B45E65" w:rsidRDefault="00E917A2">
            <w:pPr>
              <w:ind w:left="6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98"/>
                <w:sz w:val="11"/>
                <w:szCs w:val="11"/>
              </w:rPr>
              <w:t>XXXXXXX</w:t>
            </w:r>
          </w:p>
        </w:tc>
        <w:tc>
          <w:tcPr>
            <w:tcW w:w="3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 w:rsidTr="00E917A2">
        <w:trPr>
          <w:trHeight w:val="135"/>
        </w:trPr>
        <w:tc>
          <w:tcPr>
            <w:tcW w:w="5540" w:type="dxa"/>
            <w:vMerge/>
            <w:tcBorders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808080"/>
            <w:vAlign w:val="bottom"/>
          </w:tcPr>
          <w:p w:rsidR="00B45E65" w:rsidRDefault="00B45E65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auto"/>
            </w:tcBorders>
            <w:shd w:val="clear" w:color="auto" w:fill="808080"/>
            <w:vAlign w:val="bottom"/>
          </w:tcPr>
          <w:p w:rsidR="00B45E65" w:rsidRDefault="00E917A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94"/>
                <w:sz w:val="11"/>
                <w:szCs w:val="11"/>
              </w:rPr>
              <w:t>XXX</w:t>
            </w:r>
          </w:p>
        </w:tc>
        <w:tc>
          <w:tcPr>
            <w:tcW w:w="2120" w:type="dxa"/>
            <w:vMerge/>
            <w:tcBorders>
              <w:bottom w:val="single" w:sz="8" w:space="0" w:color="808080"/>
            </w:tcBorders>
            <w:shd w:val="clear" w:color="auto" w:fill="808080"/>
            <w:vAlign w:val="bottom"/>
          </w:tcPr>
          <w:p w:rsidR="00B45E65" w:rsidRDefault="00B45E65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Merge/>
            <w:tcBorders>
              <w:bottom w:val="single" w:sz="8" w:space="0" w:color="808080"/>
            </w:tcBorders>
            <w:shd w:val="clear" w:color="auto" w:fill="808080"/>
            <w:vAlign w:val="bottom"/>
          </w:tcPr>
          <w:p w:rsidR="00B45E65" w:rsidRDefault="00B45E65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vMerge/>
            <w:tcBorders>
              <w:bottom w:val="single" w:sz="8" w:space="0" w:color="808080"/>
              <w:right w:val="single" w:sz="8" w:space="0" w:color="auto"/>
            </w:tcBorders>
            <w:shd w:val="clear" w:color="auto" w:fill="808080"/>
            <w:vAlign w:val="bottom"/>
          </w:tcPr>
          <w:p w:rsidR="00B45E65" w:rsidRDefault="00B45E65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E917A2" w:rsidTr="000645F1">
        <w:trPr>
          <w:trHeight w:val="133"/>
        </w:trPr>
        <w:tc>
          <w:tcPr>
            <w:tcW w:w="5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042D76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44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CC2BD6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2120" w:type="dxa"/>
            <w:tcBorders>
              <w:top w:val="single" w:sz="8" w:space="0" w:color="auto"/>
            </w:tcBorders>
          </w:tcPr>
          <w:p w:rsidR="00E917A2" w:rsidRDefault="00E917A2" w:rsidP="00E917A2"/>
        </w:tc>
        <w:tc>
          <w:tcPr>
            <w:tcW w:w="760" w:type="dxa"/>
            <w:tcBorders>
              <w:top w:val="single" w:sz="8" w:space="0" w:color="auto"/>
            </w:tcBorders>
          </w:tcPr>
          <w:p w:rsidR="00E917A2" w:rsidRDefault="00E917A2" w:rsidP="00E917A2"/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</w:tcPr>
          <w:p w:rsidR="00E917A2" w:rsidRDefault="00E917A2" w:rsidP="00E917A2"/>
        </w:tc>
        <w:tc>
          <w:tcPr>
            <w:tcW w:w="30" w:type="dxa"/>
            <w:vAlign w:val="bottom"/>
          </w:tcPr>
          <w:p w:rsidR="00E917A2" w:rsidRDefault="00E917A2" w:rsidP="00E917A2">
            <w:pPr>
              <w:rPr>
                <w:sz w:val="1"/>
                <w:szCs w:val="1"/>
              </w:rPr>
            </w:pPr>
          </w:p>
        </w:tc>
      </w:tr>
      <w:tr w:rsidR="00E917A2" w:rsidTr="000645F1">
        <w:trPr>
          <w:trHeight w:val="73"/>
        </w:trPr>
        <w:tc>
          <w:tcPr>
            <w:tcW w:w="55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042D76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440" w:type="dxa"/>
            <w:vMerge/>
            <w:tcBorders>
              <w:right w:val="single" w:sz="8" w:space="0" w:color="auto"/>
            </w:tcBorders>
          </w:tcPr>
          <w:p w:rsidR="00E917A2" w:rsidRDefault="00E917A2" w:rsidP="00E917A2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</w:tcPr>
          <w:p w:rsidR="00E917A2" w:rsidRDefault="00E917A2" w:rsidP="00E917A2"/>
        </w:tc>
        <w:tc>
          <w:tcPr>
            <w:tcW w:w="760" w:type="dxa"/>
          </w:tcPr>
          <w:p w:rsidR="00E917A2" w:rsidRDefault="00E917A2" w:rsidP="00E917A2"/>
        </w:tc>
        <w:tc>
          <w:tcPr>
            <w:tcW w:w="960" w:type="dxa"/>
            <w:tcBorders>
              <w:right w:val="single" w:sz="8" w:space="0" w:color="auto"/>
            </w:tcBorders>
          </w:tcPr>
          <w:p w:rsidR="00E917A2" w:rsidRDefault="00E917A2" w:rsidP="00E917A2"/>
        </w:tc>
        <w:tc>
          <w:tcPr>
            <w:tcW w:w="30" w:type="dxa"/>
            <w:vAlign w:val="bottom"/>
          </w:tcPr>
          <w:p w:rsidR="00E917A2" w:rsidRDefault="00E917A2" w:rsidP="00E917A2">
            <w:pPr>
              <w:rPr>
                <w:sz w:val="1"/>
                <w:szCs w:val="1"/>
              </w:rPr>
            </w:pPr>
          </w:p>
        </w:tc>
      </w:tr>
      <w:tr w:rsidR="00E917A2" w:rsidTr="000645F1">
        <w:trPr>
          <w:trHeight w:val="73"/>
        </w:trPr>
        <w:tc>
          <w:tcPr>
            <w:tcW w:w="55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917A2" w:rsidRDefault="00E917A2" w:rsidP="00E917A2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CC2BD6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2120" w:type="dxa"/>
          </w:tcPr>
          <w:p w:rsidR="00E917A2" w:rsidRDefault="00E917A2" w:rsidP="00E917A2"/>
        </w:tc>
        <w:tc>
          <w:tcPr>
            <w:tcW w:w="760" w:type="dxa"/>
          </w:tcPr>
          <w:p w:rsidR="00E917A2" w:rsidRDefault="00E917A2" w:rsidP="00E917A2"/>
        </w:tc>
        <w:tc>
          <w:tcPr>
            <w:tcW w:w="960" w:type="dxa"/>
            <w:tcBorders>
              <w:right w:val="single" w:sz="8" w:space="0" w:color="auto"/>
            </w:tcBorders>
          </w:tcPr>
          <w:p w:rsidR="00E917A2" w:rsidRDefault="00E917A2" w:rsidP="00E917A2"/>
        </w:tc>
        <w:tc>
          <w:tcPr>
            <w:tcW w:w="30" w:type="dxa"/>
            <w:vAlign w:val="bottom"/>
          </w:tcPr>
          <w:p w:rsidR="00E917A2" w:rsidRDefault="00E917A2" w:rsidP="00E917A2">
            <w:pPr>
              <w:rPr>
                <w:sz w:val="1"/>
                <w:szCs w:val="1"/>
              </w:rPr>
            </w:pPr>
          </w:p>
        </w:tc>
      </w:tr>
      <w:tr w:rsidR="00E917A2" w:rsidTr="000645F1">
        <w:trPr>
          <w:trHeight w:val="141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042D76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440" w:type="dxa"/>
            <w:tcBorders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CC2BD6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2120" w:type="dxa"/>
          </w:tcPr>
          <w:p w:rsidR="00E917A2" w:rsidRDefault="00E917A2" w:rsidP="00E917A2"/>
        </w:tc>
        <w:tc>
          <w:tcPr>
            <w:tcW w:w="760" w:type="dxa"/>
          </w:tcPr>
          <w:p w:rsidR="00E917A2" w:rsidRDefault="00E917A2" w:rsidP="00E917A2"/>
        </w:tc>
        <w:tc>
          <w:tcPr>
            <w:tcW w:w="960" w:type="dxa"/>
            <w:tcBorders>
              <w:right w:val="single" w:sz="8" w:space="0" w:color="auto"/>
            </w:tcBorders>
          </w:tcPr>
          <w:p w:rsidR="00E917A2" w:rsidRDefault="00E917A2" w:rsidP="00E917A2"/>
        </w:tc>
        <w:tc>
          <w:tcPr>
            <w:tcW w:w="30" w:type="dxa"/>
            <w:vAlign w:val="bottom"/>
          </w:tcPr>
          <w:p w:rsidR="00E917A2" w:rsidRDefault="00E917A2" w:rsidP="00E917A2">
            <w:pPr>
              <w:rPr>
                <w:sz w:val="1"/>
                <w:szCs w:val="1"/>
              </w:rPr>
            </w:pPr>
          </w:p>
        </w:tc>
      </w:tr>
      <w:tr w:rsidR="00E917A2" w:rsidTr="000645F1">
        <w:trPr>
          <w:trHeight w:val="142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042D76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440" w:type="dxa"/>
            <w:tcBorders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CC2BD6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2120" w:type="dxa"/>
          </w:tcPr>
          <w:p w:rsidR="00E917A2" w:rsidRDefault="00E917A2" w:rsidP="00E917A2"/>
        </w:tc>
        <w:tc>
          <w:tcPr>
            <w:tcW w:w="760" w:type="dxa"/>
          </w:tcPr>
          <w:p w:rsidR="00E917A2" w:rsidRDefault="00E917A2" w:rsidP="00E917A2"/>
        </w:tc>
        <w:tc>
          <w:tcPr>
            <w:tcW w:w="960" w:type="dxa"/>
            <w:tcBorders>
              <w:right w:val="single" w:sz="8" w:space="0" w:color="auto"/>
            </w:tcBorders>
          </w:tcPr>
          <w:p w:rsidR="00E917A2" w:rsidRDefault="00E917A2" w:rsidP="00E917A2"/>
        </w:tc>
        <w:tc>
          <w:tcPr>
            <w:tcW w:w="30" w:type="dxa"/>
            <w:vAlign w:val="bottom"/>
          </w:tcPr>
          <w:p w:rsidR="00E917A2" w:rsidRDefault="00E917A2" w:rsidP="00E917A2">
            <w:pPr>
              <w:rPr>
                <w:sz w:val="1"/>
                <w:szCs w:val="1"/>
              </w:rPr>
            </w:pPr>
          </w:p>
        </w:tc>
      </w:tr>
      <w:tr w:rsidR="00E917A2" w:rsidTr="000645F1">
        <w:trPr>
          <w:trHeight w:val="142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042D76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440" w:type="dxa"/>
            <w:tcBorders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CC2BD6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2120" w:type="dxa"/>
          </w:tcPr>
          <w:p w:rsidR="00E917A2" w:rsidRDefault="00E917A2" w:rsidP="00E917A2"/>
        </w:tc>
        <w:tc>
          <w:tcPr>
            <w:tcW w:w="760" w:type="dxa"/>
          </w:tcPr>
          <w:p w:rsidR="00E917A2" w:rsidRDefault="00E917A2" w:rsidP="00E917A2"/>
        </w:tc>
        <w:tc>
          <w:tcPr>
            <w:tcW w:w="960" w:type="dxa"/>
            <w:tcBorders>
              <w:right w:val="single" w:sz="8" w:space="0" w:color="auto"/>
            </w:tcBorders>
          </w:tcPr>
          <w:p w:rsidR="00E917A2" w:rsidRDefault="00E917A2" w:rsidP="00E917A2"/>
        </w:tc>
        <w:tc>
          <w:tcPr>
            <w:tcW w:w="30" w:type="dxa"/>
            <w:vAlign w:val="bottom"/>
          </w:tcPr>
          <w:p w:rsidR="00E917A2" w:rsidRDefault="00E917A2" w:rsidP="00E917A2">
            <w:pPr>
              <w:rPr>
                <w:sz w:val="1"/>
                <w:szCs w:val="1"/>
              </w:rPr>
            </w:pPr>
          </w:p>
        </w:tc>
      </w:tr>
      <w:tr w:rsidR="00E917A2" w:rsidTr="000645F1">
        <w:trPr>
          <w:trHeight w:val="142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042D76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440" w:type="dxa"/>
            <w:tcBorders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CC2BD6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2120" w:type="dxa"/>
          </w:tcPr>
          <w:p w:rsidR="00E917A2" w:rsidRDefault="00E917A2" w:rsidP="00E917A2"/>
        </w:tc>
        <w:tc>
          <w:tcPr>
            <w:tcW w:w="760" w:type="dxa"/>
          </w:tcPr>
          <w:p w:rsidR="00E917A2" w:rsidRDefault="00E917A2" w:rsidP="00E917A2"/>
        </w:tc>
        <w:tc>
          <w:tcPr>
            <w:tcW w:w="960" w:type="dxa"/>
            <w:tcBorders>
              <w:right w:val="single" w:sz="8" w:space="0" w:color="auto"/>
            </w:tcBorders>
          </w:tcPr>
          <w:p w:rsidR="00E917A2" w:rsidRDefault="00E917A2" w:rsidP="00E917A2"/>
        </w:tc>
        <w:tc>
          <w:tcPr>
            <w:tcW w:w="30" w:type="dxa"/>
            <w:vAlign w:val="bottom"/>
          </w:tcPr>
          <w:p w:rsidR="00E917A2" w:rsidRDefault="00E917A2" w:rsidP="00E917A2">
            <w:pPr>
              <w:rPr>
                <w:sz w:val="1"/>
                <w:szCs w:val="1"/>
              </w:rPr>
            </w:pPr>
          </w:p>
        </w:tc>
      </w:tr>
      <w:tr w:rsidR="00E917A2" w:rsidTr="000645F1">
        <w:trPr>
          <w:trHeight w:val="142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042D76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440" w:type="dxa"/>
            <w:tcBorders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CC2BD6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2120" w:type="dxa"/>
          </w:tcPr>
          <w:p w:rsidR="00E917A2" w:rsidRDefault="00E917A2" w:rsidP="00E917A2"/>
        </w:tc>
        <w:tc>
          <w:tcPr>
            <w:tcW w:w="760" w:type="dxa"/>
          </w:tcPr>
          <w:p w:rsidR="00E917A2" w:rsidRDefault="00E917A2" w:rsidP="00E917A2"/>
        </w:tc>
        <w:tc>
          <w:tcPr>
            <w:tcW w:w="960" w:type="dxa"/>
            <w:tcBorders>
              <w:right w:val="single" w:sz="8" w:space="0" w:color="auto"/>
            </w:tcBorders>
          </w:tcPr>
          <w:p w:rsidR="00E917A2" w:rsidRDefault="00E917A2" w:rsidP="00E917A2"/>
        </w:tc>
        <w:tc>
          <w:tcPr>
            <w:tcW w:w="30" w:type="dxa"/>
            <w:vAlign w:val="bottom"/>
          </w:tcPr>
          <w:p w:rsidR="00E917A2" w:rsidRDefault="00E917A2" w:rsidP="00E917A2">
            <w:pPr>
              <w:rPr>
                <w:sz w:val="1"/>
                <w:szCs w:val="1"/>
              </w:rPr>
            </w:pPr>
          </w:p>
        </w:tc>
      </w:tr>
      <w:tr w:rsidR="00E917A2" w:rsidTr="000645F1">
        <w:trPr>
          <w:trHeight w:val="142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042D76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440" w:type="dxa"/>
            <w:tcBorders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CC2BD6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2120" w:type="dxa"/>
          </w:tcPr>
          <w:p w:rsidR="00E917A2" w:rsidRDefault="00E917A2" w:rsidP="00E917A2"/>
        </w:tc>
        <w:tc>
          <w:tcPr>
            <w:tcW w:w="760" w:type="dxa"/>
          </w:tcPr>
          <w:p w:rsidR="00E917A2" w:rsidRDefault="00E917A2" w:rsidP="00E917A2"/>
        </w:tc>
        <w:tc>
          <w:tcPr>
            <w:tcW w:w="960" w:type="dxa"/>
            <w:tcBorders>
              <w:right w:val="single" w:sz="8" w:space="0" w:color="auto"/>
            </w:tcBorders>
          </w:tcPr>
          <w:p w:rsidR="00E917A2" w:rsidRDefault="00E917A2" w:rsidP="00E917A2"/>
        </w:tc>
        <w:tc>
          <w:tcPr>
            <w:tcW w:w="30" w:type="dxa"/>
            <w:vAlign w:val="bottom"/>
          </w:tcPr>
          <w:p w:rsidR="00E917A2" w:rsidRDefault="00E917A2" w:rsidP="00E917A2">
            <w:pPr>
              <w:rPr>
                <w:sz w:val="1"/>
                <w:szCs w:val="1"/>
              </w:rPr>
            </w:pPr>
          </w:p>
        </w:tc>
      </w:tr>
      <w:tr w:rsidR="00E917A2" w:rsidTr="000645F1">
        <w:trPr>
          <w:trHeight w:val="142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042D76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440" w:type="dxa"/>
            <w:tcBorders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CC2BD6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2120" w:type="dxa"/>
          </w:tcPr>
          <w:p w:rsidR="00E917A2" w:rsidRDefault="00E917A2" w:rsidP="00E917A2"/>
        </w:tc>
        <w:tc>
          <w:tcPr>
            <w:tcW w:w="760" w:type="dxa"/>
          </w:tcPr>
          <w:p w:rsidR="00E917A2" w:rsidRDefault="00E917A2" w:rsidP="00E917A2"/>
        </w:tc>
        <w:tc>
          <w:tcPr>
            <w:tcW w:w="960" w:type="dxa"/>
            <w:tcBorders>
              <w:right w:val="single" w:sz="8" w:space="0" w:color="auto"/>
            </w:tcBorders>
          </w:tcPr>
          <w:p w:rsidR="00E917A2" w:rsidRDefault="00E917A2" w:rsidP="00E917A2"/>
        </w:tc>
        <w:tc>
          <w:tcPr>
            <w:tcW w:w="30" w:type="dxa"/>
            <w:vAlign w:val="bottom"/>
          </w:tcPr>
          <w:p w:rsidR="00E917A2" w:rsidRDefault="00E917A2" w:rsidP="00E917A2">
            <w:pPr>
              <w:rPr>
                <w:sz w:val="1"/>
                <w:szCs w:val="1"/>
              </w:rPr>
            </w:pPr>
          </w:p>
        </w:tc>
      </w:tr>
      <w:tr w:rsidR="00E917A2" w:rsidTr="000645F1">
        <w:trPr>
          <w:trHeight w:val="142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042D76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440" w:type="dxa"/>
            <w:tcBorders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CC2BD6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2120" w:type="dxa"/>
          </w:tcPr>
          <w:p w:rsidR="00E917A2" w:rsidRDefault="00E917A2" w:rsidP="00E917A2"/>
        </w:tc>
        <w:tc>
          <w:tcPr>
            <w:tcW w:w="760" w:type="dxa"/>
          </w:tcPr>
          <w:p w:rsidR="00E917A2" w:rsidRDefault="00E917A2" w:rsidP="00E917A2"/>
        </w:tc>
        <w:tc>
          <w:tcPr>
            <w:tcW w:w="960" w:type="dxa"/>
            <w:tcBorders>
              <w:right w:val="single" w:sz="8" w:space="0" w:color="auto"/>
            </w:tcBorders>
          </w:tcPr>
          <w:p w:rsidR="00E917A2" w:rsidRDefault="00E917A2" w:rsidP="00E917A2"/>
        </w:tc>
        <w:tc>
          <w:tcPr>
            <w:tcW w:w="30" w:type="dxa"/>
            <w:vAlign w:val="bottom"/>
          </w:tcPr>
          <w:p w:rsidR="00E917A2" w:rsidRDefault="00E917A2" w:rsidP="00E917A2">
            <w:pPr>
              <w:rPr>
                <w:sz w:val="1"/>
                <w:szCs w:val="1"/>
              </w:rPr>
            </w:pPr>
          </w:p>
        </w:tc>
      </w:tr>
      <w:tr w:rsidR="00E917A2" w:rsidTr="000645F1">
        <w:trPr>
          <w:trHeight w:val="142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042D76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440" w:type="dxa"/>
            <w:tcBorders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CC2BD6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2120" w:type="dxa"/>
          </w:tcPr>
          <w:p w:rsidR="00E917A2" w:rsidRDefault="00E917A2" w:rsidP="00E917A2"/>
        </w:tc>
        <w:tc>
          <w:tcPr>
            <w:tcW w:w="760" w:type="dxa"/>
          </w:tcPr>
          <w:p w:rsidR="00E917A2" w:rsidRDefault="00E917A2" w:rsidP="00E917A2"/>
        </w:tc>
        <w:tc>
          <w:tcPr>
            <w:tcW w:w="960" w:type="dxa"/>
            <w:tcBorders>
              <w:right w:val="single" w:sz="8" w:space="0" w:color="auto"/>
            </w:tcBorders>
          </w:tcPr>
          <w:p w:rsidR="00E917A2" w:rsidRDefault="00E917A2" w:rsidP="00E917A2"/>
        </w:tc>
        <w:tc>
          <w:tcPr>
            <w:tcW w:w="30" w:type="dxa"/>
            <w:vAlign w:val="bottom"/>
          </w:tcPr>
          <w:p w:rsidR="00E917A2" w:rsidRDefault="00E917A2" w:rsidP="00E917A2">
            <w:pPr>
              <w:rPr>
                <w:sz w:val="1"/>
                <w:szCs w:val="1"/>
              </w:rPr>
            </w:pPr>
          </w:p>
        </w:tc>
      </w:tr>
      <w:tr w:rsidR="00E917A2" w:rsidTr="000645F1">
        <w:trPr>
          <w:trHeight w:val="136"/>
        </w:trPr>
        <w:tc>
          <w:tcPr>
            <w:tcW w:w="5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042D76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CC2BD6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2120" w:type="dxa"/>
            <w:tcBorders>
              <w:bottom w:val="single" w:sz="8" w:space="0" w:color="auto"/>
            </w:tcBorders>
          </w:tcPr>
          <w:p w:rsidR="00E917A2" w:rsidRDefault="00E917A2" w:rsidP="00E917A2"/>
        </w:tc>
        <w:tc>
          <w:tcPr>
            <w:tcW w:w="760" w:type="dxa"/>
            <w:tcBorders>
              <w:bottom w:val="single" w:sz="8" w:space="0" w:color="auto"/>
            </w:tcBorders>
          </w:tcPr>
          <w:p w:rsidR="00E917A2" w:rsidRDefault="00E917A2" w:rsidP="00E917A2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</w:tcPr>
          <w:p w:rsidR="00E917A2" w:rsidRDefault="00E917A2" w:rsidP="00E917A2"/>
        </w:tc>
        <w:tc>
          <w:tcPr>
            <w:tcW w:w="30" w:type="dxa"/>
            <w:vAlign w:val="bottom"/>
          </w:tcPr>
          <w:p w:rsidR="00E917A2" w:rsidRDefault="00E917A2" w:rsidP="00E917A2">
            <w:pPr>
              <w:rPr>
                <w:sz w:val="1"/>
                <w:szCs w:val="1"/>
              </w:rPr>
            </w:pPr>
          </w:p>
        </w:tc>
      </w:tr>
      <w:tr w:rsidR="00E917A2" w:rsidTr="000645F1">
        <w:trPr>
          <w:trHeight w:val="129"/>
        </w:trPr>
        <w:tc>
          <w:tcPr>
            <w:tcW w:w="5540" w:type="dxa"/>
            <w:tcBorders>
              <w:left w:val="single" w:sz="8" w:space="0" w:color="auto"/>
              <w:bottom w:val="single" w:sz="8" w:space="0" w:color="auto"/>
              <w:right w:val="single" w:sz="8" w:space="0" w:color="808080"/>
            </w:tcBorders>
            <w:shd w:val="clear" w:color="auto" w:fill="808080"/>
            <w:vAlign w:val="bottom"/>
          </w:tcPr>
          <w:p w:rsidR="00E917A2" w:rsidRDefault="00E917A2" w:rsidP="00E917A2">
            <w:pPr>
              <w:spacing w:line="129" w:lineRule="exact"/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1"/>
                <w:szCs w:val="11"/>
              </w:rPr>
              <w:t>XXXXXXXX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808080"/>
            </w:tcBorders>
            <w:shd w:val="clear" w:color="auto" w:fill="808080"/>
          </w:tcPr>
          <w:p w:rsidR="00E917A2" w:rsidRDefault="00E917A2" w:rsidP="00E917A2">
            <w:proofErr w:type="spellStart"/>
            <w:r w:rsidRPr="00CC2BD6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2120" w:type="dxa"/>
            <w:tcBorders>
              <w:bottom w:val="single" w:sz="8" w:space="0" w:color="auto"/>
            </w:tcBorders>
            <w:shd w:val="clear" w:color="auto" w:fill="808080"/>
          </w:tcPr>
          <w:p w:rsidR="00E917A2" w:rsidRDefault="00E917A2" w:rsidP="00E917A2">
            <w:proofErr w:type="spellStart"/>
            <w:r w:rsidRPr="00CC2BD6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808080"/>
          </w:tcPr>
          <w:p w:rsidR="00E917A2" w:rsidRDefault="00E917A2" w:rsidP="00E917A2">
            <w:proofErr w:type="spellStart"/>
            <w:r w:rsidRPr="00CC2BD6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08080"/>
          </w:tcPr>
          <w:p w:rsidR="00E917A2" w:rsidRDefault="00E917A2" w:rsidP="00E917A2">
            <w:proofErr w:type="spellStart"/>
            <w:r w:rsidRPr="00CC2BD6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30" w:type="dxa"/>
            <w:vAlign w:val="bottom"/>
          </w:tcPr>
          <w:p w:rsidR="00E917A2" w:rsidRDefault="00E917A2" w:rsidP="00E917A2">
            <w:pPr>
              <w:rPr>
                <w:sz w:val="1"/>
                <w:szCs w:val="1"/>
              </w:rPr>
            </w:pPr>
          </w:p>
        </w:tc>
      </w:tr>
    </w:tbl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83" w:lineRule="exact"/>
        <w:rPr>
          <w:sz w:val="20"/>
          <w:szCs w:val="20"/>
        </w:rPr>
      </w:pPr>
    </w:p>
    <w:p w:rsidR="00B45E65" w:rsidRDefault="00E917A2">
      <w:pPr>
        <w:ind w:left="4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4"/>
          <w:szCs w:val="14"/>
        </w:rPr>
        <w:t>XXXXXX</w:t>
      </w:r>
    </w:p>
    <w:p w:rsidR="00B45E65" w:rsidRDefault="00B45E65">
      <w:pPr>
        <w:spacing w:line="1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0"/>
        <w:gridCol w:w="440"/>
        <w:gridCol w:w="2120"/>
        <w:gridCol w:w="760"/>
        <w:gridCol w:w="960"/>
        <w:gridCol w:w="30"/>
      </w:tblGrid>
      <w:tr w:rsidR="00B45E65" w:rsidTr="00E917A2">
        <w:trPr>
          <w:trHeight w:val="142"/>
        </w:trPr>
        <w:tc>
          <w:tcPr>
            <w:tcW w:w="5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B45E65" w:rsidRDefault="00E917A2">
            <w:pPr>
              <w:ind w:left="24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1"/>
                <w:szCs w:val="11"/>
              </w:rPr>
              <w:t>XXXXXXX</w:t>
            </w: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B45E65" w:rsidRDefault="00E917A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1"/>
                <w:szCs w:val="11"/>
              </w:rPr>
              <w:t>XXXXX</w:t>
            </w:r>
          </w:p>
        </w:tc>
        <w:tc>
          <w:tcPr>
            <w:tcW w:w="2120" w:type="dxa"/>
            <w:vMerge w:val="restart"/>
            <w:tcBorders>
              <w:top w:val="single" w:sz="8" w:space="0" w:color="auto"/>
            </w:tcBorders>
            <w:shd w:val="clear" w:color="auto" w:fill="808080"/>
            <w:vAlign w:val="bottom"/>
          </w:tcPr>
          <w:p w:rsidR="00B45E65" w:rsidRDefault="00E917A2">
            <w:pPr>
              <w:ind w:right="86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1"/>
                <w:szCs w:val="11"/>
              </w:rPr>
              <w:t>XXXXXXXXXX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1"/>
                <w:szCs w:val="11"/>
              </w:rPr>
              <w:t xml:space="preserve">   XXXXXXX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</w:tcBorders>
            <w:shd w:val="clear" w:color="auto" w:fill="808080"/>
            <w:vAlign w:val="bottom"/>
          </w:tcPr>
          <w:p w:rsidR="00B45E65" w:rsidRDefault="00E917A2">
            <w:pPr>
              <w:ind w:left="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1"/>
                <w:szCs w:val="11"/>
              </w:rPr>
              <w:t>XXXXXXXX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B45E65" w:rsidRDefault="00E917A2">
            <w:pPr>
              <w:ind w:left="6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98"/>
                <w:sz w:val="11"/>
                <w:szCs w:val="11"/>
              </w:rPr>
              <w:t>XXXXXX</w:t>
            </w:r>
          </w:p>
        </w:tc>
        <w:tc>
          <w:tcPr>
            <w:tcW w:w="3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 w:rsidTr="00E917A2">
        <w:trPr>
          <w:trHeight w:val="135"/>
        </w:trPr>
        <w:tc>
          <w:tcPr>
            <w:tcW w:w="5540" w:type="dxa"/>
            <w:vMerge/>
            <w:tcBorders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808080"/>
            <w:vAlign w:val="bottom"/>
          </w:tcPr>
          <w:p w:rsidR="00B45E65" w:rsidRDefault="00B45E65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auto"/>
            </w:tcBorders>
            <w:shd w:val="clear" w:color="auto" w:fill="808080"/>
            <w:vAlign w:val="bottom"/>
          </w:tcPr>
          <w:p w:rsidR="00B45E65" w:rsidRDefault="00E917A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94"/>
                <w:sz w:val="11"/>
                <w:szCs w:val="11"/>
              </w:rPr>
              <w:t>XX</w:t>
            </w:r>
          </w:p>
        </w:tc>
        <w:tc>
          <w:tcPr>
            <w:tcW w:w="2120" w:type="dxa"/>
            <w:vMerge/>
            <w:tcBorders>
              <w:bottom w:val="single" w:sz="8" w:space="0" w:color="808080"/>
            </w:tcBorders>
            <w:shd w:val="clear" w:color="auto" w:fill="808080"/>
            <w:vAlign w:val="bottom"/>
          </w:tcPr>
          <w:p w:rsidR="00B45E65" w:rsidRDefault="00B45E65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Merge/>
            <w:tcBorders>
              <w:bottom w:val="single" w:sz="8" w:space="0" w:color="808080"/>
            </w:tcBorders>
            <w:shd w:val="clear" w:color="auto" w:fill="808080"/>
            <w:vAlign w:val="bottom"/>
          </w:tcPr>
          <w:p w:rsidR="00B45E65" w:rsidRDefault="00B45E65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vMerge/>
            <w:tcBorders>
              <w:bottom w:val="single" w:sz="8" w:space="0" w:color="808080"/>
              <w:right w:val="single" w:sz="8" w:space="0" w:color="auto"/>
            </w:tcBorders>
            <w:shd w:val="clear" w:color="auto" w:fill="808080"/>
            <w:vAlign w:val="bottom"/>
          </w:tcPr>
          <w:p w:rsidR="00B45E65" w:rsidRDefault="00B45E65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E917A2" w:rsidTr="003F0C42">
        <w:trPr>
          <w:trHeight w:val="135"/>
        </w:trPr>
        <w:tc>
          <w:tcPr>
            <w:tcW w:w="5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6C073A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164F77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2120" w:type="dxa"/>
            <w:tcBorders>
              <w:top w:val="single" w:sz="8" w:space="0" w:color="auto"/>
            </w:tcBorders>
          </w:tcPr>
          <w:p w:rsidR="00E917A2" w:rsidRDefault="00E917A2" w:rsidP="00E917A2"/>
        </w:tc>
        <w:tc>
          <w:tcPr>
            <w:tcW w:w="760" w:type="dxa"/>
            <w:tcBorders>
              <w:top w:val="single" w:sz="8" w:space="0" w:color="auto"/>
            </w:tcBorders>
          </w:tcPr>
          <w:p w:rsidR="00E917A2" w:rsidRDefault="00E917A2" w:rsidP="00E917A2"/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</w:tcPr>
          <w:p w:rsidR="00E917A2" w:rsidRDefault="00E917A2" w:rsidP="00E917A2"/>
        </w:tc>
        <w:tc>
          <w:tcPr>
            <w:tcW w:w="30" w:type="dxa"/>
            <w:vAlign w:val="bottom"/>
          </w:tcPr>
          <w:p w:rsidR="00E917A2" w:rsidRDefault="00E917A2" w:rsidP="00E917A2">
            <w:pPr>
              <w:rPr>
                <w:sz w:val="1"/>
                <w:szCs w:val="1"/>
              </w:rPr>
            </w:pPr>
          </w:p>
        </w:tc>
      </w:tr>
      <w:tr w:rsidR="00E917A2" w:rsidTr="003F0C42">
        <w:trPr>
          <w:trHeight w:val="141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6C073A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440" w:type="dxa"/>
            <w:tcBorders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164F77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2120" w:type="dxa"/>
          </w:tcPr>
          <w:p w:rsidR="00E917A2" w:rsidRDefault="00E917A2" w:rsidP="00E917A2"/>
        </w:tc>
        <w:tc>
          <w:tcPr>
            <w:tcW w:w="760" w:type="dxa"/>
          </w:tcPr>
          <w:p w:rsidR="00E917A2" w:rsidRDefault="00E917A2" w:rsidP="00E917A2"/>
        </w:tc>
        <w:tc>
          <w:tcPr>
            <w:tcW w:w="960" w:type="dxa"/>
            <w:tcBorders>
              <w:right w:val="single" w:sz="8" w:space="0" w:color="auto"/>
            </w:tcBorders>
          </w:tcPr>
          <w:p w:rsidR="00E917A2" w:rsidRDefault="00E917A2" w:rsidP="00E917A2"/>
        </w:tc>
        <w:tc>
          <w:tcPr>
            <w:tcW w:w="30" w:type="dxa"/>
            <w:vAlign w:val="bottom"/>
          </w:tcPr>
          <w:p w:rsidR="00E917A2" w:rsidRDefault="00E917A2" w:rsidP="00E917A2">
            <w:pPr>
              <w:rPr>
                <w:sz w:val="1"/>
                <w:szCs w:val="1"/>
              </w:rPr>
            </w:pPr>
          </w:p>
        </w:tc>
      </w:tr>
      <w:tr w:rsidR="00E917A2" w:rsidTr="003F0C42">
        <w:trPr>
          <w:trHeight w:val="136"/>
        </w:trPr>
        <w:tc>
          <w:tcPr>
            <w:tcW w:w="5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6C073A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164F77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2120" w:type="dxa"/>
            <w:tcBorders>
              <w:bottom w:val="single" w:sz="8" w:space="0" w:color="auto"/>
            </w:tcBorders>
          </w:tcPr>
          <w:p w:rsidR="00E917A2" w:rsidRDefault="00E917A2" w:rsidP="00E917A2"/>
        </w:tc>
        <w:tc>
          <w:tcPr>
            <w:tcW w:w="760" w:type="dxa"/>
            <w:tcBorders>
              <w:bottom w:val="single" w:sz="8" w:space="0" w:color="auto"/>
            </w:tcBorders>
          </w:tcPr>
          <w:p w:rsidR="00E917A2" w:rsidRDefault="00E917A2" w:rsidP="00E917A2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</w:tcPr>
          <w:p w:rsidR="00E917A2" w:rsidRDefault="00E917A2" w:rsidP="00E917A2"/>
        </w:tc>
        <w:tc>
          <w:tcPr>
            <w:tcW w:w="30" w:type="dxa"/>
            <w:vAlign w:val="bottom"/>
          </w:tcPr>
          <w:p w:rsidR="00E917A2" w:rsidRDefault="00E917A2" w:rsidP="00E917A2">
            <w:pPr>
              <w:rPr>
                <w:sz w:val="1"/>
                <w:szCs w:val="1"/>
              </w:rPr>
            </w:pPr>
          </w:p>
        </w:tc>
      </w:tr>
      <w:tr w:rsidR="00E917A2" w:rsidTr="003F0C42">
        <w:trPr>
          <w:trHeight w:val="129"/>
        </w:trPr>
        <w:tc>
          <w:tcPr>
            <w:tcW w:w="5540" w:type="dxa"/>
            <w:tcBorders>
              <w:left w:val="single" w:sz="8" w:space="0" w:color="auto"/>
              <w:bottom w:val="single" w:sz="8" w:space="0" w:color="auto"/>
              <w:right w:val="single" w:sz="8" w:space="0" w:color="808080"/>
            </w:tcBorders>
            <w:shd w:val="clear" w:color="auto" w:fill="808080"/>
            <w:vAlign w:val="bottom"/>
          </w:tcPr>
          <w:p w:rsidR="00E917A2" w:rsidRDefault="00E917A2" w:rsidP="00E917A2">
            <w:pPr>
              <w:spacing w:line="129" w:lineRule="exact"/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1"/>
                <w:szCs w:val="11"/>
              </w:rPr>
              <w:t>XXXXXX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808080"/>
            </w:tcBorders>
            <w:shd w:val="clear" w:color="auto" w:fill="808080"/>
          </w:tcPr>
          <w:p w:rsidR="00E917A2" w:rsidRDefault="00E917A2" w:rsidP="00E917A2">
            <w:proofErr w:type="spellStart"/>
            <w:r w:rsidRPr="00164F77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2120" w:type="dxa"/>
            <w:tcBorders>
              <w:bottom w:val="single" w:sz="8" w:space="0" w:color="auto"/>
            </w:tcBorders>
            <w:shd w:val="clear" w:color="auto" w:fill="808080"/>
          </w:tcPr>
          <w:p w:rsidR="00E917A2" w:rsidRDefault="00E917A2" w:rsidP="00E917A2">
            <w:proofErr w:type="spellStart"/>
            <w:r w:rsidRPr="00164F77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808080"/>
          </w:tcPr>
          <w:p w:rsidR="00E917A2" w:rsidRDefault="00E917A2" w:rsidP="00E917A2">
            <w:proofErr w:type="spellStart"/>
            <w:r w:rsidRPr="00164F77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08080"/>
          </w:tcPr>
          <w:p w:rsidR="00E917A2" w:rsidRDefault="00E917A2" w:rsidP="00E917A2">
            <w:proofErr w:type="spellStart"/>
            <w:r w:rsidRPr="00164F77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30" w:type="dxa"/>
            <w:vAlign w:val="bottom"/>
          </w:tcPr>
          <w:p w:rsidR="00E917A2" w:rsidRDefault="00E917A2" w:rsidP="00E917A2">
            <w:pPr>
              <w:rPr>
                <w:sz w:val="1"/>
                <w:szCs w:val="1"/>
              </w:rPr>
            </w:pPr>
          </w:p>
        </w:tc>
      </w:tr>
    </w:tbl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21" w:lineRule="exact"/>
        <w:rPr>
          <w:sz w:val="20"/>
          <w:szCs w:val="20"/>
        </w:rPr>
      </w:pPr>
    </w:p>
    <w:p w:rsidR="00B45E65" w:rsidRDefault="00E917A2">
      <w:pPr>
        <w:ind w:left="40"/>
        <w:rPr>
          <w:sz w:val="20"/>
          <w:szCs w:val="20"/>
        </w:rPr>
      </w:pPr>
      <w:r>
        <w:rPr>
          <w:rFonts w:ascii="Calibri" w:eastAsia="Calibri" w:hAnsi="Calibri" w:cs="Calibri"/>
          <w:sz w:val="16"/>
          <w:szCs w:val="16"/>
        </w:rPr>
        <w:t>XXXXXXXX</w:t>
      </w:r>
    </w:p>
    <w:p w:rsidR="00B45E65" w:rsidRDefault="00B45E65">
      <w:pPr>
        <w:spacing w:line="1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0"/>
        <w:gridCol w:w="440"/>
        <w:gridCol w:w="1080"/>
        <w:gridCol w:w="1080"/>
        <w:gridCol w:w="820"/>
        <w:gridCol w:w="860"/>
        <w:gridCol w:w="30"/>
      </w:tblGrid>
      <w:tr w:rsidR="00B45E65" w:rsidTr="00E917A2">
        <w:trPr>
          <w:trHeight w:val="147"/>
        </w:trPr>
        <w:tc>
          <w:tcPr>
            <w:tcW w:w="5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B45E65" w:rsidRDefault="00E917A2">
            <w:pPr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1"/>
                <w:szCs w:val="11"/>
              </w:rPr>
              <w:t>XXXXXXXX</w:t>
            </w:r>
            <w:bookmarkStart w:id="20" w:name="_GoBack"/>
            <w:bookmarkEnd w:id="20"/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B45E65" w:rsidRDefault="00E917A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1"/>
                <w:szCs w:val="11"/>
              </w:rPr>
              <w:t>XXXXX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</w:tcBorders>
            <w:shd w:val="clear" w:color="auto" w:fill="808080"/>
            <w:vAlign w:val="bottom"/>
          </w:tcPr>
          <w:p w:rsidR="00B45E65" w:rsidRDefault="00E917A2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1"/>
                <w:szCs w:val="11"/>
              </w:rPr>
              <w:t>XXXXXXXX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</w:tcBorders>
            <w:shd w:val="clear" w:color="auto" w:fill="808080"/>
            <w:vAlign w:val="bottom"/>
          </w:tcPr>
          <w:p w:rsidR="00B45E65" w:rsidRDefault="00E917A2">
            <w:pPr>
              <w:ind w:right="126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1"/>
                <w:szCs w:val="11"/>
              </w:rPr>
              <w:t>XXXXXXX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</w:tcBorders>
            <w:shd w:val="clear" w:color="auto" w:fill="808080"/>
            <w:vAlign w:val="bottom"/>
          </w:tcPr>
          <w:p w:rsidR="00B45E65" w:rsidRDefault="00E917A2">
            <w:pPr>
              <w:ind w:right="226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1"/>
                <w:szCs w:val="11"/>
              </w:rPr>
              <w:t>XXXX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B45E65" w:rsidRDefault="00E917A2">
            <w:pPr>
              <w:ind w:right="46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1"/>
                <w:szCs w:val="11"/>
              </w:rPr>
              <w:t>XXXXXXXXX</w:t>
            </w:r>
          </w:p>
        </w:tc>
        <w:tc>
          <w:tcPr>
            <w:tcW w:w="3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B45E65" w:rsidTr="00E917A2">
        <w:trPr>
          <w:trHeight w:val="135"/>
        </w:trPr>
        <w:tc>
          <w:tcPr>
            <w:tcW w:w="5540" w:type="dxa"/>
            <w:vMerge/>
            <w:tcBorders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808080"/>
            <w:vAlign w:val="bottom"/>
          </w:tcPr>
          <w:p w:rsidR="00B45E65" w:rsidRDefault="00B45E65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auto"/>
            </w:tcBorders>
            <w:shd w:val="clear" w:color="auto" w:fill="808080"/>
            <w:vAlign w:val="bottom"/>
          </w:tcPr>
          <w:p w:rsidR="00B45E65" w:rsidRDefault="00E917A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94"/>
                <w:sz w:val="11"/>
                <w:szCs w:val="11"/>
              </w:rPr>
              <w:t>XXX</w:t>
            </w:r>
          </w:p>
        </w:tc>
        <w:tc>
          <w:tcPr>
            <w:tcW w:w="1080" w:type="dxa"/>
            <w:vMerge/>
            <w:tcBorders>
              <w:bottom w:val="single" w:sz="8" w:space="0" w:color="808080"/>
            </w:tcBorders>
            <w:shd w:val="clear" w:color="auto" w:fill="808080"/>
            <w:vAlign w:val="bottom"/>
          </w:tcPr>
          <w:p w:rsidR="00B45E65" w:rsidRDefault="00B45E65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/>
            <w:tcBorders>
              <w:bottom w:val="single" w:sz="8" w:space="0" w:color="808080"/>
            </w:tcBorders>
            <w:shd w:val="clear" w:color="auto" w:fill="808080"/>
            <w:vAlign w:val="bottom"/>
          </w:tcPr>
          <w:p w:rsidR="00B45E65" w:rsidRDefault="00B45E65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Merge/>
            <w:tcBorders>
              <w:bottom w:val="single" w:sz="8" w:space="0" w:color="808080"/>
            </w:tcBorders>
            <w:shd w:val="clear" w:color="auto" w:fill="808080"/>
            <w:vAlign w:val="bottom"/>
          </w:tcPr>
          <w:p w:rsidR="00B45E65" w:rsidRDefault="00B45E65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Merge/>
            <w:tcBorders>
              <w:bottom w:val="single" w:sz="8" w:space="0" w:color="808080"/>
              <w:right w:val="single" w:sz="8" w:space="0" w:color="auto"/>
            </w:tcBorders>
            <w:shd w:val="clear" w:color="auto" w:fill="808080"/>
            <w:vAlign w:val="bottom"/>
          </w:tcPr>
          <w:p w:rsidR="00B45E65" w:rsidRDefault="00B45E65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  <w:tr w:rsidR="00E917A2" w:rsidTr="002C6E74">
        <w:trPr>
          <w:trHeight w:val="128"/>
        </w:trPr>
        <w:tc>
          <w:tcPr>
            <w:tcW w:w="5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AB08AF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A67909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</w:tcBorders>
          </w:tcPr>
          <w:p w:rsidR="00E917A2" w:rsidRDefault="00E917A2" w:rsidP="00E917A2">
            <w:proofErr w:type="spellStart"/>
            <w:r w:rsidRPr="00A67909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</w:tcBorders>
          </w:tcPr>
          <w:p w:rsidR="00E917A2" w:rsidRDefault="00E917A2" w:rsidP="00E917A2">
            <w:proofErr w:type="spellStart"/>
            <w:r w:rsidRPr="00A67909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820" w:type="dxa"/>
            <w:tcBorders>
              <w:top w:val="single" w:sz="8" w:space="0" w:color="auto"/>
            </w:tcBorders>
          </w:tcPr>
          <w:p w:rsidR="00E917A2" w:rsidRDefault="00E917A2" w:rsidP="00E917A2">
            <w:proofErr w:type="spellStart"/>
            <w:r w:rsidRPr="00A67909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A67909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30" w:type="dxa"/>
            <w:vAlign w:val="bottom"/>
          </w:tcPr>
          <w:p w:rsidR="00E917A2" w:rsidRDefault="00E917A2" w:rsidP="00E917A2">
            <w:pPr>
              <w:rPr>
                <w:sz w:val="1"/>
                <w:szCs w:val="1"/>
              </w:rPr>
            </w:pPr>
          </w:p>
        </w:tc>
      </w:tr>
      <w:tr w:rsidR="00E917A2" w:rsidTr="002C6E74">
        <w:trPr>
          <w:trHeight w:val="130"/>
        </w:trPr>
        <w:tc>
          <w:tcPr>
            <w:tcW w:w="5540" w:type="dxa"/>
            <w:tcBorders>
              <w:left w:val="single" w:sz="8" w:space="0" w:color="auto"/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AB08AF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440" w:type="dxa"/>
            <w:tcBorders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A67909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1080" w:type="dxa"/>
          </w:tcPr>
          <w:p w:rsidR="00E917A2" w:rsidRDefault="00E917A2" w:rsidP="00E917A2">
            <w:proofErr w:type="spellStart"/>
            <w:r w:rsidRPr="00A67909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1080" w:type="dxa"/>
          </w:tcPr>
          <w:p w:rsidR="00E917A2" w:rsidRDefault="00E917A2" w:rsidP="00E917A2">
            <w:proofErr w:type="spellStart"/>
            <w:r w:rsidRPr="00A67909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820" w:type="dxa"/>
          </w:tcPr>
          <w:p w:rsidR="00E917A2" w:rsidRDefault="00E917A2" w:rsidP="00E917A2">
            <w:proofErr w:type="spellStart"/>
            <w:r w:rsidRPr="00A67909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A67909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30" w:type="dxa"/>
            <w:vAlign w:val="bottom"/>
          </w:tcPr>
          <w:p w:rsidR="00E917A2" w:rsidRDefault="00E917A2" w:rsidP="00E917A2">
            <w:pPr>
              <w:rPr>
                <w:sz w:val="1"/>
                <w:szCs w:val="1"/>
              </w:rPr>
            </w:pPr>
          </w:p>
        </w:tc>
      </w:tr>
      <w:tr w:rsidR="00E917A2" w:rsidTr="002C6E74">
        <w:trPr>
          <w:trHeight w:val="154"/>
        </w:trPr>
        <w:tc>
          <w:tcPr>
            <w:tcW w:w="5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AB08AF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A67909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:rsidR="00E917A2" w:rsidRDefault="00E917A2" w:rsidP="00E917A2">
            <w:proofErr w:type="spellStart"/>
            <w:r w:rsidRPr="00A67909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:rsidR="00E917A2" w:rsidRDefault="00E917A2" w:rsidP="00E917A2">
            <w:proofErr w:type="spellStart"/>
            <w:r w:rsidRPr="00A67909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820" w:type="dxa"/>
            <w:tcBorders>
              <w:bottom w:val="single" w:sz="8" w:space="0" w:color="auto"/>
            </w:tcBorders>
          </w:tcPr>
          <w:p w:rsidR="00E917A2" w:rsidRDefault="00E917A2" w:rsidP="00E917A2">
            <w:proofErr w:type="spellStart"/>
            <w:r w:rsidRPr="00A67909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</w:tcPr>
          <w:p w:rsidR="00E917A2" w:rsidRDefault="00E917A2" w:rsidP="00E917A2">
            <w:proofErr w:type="spellStart"/>
            <w:r w:rsidRPr="00A67909">
              <w:rPr>
                <w:rFonts w:ascii="Calibri" w:eastAsia="Calibri" w:hAnsi="Calibri" w:cs="Calibri"/>
                <w:b/>
                <w:bCs/>
                <w:w w:val="99"/>
                <w:sz w:val="11"/>
                <w:szCs w:val="11"/>
              </w:rPr>
              <w:t>xxxxxxxxxxxxx</w:t>
            </w:r>
            <w:proofErr w:type="spellEnd"/>
          </w:p>
        </w:tc>
        <w:tc>
          <w:tcPr>
            <w:tcW w:w="30" w:type="dxa"/>
            <w:vAlign w:val="bottom"/>
          </w:tcPr>
          <w:p w:rsidR="00E917A2" w:rsidRDefault="00E917A2" w:rsidP="00E917A2">
            <w:pPr>
              <w:rPr>
                <w:sz w:val="1"/>
                <w:szCs w:val="1"/>
              </w:rPr>
            </w:pPr>
          </w:p>
        </w:tc>
      </w:tr>
      <w:tr w:rsidR="00B45E65" w:rsidTr="00E917A2">
        <w:trPr>
          <w:trHeight w:val="129"/>
        </w:trPr>
        <w:tc>
          <w:tcPr>
            <w:tcW w:w="5540" w:type="dxa"/>
            <w:tcBorders>
              <w:left w:val="single" w:sz="8" w:space="0" w:color="auto"/>
              <w:bottom w:val="single" w:sz="8" w:space="0" w:color="auto"/>
              <w:right w:val="single" w:sz="8" w:space="0" w:color="808080"/>
            </w:tcBorders>
            <w:shd w:val="clear" w:color="auto" w:fill="808080"/>
            <w:vAlign w:val="bottom"/>
          </w:tcPr>
          <w:p w:rsidR="00B45E65" w:rsidRDefault="00E917A2">
            <w:pPr>
              <w:spacing w:line="129" w:lineRule="exact"/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11"/>
                <w:szCs w:val="11"/>
              </w:rPr>
              <w:t>XXXXXXX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808080"/>
            </w:tcBorders>
            <w:shd w:val="clear" w:color="auto" w:fill="808080"/>
            <w:vAlign w:val="bottom"/>
          </w:tcPr>
          <w:p w:rsidR="00B45E65" w:rsidRDefault="00B45E65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808080"/>
            <w:vAlign w:val="bottom"/>
          </w:tcPr>
          <w:p w:rsidR="00B45E65" w:rsidRDefault="00B45E65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808080"/>
            <w:vAlign w:val="bottom"/>
          </w:tcPr>
          <w:p w:rsidR="00B45E65" w:rsidRDefault="00E917A2">
            <w:pPr>
              <w:spacing w:line="129" w:lineRule="exact"/>
              <w:ind w:right="86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1"/>
                <w:szCs w:val="11"/>
              </w:rPr>
              <w:t>XXXXXXXXX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808080"/>
            <w:vAlign w:val="bottom"/>
          </w:tcPr>
          <w:p w:rsidR="00B45E65" w:rsidRDefault="00E917A2">
            <w:pPr>
              <w:spacing w:line="129" w:lineRule="exact"/>
              <w:ind w:right="6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1"/>
                <w:szCs w:val="11"/>
              </w:rPr>
              <w:t>XXXXXXXX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B45E65" w:rsidRDefault="00E917A2">
            <w:pPr>
              <w:spacing w:line="129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1"/>
                <w:szCs w:val="11"/>
              </w:rPr>
              <w:t>XXXXXXXXXXX</w:t>
            </w:r>
          </w:p>
        </w:tc>
        <w:tc>
          <w:tcPr>
            <w:tcW w:w="30" w:type="dxa"/>
            <w:vAlign w:val="bottom"/>
          </w:tcPr>
          <w:p w:rsidR="00B45E65" w:rsidRDefault="00B45E65">
            <w:pPr>
              <w:rPr>
                <w:sz w:val="1"/>
                <w:szCs w:val="1"/>
              </w:rPr>
            </w:pPr>
          </w:p>
        </w:tc>
      </w:tr>
    </w:tbl>
    <w:p w:rsidR="00B45E65" w:rsidRDefault="00B45E65">
      <w:pPr>
        <w:spacing w:line="253" w:lineRule="exact"/>
        <w:rPr>
          <w:sz w:val="20"/>
          <w:szCs w:val="20"/>
        </w:rPr>
      </w:pPr>
    </w:p>
    <w:p w:rsidR="00B45E65" w:rsidRDefault="00E917A2">
      <w:pPr>
        <w:ind w:left="80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25"/>
          <w:szCs w:val="25"/>
        </w:rPr>
        <w:t>Důvěrné</w:t>
      </w:r>
    </w:p>
    <w:p w:rsidR="00B45E65" w:rsidRDefault="00B45E65">
      <w:pPr>
        <w:sectPr w:rsidR="00B45E65">
          <w:pgSz w:w="11920" w:h="16845"/>
          <w:pgMar w:top="1121" w:right="450" w:bottom="100" w:left="1000" w:header="0" w:footer="0" w:gutter="0"/>
          <w:cols w:space="708" w:equalWidth="0">
            <w:col w:w="10460"/>
          </w:cols>
        </w:sect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00" w:lineRule="exact"/>
        <w:rPr>
          <w:sz w:val="20"/>
          <w:szCs w:val="20"/>
        </w:rPr>
      </w:pPr>
    </w:p>
    <w:p w:rsidR="00B45E65" w:rsidRDefault="00B45E65">
      <w:pPr>
        <w:spacing w:line="214" w:lineRule="exact"/>
        <w:rPr>
          <w:sz w:val="20"/>
          <w:szCs w:val="20"/>
        </w:rPr>
      </w:pPr>
    </w:p>
    <w:p w:rsidR="00B45E65" w:rsidRDefault="00E917A2">
      <w:pPr>
        <w:ind w:left="996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20/20</w:t>
      </w:r>
    </w:p>
    <w:sectPr w:rsidR="00B45E65">
      <w:type w:val="continuous"/>
      <w:pgSz w:w="11920" w:h="16845"/>
      <w:pgMar w:top="1121" w:right="450" w:bottom="100" w:left="1000" w:header="0" w:footer="0" w:gutter="0"/>
      <w:cols w:space="708" w:equalWidth="0">
        <w:col w:w="104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1D82"/>
    <w:multiLevelType w:val="hybridMultilevel"/>
    <w:tmpl w:val="6D26C66E"/>
    <w:lvl w:ilvl="0" w:tplc="F838387E">
      <w:start w:val="1"/>
      <w:numFmt w:val="decimal"/>
      <w:lvlText w:val="%1"/>
      <w:lvlJc w:val="left"/>
    </w:lvl>
    <w:lvl w:ilvl="1" w:tplc="B0680B32">
      <w:start w:val="3"/>
      <w:numFmt w:val="lowerLetter"/>
      <w:lvlText w:val="%2)"/>
      <w:lvlJc w:val="left"/>
    </w:lvl>
    <w:lvl w:ilvl="2" w:tplc="BB808CFE">
      <w:numFmt w:val="decimal"/>
      <w:lvlText w:val=""/>
      <w:lvlJc w:val="left"/>
    </w:lvl>
    <w:lvl w:ilvl="3" w:tplc="6552962C">
      <w:numFmt w:val="decimal"/>
      <w:lvlText w:val=""/>
      <w:lvlJc w:val="left"/>
    </w:lvl>
    <w:lvl w:ilvl="4" w:tplc="87F89842">
      <w:numFmt w:val="decimal"/>
      <w:lvlText w:val=""/>
      <w:lvlJc w:val="left"/>
    </w:lvl>
    <w:lvl w:ilvl="5" w:tplc="A614D478">
      <w:numFmt w:val="decimal"/>
      <w:lvlText w:val=""/>
      <w:lvlJc w:val="left"/>
    </w:lvl>
    <w:lvl w:ilvl="6" w:tplc="79B81630">
      <w:numFmt w:val="decimal"/>
      <w:lvlText w:val=""/>
      <w:lvlJc w:val="left"/>
    </w:lvl>
    <w:lvl w:ilvl="7" w:tplc="7004B044">
      <w:numFmt w:val="decimal"/>
      <w:lvlText w:val=""/>
      <w:lvlJc w:val="left"/>
    </w:lvl>
    <w:lvl w:ilvl="8" w:tplc="C698694E">
      <w:numFmt w:val="decimal"/>
      <w:lvlText w:val=""/>
      <w:lvlJc w:val="left"/>
    </w:lvl>
  </w:abstractNum>
  <w:abstractNum w:abstractNumId="1" w15:restartNumberingAfterBreak="0">
    <w:nsid w:val="05072367"/>
    <w:multiLevelType w:val="hybridMultilevel"/>
    <w:tmpl w:val="48B0F0E6"/>
    <w:lvl w:ilvl="0" w:tplc="610EC9BE">
      <w:start w:val="26"/>
      <w:numFmt w:val="lowerLetter"/>
      <w:lvlText w:val="%1"/>
      <w:lvlJc w:val="left"/>
    </w:lvl>
    <w:lvl w:ilvl="1" w:tplc="1132001C">
      <w:numFmt w:val="decimal"/>
      <w:lvlText w:val=""/>
      <w:lvlJc w:val="left"/>
    </w:lvl>
    <w:lvl w:ilvl="2" w:tplc="A2B69506">
      <w:numFmt w:val="decimal"/>
      <w:lvlText w:val=""/>
      <w:lvlJc w:val="left"/>
    </w:lvl>
    <w:lvl w:ilvl="3" w:tplc="93F80F48">
      <w:numFmt w:val="decimal"/>
      <w:lvlText w:val=""/>
      <w:lvlJc w:val="left"/>
    </w:lvl>
    <w:lvl w:ilvl="4" w:tplc="AAA87A1E">
      <w:numFmt w:val="decimal"/>
      <w:lvlText w:val=""/>
      <w:lvlJc w:val="left"/>
    </w:lvl>
    <w:lvl w:ilvl="5" w:tplc="43DA8DFA">
      <w:numFmt w:val="decimal"/>
      <w:lvlText w:val=""/>
      <w:lvlJc w:val="left"/>
    </w:lvl>
    <w:lvl w:ilvl="6" w:tplc="21FC0B72">
      <w:numFmt w:val="decimal"/>
      <w:lvlText w:val=""/>
      <w:lvlJc w:val="left"/>
    </w:lvl>
    <w:lvl w:ilvl="7" w:tplc="62E8F18E">
      <w:numFmt w:val="decimal"/>
      <w:lvlText w:val=""/>
      <w:lvlJc w:val="left"/>
    </w:lvl>
    <w:lvl w:ilvl="8" w:tplc="7110D626">
      <w:numFmt w:val="decimal"/>
      <w:lvlText w:val=""/>
      <w:lvlJc w:val="left"/>
    </w:lvl>
  </w:abstractNum>
  <w:abstractNum w:abstractNumId="2" w15:restartNumberingAfterBreak="0">
    <w:nsid w:val="08138641"/>
    <w:multiLevelType w:val="hybridMultilevel"/>
    <w:tmpl w:val="B74454E2"/>
    <w:lvl w:ilvl="0" w:tplc="DC28AA92">
      <w:start w:val="1"/>
      <w:numFmt w:val="decimal"/>
      <w:lvlText w:val="%1)"/>
      <w:lvlJc w:val="left"/>
    </w:lvl>
    <w:lvl w:ilvl="1" w:tplc="503EE7B6">
      <w:start w:val="1"/>
      <w:numFmt w:val="lowerRoman"/>
      <w:lvlText w:val="%2"/>
      <w:lvlJc w:val="left"/>
    </w:lvl>
    <w:lvl w:ilvl="2" w:tplc="CF2C85C4">
      <w:start w:val="1"/>
      <w:numFmt w:val="lowerLetter"/>
      <w:lvlText w:val="%3)"/>
      <w:lvlJc w:val="left"/>
    </w:lvl>
    <w:lvl w:ilvl="3" w:tplc="22822C52">
      <w:numFmt w:val="decimal"/>
      <w:lvlText w:val=""/>
      <w:lvlJc w:val="left"/>
    </w:lvl>
    <w:lvl w:ilvl="4" w:tplc="B3901CC4">
      <w:numFmt w:val="decimal"/>
      <w:lvlText w:val=""/>
      <w:lvlJc w:val="left"/>
    </w:lvl>
    <w:lvl w:ilvl="5" w:tplc="EF566746">
      <w:numFmt w:val="decimal"/>
      <w:lvlText w:val=""/>
      <w:lvlJc w:val="left"/>
    </w:lvl>
    <w:lvl w:ilvl="6" w:tplc="775ED9FA">
      <w:numFmt w:val="decimal"/>
      <w:lvlText w:val=""/>
      <w:lvlJc w:val="left"/>
    </w:lvl>
    <w:lvl w:ilvl="7" w:tplc="CB7E4B5C">
      <w:numFmt w:val="decimal"/>
      <w:lvlText w:val=""/>
      <w:lvlJc w:val="left"/>
    </w:lvl>
    <w:lvl w:ilvl="8" w:tplc="685287BE">
      <w:numFmt w:val="decimal"/>
      <w:lvlText w:val=""/>
      <w:lvlJc w:val="left"/>
    </w:lvl>
  </w:abstractNum>
  <w:abstractNum w:abstractNumId="3" w15:restartNumberingAfterBreak="0">
    <w:nsid w:val="0836C40E"/>
    <w:multiLevelType w:val="hybridMultilevel"/>
    <w:tmpl w:val="1CBA73B8"/>
    <w:lvl w:ilvl="0" w:tplc="C37E569C">
      <w:start w:val="1"/>
      <w:numFmt w:val="decimal"/>
      <w:lvlText w:val="%1)"/>
      <w:lvlJc w:val="left"/>
    </w:lvl>
    <w:lvl w:ilvl="1" w:tplc="1AC09F8C">
      <w:start w:val="1"/>
      <w:numFmt w:val="lowerLetter"/>
      <w:lvlText w:val="%2)"/>
      <w:lvlJc w:val="left"/>
    </w:lvl>
    <w:lvl w:ilvl="2" w:tplc="543A92C2">
      <w:numFmt w:val="decimal"/>
      <w:lvlText w:val=""/>
      <w:lvlJc w:val="left"/>
    </w:lvl>
    <w:lvl w:ilvl="3" w:tplc="B314BEAE">
      <w:numFmt w:val="decimal"/>
      <w:lvlText w:val=""/>
      <w:lvlJc w:val="left"/>
    </w:lvl>
    <w:lvl w:ilvl="4" w:tplc="AA622178">
      <w:numFmt w:val="decimal"/>
      <w:lvlText w:val=""/>
      <w:lvlJc w:val="left"/>
    </w:lvl>
    <w:lvl w:ilvl="5" w:tplc="641CDCBC">
      <w:numFmt w:val="decimal"/>
      <w:lvlText w:val=""/>
      <w:lvlJc w:val="left"/>
    </w:lvl>
    <w:lvl w:ilvl="6" w:tplc="D4D8F4D8">
      <w:numFmt w:val="decimal"/>
      <w:lvlText w:val=""/>
      <w:lvlJc w:val="left"/>
    </w:lvl>
    <w:lvl w:ilvl="7" w:tplc="8F90F134">
      <w:numFmt w:val="decimal"/>
      <w:lvlText w:val=""/>
      <w:lvlJc w:val="left"/>
    </w:lvl>
    <w:lvl w:ilvl="8" w:tplc="1D1039BC">
      <w:numFmt w:val="decimal"/>
      <w:lvlText w:val=""/>
      <w:lvlJc w:val="left"/>
    </w:lvl>
  </w:abstractNum>
  <w:abstractNum w:abstractNumId="4" w15:restartNumberingAfterBreak="0">
    <w:nsid w:val="12E685FB"/>
    <w:multiLevelType w:val="hybridMultilevel"/>
    <w:tmpl w:val="1AF693E8"/>
    <w:lvl w:ilvl="0" w:tplc="8DD24546">
      <w:start w:val="5"/>
      <w:numFmt w:val="decimal"/>
      <w:lvlText w:val="%1."/>
      <w:lvlJc w:val="left"/>
    </w:lvl>
    <w:lvl w:ilvl="1" w:tplc="0AB0717E">
      <w:numFmt w:val="decimal"/>
      <w:lvlText w:val=""/>
      <w:lvlJc w:val="left"/>
    </w:lvl>
    <w:lvl w:ilvl="2" w:tplc="4BCE7BA2">
      <w:numFmt w:val="decimal"/>
      <w:lvlText w:val=""/>
      <w:lvlJc w:val="left"/>
    </w:lvl>
    <w:lvl w:ilvl="3" w:tplc="9BF8ED64">
      <w:numFmt w:val="decimal"/>
      <w:lvlText w:val=""/>
      <w:lvlJc w:val="left"/>
    </w:lvl>
    <w:lvl w:ilvl="4" w:tplc="9982B626">
      <w:numFmt w:val="decimal"/>
      <w:lvlText w:val=""/>
      <w:lvlJc w:val="left"/>
    </w:lvl>
    <w:lvl w:ilvl="5" w:tplc="6F662426">
      <w:numFmt w:val="decimal"/>
      <w:lvlText w:val=""/>
      <w:lvlJc w:val="left"/>
    </w:lvl>
    <w:lvl w:ilvl="6" w:tplc="1148584E">
      <w:numFmt w:val="decimal"/>
      <w:lvlText w:val=""/>
      <w:lvlJc w:val="left"/>
    </w:lvl>
    <w:lvl w:ilvl="7" w:tplc="13DAFC3A">
      <w:numFmt w:val="decimal"/>
      <w:lvlText w:val=""/>
      <w:lvlJc w:val="left"/>
    </w:lvl>
    <w:lvl w:ilvl="8" w:tplc="07F82A76">
      <w:numFmt w:val="decimal"/>
      <w:lvlText w:val=""/>
      <w:lvlJc w:val="left"/>
    </w:lvl>
  </w:abstractNum>
  <w:abstractNum w:abstractNumId="5" w15:restartNumberingAfterBreak="0">
    <w:nsid w:val="153EA438"/>
    <w:multiLevelType w:val="hybridMultilevel"/>
    <w:tmpl w:val="35345D8C"/>
    <w:lvl w:ilvl="0" w:tplc="4878A494">
      <w:start w:val="1"/>
      <w:numFmt w:val="decimal"/>
      <w:lvlText w:val="%1)"/>
      <w:lvlJc w:val="left"/>
    </w:lvl>
    <w:lvl w:ilvl="1" w:tplc="336C4156">
      <w:numFmt w:val="decimal"/>
      <w:lvlText w:val=""/>
      <w:lvlJc w:val="left"/>
    </w:lvl>
    <w:lvl w:ilvl="2" w:tplc="E190D8D8">
      <w:numFmt w:val="decimal"/>
      <w:lvlText w:val=""/>
      <w:lvlJc w:val="left"/>
    </w:lvl>
    <w:lvl w:ilvl="3" w:tplc="7BCCC8AA">
      <w:numFmt w:val="decimal"/>
      <w:lvlText w:val=""/>
      <w:lvlJc w:val="left"/>
    </w:lvl>
    <w:lvl w:ilvl="4" w:tplc="BA781D40">
      <w:numFmt w:val="decimal"/>
      <w:lvlText w:val=""/>
      <w:lvlJc w:val="left"/>
    </w:lvl>
    <w:lvl w:ilvl="5" w:tplc="8CD8C152">
      <w:numFmt w:val="decimal"/>
      <w:lvlText w:val=""/>
      <w:lvlJc w:val="left"/>
    </w:lvl>
    <w:lvl w:ilvl="6" w:tplc="04C200C2">
      <w:numFmt w:val="decimal"/>
      <w:lvlText w:val=""/>
      <w:lvlJc w:val="left"/>
    </w:lvl>
    <w:lvl w:ilvl="7" w:tplc="4FF85AF4">
      <w:numFmt w:val="decimal"/>
      <w:lvlText w:val=""/>
      <w:lvlJc w:val="left"/>
    </w:lvl>
    <w:lvl w:ilvl="8" w:tplc="D2A24C12">
      <w:numFmt w:val="decimal"/>
      <w:lvlText w:val=""/>
      <w:lvlJc w:val="left"/>
    </w:lvl>
  </w:abstractNum>
  <w:abstractNum w:abstractNumId="6" w15:restartNumberingAfterBreak="0">
    <w:nsid w:val="1BA026FA"/>
    <w:multiLevelType w:val="hybridMultilevel"/>
    <w:tmpl w:val="D1986ADA"/>
    <w:lvl w:ilvl="0" w:tplc="C7825534">
      <w:start w:val="15"/>
      <w:numFmt w:val="decimal"/>
      <w:lvlText w:val="%1"/>
      <w:lvlJc w:val="left"/>
    </w:lvl>
    <w:lvl w:ilvl="1" w:tplc="438A9136">
      <w:numFmt w:val="decimal"/>
      <w:lvlText w:val=""/>
      <w:lvlJc w:val="left"/>
    </w:lvl>
    <w:lvl w:ilvl="2" w:tplc="2CAE5B36">
      <w:numFmt w:val="decimal"/>
      <w:lvlText w:val=""/>
      <w:lvlJc w:val="left"/>
    </w:lvl>
    <w:lvl w:ilvl="3" w:tplc="A03CB41A">
      <w:numFmt w:val="decimal"/>
      <w:lvlText w:val=""/>
      <w:lvlJc w:val="left"/>
    </w:lvl>
    <w:lvl w:ilvl="4" w:tplc="FDE61C12">
      <w:numFmt w:val="decimal"/>
      <w:lvlText w:val=""/>
      <w:lvlJc w:val="left"/>
    </w:lvl>
    <w:lvl w:ilvl="5" w:tplc="68363EDE">
      <w:numFmt w:val="decimal"/>
      <w:lvlText w:val=""/>
      <w:lvlJc w:val="left"/>
    </w:lvl>
    <w:lvl w:ilvl="6" w:tplc="5DFAB514">
      <w:numFmt w:val="decimal"/>
      <w:lvlText w:val=""/>
      <w:lvlJc w:val="left"/>
    </w:lvl>
    <w:lvl w:ilvl="7" w:tplc="4DD2D374">
      <w:numFmt w:val="decimal"/>
      <w:lvlText w:val=""/>
      <w:lvlJc w:val="left"/>
    </w:lvl>
    <w:lvl w:ilvl="8" w:tplc="7EEA688C">
      <w:numFmt w:val="decimal"/>
      <w:lvlText w:val=""/>
      <w:lvlJc w:val="left"/>
    </w:lvl>
  </w:abstractNum>
  <w:abstractNum w:abstractNumId="7" w15:restartNumberingAfterBreak="0">
    <w:nsid w:val="1D4ED43B"/>
    <w:multiLevelType w:val="hybridMultilevel"/>
    <w:tmpl w:val="24B45D56"/>
    <w:lvl w:ilvl="0" w:tplc="0F9636F8">
      <w:start w:val="9"/>
      <w:numFmt w:val="decimal"/>
      <w:lvlText w:val="%1)"/>
      <w:lvlJc w:val="left"/>
    </w:lvl>
    <w:lvl w:ilvl="1" w:tplc="3C921C02">
      <w:numFmt w:val="decimal"/>
      <w:lvlText w:val=""/>
      <w:lvlJc w:val="left"/>
    </w:lvl>
    <w:lvl w:ilvl="2" w:tplc="DDC46764">
      <w:numFmt w:val="decimal"/>
      <w:lvlText w:val=""/>
      <w:lvlJc w:val="left"/>
    </w:lvl>
    <w:lvl w:ilvl="3" w:tplc="F3AA4DCE">
      <w:numFmt w:val="decimal"/>
      <w:lvlText w:val=""/>
      <w:lvlJc w:val="left"/>
    </w:lvl>
    <w:lvl w:ilvl="4" w:tplc="63E82748">
      <w:numFmt w:val="decimal"/>
      <w:lvlText w:val=""/>
      <w:lvlJc w:val="left"/>
    </w:lvl>
    <w:lvl w:ilvl="5" w:tplc="7BA4DB7A">
      <w:numFmt w:val="decimal"/>
      <w:lvlText w:val=""/>
      <w:lvlJc w:val="left"/>
    </w:lvl>
    <w:lvl w:ilvl="6" w:tplc="50821142">
      <w:numFmt w:val="decimal"/>
      <w:lvlText w:val=""/>
      <w:lvlJc w:val="left"/>
    </w:lvl>
    <w:lvl w:ilvl="7" w:tplc="7C42869E">
      <w:numFmt w:val="decimal"/>
      <w:lvlText w:val=""/>
      <w:lvlJc w:val="left"/>
    </w:lvl>
    <w:lvl w:ilvl="8" w:tplc="C86C80A6">
      <w:numFmt w:val="decimal"/>
      <w:lvlText w:val=""/>
      <w:lvlJc w:val="left"/>
    </w:lvl>
  </w:abstractNum>
  <w:abstractNum w:abstractNumId="8" w15:restartNumberingAfterBreak="0">
    <w:nsid w:val="1E7FF521"/>
    <w:multiLevelType w:val="hybridMultilevel"/>
    <w:tmpl w:val="2B641E8A"/>
    <w:lvl w:ilvl="0" w:tplc="F25C53E2">
      <w:start w:val="5"/>
      <w:numFmt w:val="decimal"/>
      <w:lvlText w:val="%1)"/>
      <w:lvlJc w:val="left"/>
    </w:lvl>
    <w:lvl w:ilvl="1" w:tplc="589AA20E">
      <w:start w:val="1"/>
      <w:numFmt w:val="lowerLetter"/>
      <w:lvlText w:val="%2)"/>
      <w:lvlJc w:val="left"/>
    </w:lvl>
    <w:lvl w:ilvl="2" w:tplc="7868BFE2">
      <w:numFmt w:val="decimal"/>
      <w:lvlText w:val=""/>
      <w:lvlJc w:val="left"/>
    </w:lvl>
    <w:lvl w:ilvl="3" w:tplc="D3502E2A">
      <w:numFmt w:val="decimal"/>
      <w:lvlText w:val=""/>
      <w:lvlJc w:val="left"/>
    </w:lvl>
    <w:lvl w:ilvl="4" w:tplc="49A6E258">
      <w:numFmt w:val="decimal"/>
      <w:lvlText w:val=""/>
      <w:lvlJc w:val="left"/>
    </w:lvl>
    <w:lvl w:ilvl="5" w:tplc="DD0A8D58">
      <w:numFmt w:val="decimal"/>
      <w:lvlText w:val=""/>
      <w:lvlJc w:val="left"/>
    </w:lvl>
    <w:lvl w:ilvl="6" w:tplc="CA1649E4">
      <w:numFmt w:val="decimal"/>
      <w:lvlText w:val=""/>
      <w:lvlJc w:val="left"/>
    </w:lvl>
    <w:lvl w:ilvl="7" w:tplc="0BBA219C">
      <w:numFmt w:val="decimal"/>
      <w:lvlText w:val=""/>
      <w:lvlJc w:val="left"/>
    </w:lvl>
    <w:lvl w:ilvl="8" w:tplc="A39C118A">
      <w:numFmt w:val="decimal"/>
      <w:lvlText w:val=""/>
      <w:lvlJc w:val="left"/>
    </w:lvl>
  </w:abstractNum>
  <w:abstractNum w:abstractNumId="9" w15:restartNumberingAfterBreak="0">
    <w:nsid w:val="22221A70"/>
    <w:multiLevelType w:val="hybridMultilevel"/>
    <w:tmpl w:val="4426BD80"/>
    <w:lvl w:ilvl="0" w:tplc="85FEC74C">
      <w:start w:val="5"/>
      <w:numFmt w:val="lowerRoman"/>
      <w:lvlText w:val="%1"/>
      <w:lvlJc w:val="left"/>
    </w:lvl>
    <w:lvl w:ilvl="1" w:tplc="36F25224">
      <w:numFmt w:val="decimal"/>
      <w:lvlText w:val=""/>
      <w:lvlJc w:val="left"/>
    </w:lvl>
    <w:lvl w:ilvl="2" w:tplc="804E9444">
      <w:numFmt w:val="decimal"/>
      <w:lvlText w:val=""/>
      <w:lvlJc w:val="left"/>
    </w:lvl>
    <w:lvl w:ilvl="3" w:tplc="A1CC91BC">
      <w:numFmt w:val="decimal"/>
      <w:lvlText w:val=""/>
      <w:lvlJc w:val="left"/>
    </w:lvl>
    <w:lvl w:ilvl="4" w:tplc="3FDC55F4">
      <w:numFmt w:val="decimal"/>
      <w:lvlText w:val=""/>
      <w:lvlJc w:val="left"/>
    </w:lvl>
    <w:lvl w:ilvl="5" w:tplc="E80C9412">
      <w:numFmt w:val="decimal"/>
      <w:lvlText w:val=""/>
      <w:lvlJc w:val="left"/>
    </w:lvl>
    <w:lvl w:ilvl="6" w:tplc="05FA9310">
      <w:numFmt w:val="decimal"/>
      <w:lvlText w:val=""/>
      <w:lvlJc w:val="left"/>
    </w:lvl>
    <w:lvl w:ilvl="7" w:tplc="467C6CE4">
      <w:numFmt w:val="decimal"/>
      <w:lvlText w:val=""/>
      <w:lvlJc w:val="left"/>
    </w:lvl>
    <w:lvl w:ilvl="8" w:tplc="CF301E20">
      <w:numFmt w:val="decimal"/>
      <w:lvlText w:val=""/>
      <w:lvlJc w:val="left"/>
    </w:lvl>
  </w:abstractNum>
  <w:abstractNum w:abstractNumId="10" w15:restartNumberingAfterBreak="0">
    <w:nsid w:val="2463B9EA"/>
    <w:multiLevelType w:val="hybridMultilevel"/>
    <w:tmpl w:val="4B5EC980"/>
    <w:lvl w:ilvl="0" w:tplc="EAA8B03C">
      <w:start w:val="2"/>
      <w:numFmt w:val="decimal"/>
      <w:lvlText w:val="%1."/>
      <w:lvlJc w:val="left"/>
    </w:lvl>
    <w:lvl w:ilvl="1" w:tplc="63B46E34">
      <w:numFmt w:val="decimal"/>
      <w:lvlText w:val=""/>
      <w:lvlJc w:val="left"/>
    </w:lvl>
    <w:lvl w:ilvl="2" w:tplc="473AED62">
      <w:numFmt w:val="decimal"/>
      <w:lvlText w:val=""/>
      <w:lvlJc w:val="left"/>
    </w:lvl>
    <w:lvl w:ilvl="3" w:tplc="631EDEAA">
      <w:numFmt w:val="decimal"/>
      <w:lvlText w:val=""/>
      <w:lvlJc w:val="left"/>
    </w:lvl>
    <w:lvl w:ilvl="4" w:tplc="A300BD7C">
      <w:numFmt w:val="decimal"/>
      <w:lvlText w:val=""/>
      <w:lvlJc w:val="left"/>
    </w:lvl>
    <w:lvl w:ilvl="5" w:tplc="D0563160">
      <w:numFmt w:val="decimal"/>
      <w:lvlText w:val=""/>
      <w:lvlJc w:val="left"/>
    </w:lvl>
    <w:lvl w:ilvl="6" w:tplc="8732EC26">
      <w:numFmt w:val="decimal"/>
      <w:lvlText w:val=""/>
      <w:lvlJc w:val="left"/>
    </w:lvl>
    <w:lvl w:ilvl="7" w:tplc="F426FC42">
      <w:numFmt w:val="decimal"/>
      <w:lvlText w:val=""/>
      <w:lvlJc w:val="left"/>
    </w:lvl>
    <w:lvl w:ilvl="8" w:tplc="1A28CA2A">
      <w:numFmt w:val="decimal"/>
      <w:lvlText w:val=""/>
      <w:lvlJc w:val="left"/>
    </w:lvl>
  </w:abstractNum>
  <w:abstractNum w:abstractNumId="11" w15:restartNumberingAfterBreak="0">
    <w:nsid w:val="2A487CB0"/>
    <w:multiLevelType w:val="hybridMultilevel"/>
    <w:tmpl w:val="7512D030"/>
    <w:lvl w:ilvl="0" w:tplc="3800A124">
      <w:start w:val="5"/>
      <w:numFmt w:val="decimal"/>
      <w:lvlText w:val="%1)"/>
      <w:lvlJc w:val="left"/>
    </w:lvl>
    <w:lvl w:ilvl="1" w:tplc="6E4490A4">
      <w:start w:val="1"/>
      <w:numFmt w:val="lowerLetter"/>
      <w:lvlText w:val="%2)"/>
      <w:lvlJc w:val="left"/>
    </w:lvl>
    <w:lvl w:ilvl="2" w:tplc="4620A05E">
      <w:numFmt w:val="decimal"/>
      <w:lvlText w:val=""/>
      <w:lvlJc w:val="left"/>
    </w:lvl>
    <w:lvl w:ilvl="3" w:tplc="B59A8AD8">
      <w:numFmt w:val="decimal"/>
      <w:lvlText w:val=""/>
      <w:lvlJc w:val="left"/>
    </w:lvl>
    <w:lvl w:ilvl="4" w:tplc="EF90EA12">
      <w:numFmt w:val="decimal"/>
      <w:lvlText w:val=""/>
      <w:lvlJc w:val="left"/>
    </w:lvl>
    <w:lvl w:ilvl="5" w:tplc="7AACA758">
      <w:numFmt w:val="decimal"/>
      <w:lvlText w:val=""/>
      <w:lvlJc w:val="left"/>
    </w:lvl>
    <w:lvl w:ilvl="6" w:tplc="576679E4">
      <w:numFmt w:val="decimal"/>
      <w:lvlText w:val=""/>
      <w:lvlJc w:val="left"/>
    </w:lvl>
    <w:lvl w:ilvl="7" w:tplc="9CD8740A">
      <w:numFmt w:val="decimal"/>
      <w:lvlText w:val=""/>
      <w:lvlJc w:val="left"/>
    </w:lvl>
    <w:lvl w:ilvl="8" w:tplc="375E65E2">
      <w:numFmt w:val="decimal"/>
      <w:lvlText w:val=""/>
      <w:lvlJc w:val="left"/>
    </w:lvl>
  </w:abstractNum>
  <w:abstractNum w:abstractNumId="12" w15:restartNumberingAfterBreak="0">
    <w:nsid w:val="2CA88611"/>
    <w:multiLevelType w:val="hybridMultilevel"/>
    <w:tmpl w:val="3508EE20"/>
    <w:lvl w:ilvl="0" w:tplc="E80801CE">
      <w:start w:val="1"/>
      <w:numFmt w:val="decimal"/>
      <w:lvlText w:val="%1)"/>
      <w:lvlJc w:val="left"/>
    </w:lvl>
    <w:lvl w:ilvl="1" w:tplc="B8F0408A">
      <w:numFmt w:val="decimal"/>
      <w:lvlText w:val=""/>
      <w:lvlJc w:val="left"/>
    </w:lvl>
    <w:lvl w:ilvl="2" w:tplc="6BECD08A">
      <w:numFmt w:val="decimal"/>
      <w:lvlText w:val=""/>
      <w:lvlJc w:val="left"/>
    </w:lvl>
    <w:lvl w:ilvl="3" w:tplc="B90A2286">
      <w:numFmt w:val="decimal"/>
      <w:lvlText w:val=""/>
      <w:lvlJc w:val="left"/>
    </w:lvl>
    <w:lvl w:ilvl="4" w:tplc="C2DAD654">
      <w:numFmt w:val="decimal"/>
      <w:lvlText w:val=""/>
      <w:lvlJc w:val="left"/>
    </w:lvl>
    <w:lvl w:ilvl="5" w:tplc="E016528C">
      <w:numFmt w:val="decimal"/>
      <w:lvlText w:val=""/>
      <w:lvlJc w:val="left"/>
    </w:lvl>
    <w:lvl w:ilvl="6" w:tplc="4CFE456E">
      <w:numFmt w:val="decimal"/>
      <w:lvlText w:val=""/>
      <w:lvlJc w:val="left"/>
    </w:lvl>
    <w:lvl w:ilvl="7" w:tplc="E4541AF8">
      <w:numFmt w:val="decimal"/>
      <w:lvlText w:val=""/>
      <w:lvlJc w:val="left"/>
    </w:lvl>
    <w:lvl w:ilvl="8" w:tplc="EAEC1208">
      <w:numFmt w:val="decimal"/>
      <w:lvlText w:val=""/>
      <w:lvlJc w:val="left"/>
    </w:lvl>
  </w:abstractNum>
  <w:abstractNum w:abstractNumId="13" w15:restartNumberingAfterBreak="0">
    <w:nsid w:val="2CD89A32"/>
    <w:multiLevelType w:val="hybridMultilevel"/>
    <w:tmpl w:val="43EAD216"/>
    <w:lvl w:ilvl="0" w:tplc="4A60BC32">
      <w:start w:val="1"/>
      <w:numFmt w:val="decimal"/>
      <w:lvlText w:val="%1."/>
      <w:lvlJc w:val="left"/>
    </w:lvl>
    <w:lvl w:ilvl="1" w:tplc="6C3C926E">
      <w:numFmt w:val="decimal"/>
      <w:lvlText w:val=""/>
      <w:lvlJc w:val="left"/>
    </w:lvl>
    <w:lvl w:ilvl="2" w:tplc="E89C454C">
      <w:numFmt w:val="decimal"/>
      <w:lvlText w:val=""/>
      <w:lvlJc w:val="left"/>
    </w:lvl>
    <w:lvl w:ilvl="3" w:tplc="CBCA87BE">
      <w:numFmt w:val="decimal"/>
      <w:lvlText w:val=""/>
      <w:lvlJc w:val="left"/>
    </w:lvl>
    <w:lvl w:ilvl="4" w:tplc="2E04C018">
      <w:numFmt w:val="decimal"/>
      <w:lvlText w:val=""/>
      <w:lvlJc w:val="left"/>
    </w:lvl>
    <w:lvl w:ilvl="5" w:tplc="E59C468C">
      <w:numFmt w:val="decimal"/>
      <w:lvlText w:val=""/>
      <w:lvlJc w:val="left"/>
    </w:lvl>
    <w:lvl w:ilvl="6" w:tplc="D30C1050">
      <w:numFmt w:val="decimal"/>
      <w:lvlText w:val=""/>
      <w:lvlJc w:val="left"/>
    </w:lvl>
    <w:lvl w:ilvl="7" w:tplc="304C55FA">
      <w:numFmt w:val="decimal"/>
      <w:lvlText w:val=""/>
      <w:lvlJc w:val="left"/>
    </w:lvl>
    <w:lvl w:ilvl="8" w:tplc="E02C9EF4">
      <w:numFmt w:val="decimal"/>
      <w:lvlText w:val=""/>
      <w:lvlJc w:val="left"/>
    </w:lvl>
  </w:abstractNum>
  <w:abstractNum w:abstractNumId="14" w15:restartNumberingAfterBreak="0">
    <w:nsid w:val="2D517796"/>
    <w:multiLevelType w:val="hybridMultilevel"/>
    <w:tmpl w:val="7DDCD388"/>
    <w:lvl w:ilvl="0" w:tplc="B33A636C">
      <w:start w:val="4"/>
      <w:numFmt w:val="decimal"/>
      <w:lvlText w:val="%1)"/>
      <w:lvlJc w:val="left"/>
    </w:lvl>
    <w:lvl w:ilvl="1" w:tplc="B11E55D8">
      <w:start w:val="1"/>
      <w:numFmt w:val="lowerLetter"/>
      <w:lvlText w:val="%2)"/>
      <w:lvlJc w:val="left"/>
    </w:lvl>
    <w:lvl w:ilvl="2" w:tplc="9A0C5714">
      <w:numFmt w:val="decimal"/>
      <w:lvlText w:val=""/>
      <w:lvlJc w:val="left"/>
    </w:lvl>
    <w:lvl w:ilvl="3" w:tplc="07C6A6C2">
      <w:numFmt w:val="decimal"/>
      <w:lvlText w:val=""/>
      <w:lvlJc w:val="left"/>
    </w:lvl>
    <w:lvl w:ilvl="4" w:tplc="FAB802F2">
      <w:numFmt w:val="decimal"/>
      <w:lvlText w:val=""/>
      <w:lvlJc w:val="left"/>
    </w:lvl>
    <w:lvl w:ilvl="5" w:tplc="7E12DE6A">
      <w:numFmt w:val="decimal"/>
      <w:lvlText w:val=""/>
      <w:lvlJc w:val="left"/>
    </w:lvl>
    <w:lvl w:ilvl="6" w:tplc="4AE22946">
      <w:numFmt w:val="decimal"/>
      <w:lvlText w:val=""/>
      <w:lvlJc w:val="left"/>
    </w:lvl>
    <w:lvl w:ilvl="7" w:tplc="D93EE1AE">
      <w:numFmt w:val="decimal"/>
      <w:lvlText w:val=""/>
      <w:lvlJc w:val="left"/>
    </w:lvl>
    <w:lvl w:ilvl="8" w:tplc="5FEA116A">
      <w:numFmt w:val="decimal"/>
      <w:lvlText w:val=""/>
      <w:lvlJc w:val="left"/>
    </w:lvl>
  </w:abstractNum>
  <w:abstractNum w:abstractNumId="15" w15:restartNumberingAfterBreak="0">
    <w:nsid w:val="3006C83E"/>
    <w:multiLevelType w:val="hybridMultilevel"/>
    <w:tmpl w:val="196CA542"/>
    <w:lvl w:ilvl="0" w:tplc="59D00156">
      <w:start w:val="3"/>
      <w:numFmt w:val="decimal"/>
      <w:lvlText w:val="%1)"/>
      <w:lvlJc w:val="left"/>
    </w:lvl>
    <w:lvl w:ilvl="1" w:tplc="AE22C168">
      <w:start w:val="1"/>
      <w:numFmt w:val="lowerLetter"/>
      <w:lvlText w:val="%2)"/>
      <w:lvlJc w:val="left"/>
    </w:lvl>
    <w:lvl w:ilvl="2" w:tplc="3836EB58">
      <w:numFmt w:val="decimal"/>
      <w:lvlText w:val=""/>
      <w:lvlJc w:val="left"/>
    </w:lvl>
    <w:lvl w:ilvl="3" w:tplc="14DEC824">
      <w:numFmt w:val="decimal"/>
      <w:lvlText w:val=""/>
      <w:lvlJc w:val="left"/>
    </w:lvl>
    <w:lvl w:ilvl="4" w:tplc="BCD258C2">
      <w:numFmt w:val="decimal"/>
      <w:lvlText w:val=""/>
      <w:lvlJc w:val="left"/>
    </w:lvl>
    <w:lvl w:ilvl="5" w:tplc="5CCEA1F4">
      <w:numFmt w:val="decimal"/>
      <w:lvlText w:val=""/>
      <w:lvlJc w:val="left"/>
    </w:lvl>
    <w:lvl w:ilvl="6" w:tplc="A1A48F1E">
      <w:numFmt w:val="decimal"/>
      <w:lvlText w:val=""/>
      <w:lvlJc w:val="left"/>
    </w:lvl>
    <w:lvl w:ilvl="7" w:tplc="11261A32">
      <w:numFmt w:val="decimal"/>
      <w:lvlText w:val=""/>
      <w:lvlJc w:val="left"/>
    </w:lvl>
    <w:lvl w:ilvl="8" w:tplc="3572C7C6">
      <w:numFmt w:val="decimal"/>
      <w:lvlText w:val=""/>
      <w:lvlJc w:val="left"/>
    </w:lvl>
  </w:abstractNum>
  <w:abstractNum w:abstractNumId="16" w15:restartNumberingAfterBreak="0">
    <w:nsid w:val="32FFF902"/>
    <w:multiLevelType w:val="hybridMultilevel"/>
    <w:tmpl w:val="D7F69F2A"/>
    <w:lvl w:ilvl="0" w:tplc="B7A8540A">
      <w:start w:val="11"/>
      <w:numFmt w:val="decimal"/>
      <w:lvlText w:val="%1."/>
      <w:lvlJc w:val="left"/>
    </w:lvl>
    <w:lvl w:ilvl="1" w:tplc="97726C34">
      <w:numFmt w:val="decimal"/>
      <w:lvlText w:val=""/>
      <w:lvlJc w:val="left"/>
    </w:lvl>
    <w:lvl w:ilvl="2" w:tplc="884661CE">
      <w:numFmt w:val="decimal"/>
      <w:lvlText w:val=""/>
      <w:lvlJc w:val="left"/>
    </w:lvl>
    <w:lvl w:ilvl="3" w:tplc="B8D0B412">
      <w:numFmt w:val="decimal"/>
      <w:lvlText w:val=""/>
      <w:lvlJc w:val="left"/>
    </w:lvl>
    <w:lvl w:ilvl="4" w:tplc="CF463F1A">
      <w:numFmt w:val="decimal"/>
      <w:lvlText w:val=""/>
      <w:lvlJc w:val="left"/>
    </w:lvl>
    <w:lvl w:ilvl="5" w:tplc="384AE4A6">
      <w:numFmt w:val="decimal"/>
      <w:lvlText w:val=""/>
      <w:lvlJc w:val="left"/>
    </w:lvl>
    <w:lvl w:ilvl="6" w:tplc="6518AD3C">
      <w:numFmt w:val="decimal"/>
      <w:lvlText w:val=""/>
      <w:lvlJc w:val="left"/>
    </w:lvl>
    <w:lvl w:ilvl="7" w:tplc="84A66718">
      <w:numFmt w:val="decimal"/>
      <w:lvlText w:val=""/>
      <w:lvlJc w:val="left"/>
    </w:lvl>
    <w:lvl w:ilvl="8" w:tplc="67964B88">
      <w:numFmt w:val="decimal"/>
      <w:lvlText w:val=""/>
      <w:lvlJc w:val="left"/>
    </w:lvl>
  </w:abstractNum>
  <w:abstractNum w:abstractNumId="17" w15:restartNumberingAfterBreak="0">
    <w:nsid w:val="374A3FE6"/>
    <w:multiLevelType w:val="hybridMultilevel"/>
    <w:tmpl w:val="7D06B482"/>
    <w:lvl w:ilvl="0" w:tplc="689A6FDA">
      <w:start w:val="10"/>
      <w:numFmt w:val="decimal"/>
      <w:lvlText w:val="%1."/>
      <w:lvlJc w:val="left"/>
    </w:lvl>
    <w:lvl w:ilvl="1" w:tplc="9D485DAC">
      <w:numFmt w:val="decimal"/>
      <w:lvlText w:val=""/>
      <w:lvlJc w:val="left"/>
    </w:lvl>
    <w:lvl w:ilvl="2" w:tplc="021AFBAC">
      <w:numFmt w:val="decimal"/>
      <w:lvlText w:val=""/>
      <w:lvlJc w:val="left"/>
    </w:lvl>
    <w:lvl w:ilvl="3" w:tplc="C0D4F672">
      <w:numFmt w:val="decimal"/>
      <w:lvlText w:val=""/>
      <w:lvlJc w:val="left"/>
    </w:lvl>
    <w:lvl w:ilvl="4" w:tplc="00980C52">
      <w:numFmt w:val="decimal"/>
      <w:lvlText w:val=""/>
      <w:lvlJc w:val="left"/>
    </w:lvl>
    <w:lvl w:ilvl="5" w:tplc="1218A430">
      <w:numFmt w:val="decimal"/>
      <w:lvlText w:val=""/>
      <w:lvlJc w:val="left"/>
    </w:lvl>
    <w:lvl w:ilvl="6" w:tplc="533A41E8">
      <w:numFmt w:val="decimal"/>
      <w:lvlText w:val=""/>
      <w:lvlJc w:val="left"/>
    </w:lvl>
    <w:lvl w:ilvl="7" w:tplc="B9269E56">
      <w:numFmt w:val="decimal"/>
      <w:lvlText w:val=""/>
      <w:lvlJc w:val="left"/>
    </w:lvl>
    <w:lvl w:ilvl="8" w:tplc="EE888DCA">
      <w:numFmt w:val="decimal"/>
      <w:lvlText w:val=""/>
      <w:lvlJc w:val="left"/>
    </w:lvl>
  </w:abstractNum>
  <w:abstractNum w:abstractNumId="18" w15:restartNumberingAfterBreak="0">
    <w:nsid w:val="3804823E"/>
    <w:multiLevelType w:val="hybridMultilevel"/>
    <w:tmpl w:val="07F6E30E"/>
    <w:lvl w:ilvl="0" w:tplc="4AC6F362">
      <w:start w:val="2"/>
      <w:numFmt w:val="decimal"/>
      <w:lvlText w:val="%1)"/>
      <w:lvlJc w:val="left"/>
    </w:lvl>
    <w:lvl w:ilvl="1" w:tplc="B74C73A4">
      <w:start w:val="1"/>
      <w:numFmt w:val="lowerLetter"/>
      <w:lvlText w:val="%2)"/>
      <w:lvlJc w:val="left"/>
    </w:lvl>
    <w:lvl w:ilvl="2" w:tplc="D940E840">
      <w:numFmt w:val="decimal"/>
      <w:lvlText w:val=""/>
      <w:lvlJc w:val="left"/>
    </w:lvl>
    <w:lvl w:ilvl="3" w:tplc="805CCA60">
      <w:numFmt w:val="decimal"/>
      <w:lvlText w:val=""/>
      <w:lvlJc w:val="left"/>
    </w:lvl>
    <w:lvl w:ilvl="4" w:tplc="7F08E2C6">
      <w:numFmt w:val="decimal"/>
      <w:lvlText w:val=""/>
      <w:lvlJc w:val="left"/>
    </w:lvl>
    <w:lvl w:ilvl="5" w:tplc="4B9882D2">
      <w:numFmt w:val="decimal"/>
      <w:lvlText w:val=""/>
      <w:lvlJc w:val="left"/>
    </w:lvl>
    <w:lvl w:ilvl="6" w:tplc="3E04934C">
      <w:numFmt w:val="decimal"/>
      <w:lvlText w:val=""/>
      <w:lvlJc w:val="left"/>
    </w:lvl>
    <w:lvl w:ilvl="7" w:tplc="6F32476E">
      <w:numFmt w:val="decimal"/>
      <w:lvlText w:val=""/>
      <w:lvlJc w:val="left"/>
    </w:lvl>
    <w:lvl w:ilvl="8" w:tplc="CB34204E">
      <w:numFmt w:val="decimal"/>
      <w:lvlText w:val=""/>
      <w:lvlJc w:val="left"/>
    </w:lvl>
  </w:abstractNum>
  <w:abstractNum w:abstractNumId="19" w15:restartNumberingAfterBreak="0">
    <w:nsid w:val="38437FDB"/>
    <w:multiLevelType w:val="hybridMultilevel"/>
    <w:tmpl w:val="66AC637E"/>
    <w:lvl w:ilvl="0" w:tplc="3C227224">
      <w:start w:val="1"/>
      <w:numFmt w:val="decimal"/>
      <w:lvlText w:val="%1."/>
      <w:lvlJc w:val="left"/>
    </w:lvl>
    <w:lvl w:ilvl="1" w:tplc="27A8AC1C">
      <w:numFmt w:val="decimal"/>
      <w:lvlText w:val=""/>
      <w:lvlJc w:val="left"/>
    </w:lvl>
    <w:lvl w:ilvl="2" w:tplc="4D76029A">
      <w:numFmt w:val="decimal"/>
      <w:lvlText w:val=""/>
      <w:lvlJc w:val="left"/>
    </w:lvl>
    <w:lvl w:ilvl="3" w:tplc="4FD4C846">
      <w:numFmt w:val="decimal"/>
      <w:lvlText w:val=""/>
      <w:lvlJc w:val="left"/>
    </w:lvl>
    <w:lvl w:ilvl="4" w:tplc="D7CA11A0">
      <w:numFmt w:val="decimal"/>
      <w:lvlText w:val=""/>
      <w:lvlJc w:val="left"/>
    </w:lvl>
    <w:lvl w:ilvl="5" w:tplc="92EA9592">
      <w:numFmt w:val="decimal"/>
      <w:lvlText w:val=""/>
      <w:lvlJc w:val="left"/>
    </w:lvl>
    <w:lvl w:ilvl="6" w:tplc="ADBC971C">
      <w:numFmt w:val="decimal"/>
      <w:lvlText w:val=""/>
      <w:lvlJc w:val="left"/>
    </w:lvl>
    <w:lvl w:ilvl="7" w:tplc="990E3882">
      <w:numFmt w:val="decimal"/>
      <w:lvlText w:val=""/>
      <w:lvlJc w:val="left"/>
    </w:lvl>
    <w:lvl w:ilvl="8" w:tplc="1F602E66">
      <w:numFmt w:val="decimal"/>
      <w:lvlText w:val=""/>
      <w:lvlJc w:val="left"/>
    </w:lvl>
  </w:abstractNum>
  <w:abstractNum w:abstractNumId="20" w15:restartNumberingAfterBreak="0">
    <w:nsid w:val="3855585C"/>
    <w:multiLevelType w:val="hybridMultilevel"/>
    <w:tmpl w:val="E004950E"/>
    <w:lvl w:ilvl="0" w:tplc="A6E8952C">
      <w:start w:val="1"/>
      <w:numFmt w:val="decimal"/>
      <w:lvlText w:val="%1)"/>
      <w:lvlJc w:val="left"/>
    </w:lvl>
    <w:lvl w:ilvl="1" w:tplc="50121EDC">
      <w:start w:val="1"/>
      <w:numFmt w:val="lowerLetter"/>
      <w:lvlText w:val="%2)"/>
      <w:lvlJc w:val="left"/>
    </w:lvl>
    <w:lvl w:ilvl="2" w:tplc="26FE26F2">
      <w:numFmt w:val="decimal"/>
      <w:lvlText w:val=""/>
      <w:lvlJc w:val="left"/>
    </w:lvl>
    <w:lvl w:ilvl="3" w:tplc="598A7E7C">
      <w:numFmt w:val="decimal"/>
      <w:lvlText w:val=""/>
      <w:lvlJc w:val="left"/>
    </w:lvl>
    <w:lvl w:ilvl="4" w:tplc="E92CE8DA">
      <w:numFmt w:val="decimal"/>
      <w:lvlText w:val=""/>
      <w:lvlJc w:val="left"/>
    </w:lvl>
    <w:lvl w:ilvl="5" w:tplc="9690B200">
      <w:numFmt w:val="decimal"/>
      <w:lvlText w:val=""/>
      <w:lvlJc w:val="left"/>
    </w:lvl>
    <w:lvl w:ilvl="6" w:tplc="50AC466A">
      <w:numFmt w:val="decimal"/>
      <w:lvlText w:val=""/>
      <w:lvlJc w:val="left"/>
    </w:lvl>
    <w:lvl w:ilvl="7" w:tplc="B25E47A8">
      <w:numFmt w:val="decimal"/>
      <w:lvlText w:val=""/>
      <w:lvlJc w:val="left"/>
    </w:lvl>
    <w:lvl w:ilvl="8" w:tplc="49803FFA">
      <w:numFmt w:val="decimal"/>
      <w:lvlText w:val=""/>
      <w:lvlJc w:val="left"/>
    </w:lvl>
  </w:abstractNum>
  <w:abstractNum w:abstractNumId="21" w15:restartNumberingAfterBreak="0">
    <w:nsid w:val="3A95F874"/>
    <w:multiLevelType w:val="hybridMultilevel"/>
    <w:tmpl w:val="45E013C2"/>
    <w:lvl w:ilvl="0" w:tplc="6F94FF68">
      <w:start w:val="4"/>
      <w:numFmt w:val="decimal"/>
      <w:lvlText w:val="%1)"/>
      <w:lvlJc w:val="left"/>
    </w:lvl>
    <w:lvl w:ilvl="1" w:tplc="D88AE20E">
      <w:start w:val="1"/>
      <w:numFmt w:val="lowerLetter"/>
      <w:lvlText w:val="%2"/>
      <w:lvlJc w:val="left"/>
    </w:lvl>
    <w:lvl w:ilvl="2" w:tplc="EED4C05C">
      <w:numFmt w:val="decimal"/>
      <w:lvlText w:val=""/>
      <w:lvlJc w:val="left"/>
    </w:lvl>
    <w:lvl w:ilvl="3" w:tplc="2F1EE17C">
      <w:numFmt w:val="decimal"/>
      <w:lvlText w:val=""/>
      <w:lvlJc w:val="left"/>
    </w:lvl>
    <w:lvl w:ilvl="4" w:tplc="F544BB26">
      <w:numFmt w:val="decimal"/>
      <w:lvlText w:val=""/>
      <w:lvlJc w:val="left"/>
    </w:lvl>
    <w:lvl w:ilvl="5" w:tplc="248447B2">
      <w:numFmt w:val="decimal"/>
      <w:lvlText w:val=""/>
      <w:lvlJc w:val="left"/>
    </w:lvl>
    <w:lvl w:ilvl="6" w:tplc="DD3868A8">
      <w:numFmt w:val="decimal"/>
      <w:lvlText w:val=""/>
      <w:lvlJc w:val="left"/>
    </w:lvl>
    <w:lvl w:ilvl="7" w:tplc="71C28B8C">
      <w:numFmt w:val="decimal"/>
      <w:lvlText w:val=""/>
      <w:lvlJc w:val="left"/>
    </w:lvl>
    <w:lvl w:ilvl="8" w:tplc="F516D05A">
      <w:numFmt w:val="decimal"/>
      <w:lvlText w:val=""/>
      <w:lvlJc w:val="left"/>
    </w:lvl>
  </w:abstractNum>
  <w:abstractNum w:abstractNumId="22" w15:restartNumberingAfterBreak="0">
    <w:nsid w:val="3DC240FB"/>
    <w:multiLevelType w:val="hybridMultilevel"/>
    <w:tmpl w:val="5D063A9C"/>
    <w:lvl w:ilvl="0" w:tplc="05EA3A62">
      <w:start w:val="17"/>
      <w:numFmt w:val="decimal"/>
      <w:lvlText w:val="%1."/>
      <w:lvlJc w:val="left"/>
    </w:lvl>
    <w:lvl w:ilvl="1" w:tplc="167047F8">
      <w:numFmt w:val="decimal"/>
      <w:lvlText w:val=""/>
      <w:lvlJc w:val="left"/>
    </w:lvl>
    <w:lvl w:ilvl="2" w:tplc="56FEBDE2">
      <w:numFmt w:val="decimal"/>
      <w:lvlText w:val=""/>
      <w:lvlJc w:val="left"/>
    </w:lvl>
    <w:lvl w:ilvl="3" w:tplc="01706766">
      <w:numFmt w:val="decimal"/>
      <w:lvlText w:val=""/>
      <w:lvlJc w:val="left"/>
    </w:lvl>
    <w:lvl w:ilvl="4" w:tplc="245AE19E">
      <w:numFmt w:val="decimal"/>
      <w:lvlText w:val=""/>
      <w:lvlJc w:val="left"/>
    </w:lvl>
    <w:lvl w:ilvl="5" w:tplc="F60E0FAC">
      <w:numFmt w:val="decimal"/>
      <w:lvlText w:val=""/>
      <w:lvlJc w:val="left"/>
    </w:lvl>
    <w:lvl w:ilvl="6" w:tplc="AFB0646E">
      <w:numFmt w:val="decimal"/>
      <w:lvlText w:val=""/>
      <w:lvlJc w:val="left"/>
    </w:lvl>
    <w:lvl w:ilvl="7" w:tplc="2B4A0972">
      <w:numFmt w:val="decimal"/>
      <w:lvlText w:val=""/>
      <w:lvlJc w:val="left"/>
    </w:lvl>
    <w:lvl w:ilvl="8" w:tplc="AA04C62A">
      <w:numFmt w:val="decimal"/>
      <w:lvlText w:val=""/>
      <w:lvlJc w:val="left"/>
    </w:lvl>
  </w:abstractNum>
  <w:abstractNum w:abstractNumId="23" w15:restartNumberingAfterBreak="0">
    <w:nsid w:val="419AC241"/>
    <w:multiLevelType w:val="hybridMultilevel"/>
    <w:tmpl w:val="53C4F43E"/>
    <w:lvl w:ilvl="0" w:tplc="8A5A1D86">
      <w:start w:val="4"/>
      <w:numFmt w:val="decimal"/>
      <w:lvlText w:val="%1)"/>
      <w:lvlJc w:val="left"/>
    </w:lvl>
    <w:lvl w:ilvl="1" w:tplc="E092ECDE">
      <w:start w:val="1"/>
      <w:numFmt w:val="lowerLetter"/>
      <w:lvlText w:val="%2)"/>
      <w:lvlJc w:val="left"/>
    </w:lvl>
    <w:lvl w:ilvl="2" w:tplc="B43019A0">
      <w:start w:val="1"/>
      <w:numFmt w:val="decimal"/>
      <w:lvlText w:val="%3."/>
      <w:lvlJc w:val="left"/>
    </w:lvl>
    <w:lvl w:ilvl="3" w:tplc="93EAE924">
      <w:numFmt w:val="decimal"/>
      <w:lvlText w:val=""/>
      <w:lvlJc w:val="left"/>
    </w:lvl>
    <w:lvl w:ilvl="4" w:tplc="87E86F26">
      <w:numFmt w:val="decimal"/>
      <w:lvlText w:val=""/>
      <w:lvlJc w:val="left"/>
    </w:lvl>
    <w:lvl w:ilvl="5" w:tplc="60F87858">
      <w:numFmt w:val="decimal"/>
      <w:lvlText w:val=""/>
      <w:lvlJc w:val="left"/>
    </w:lvl>
    <w:lvl w:ilvl="6" w:tplc="6B6EC4CC">
      <w:numFmt w:val="decimal"/>
      <w:lvlText w:val=""/>
      <w:lvlJc w:val="left"/>
    </w:lvl>
    <w:lvl w:ilvl="7" w:tplc="3CC6DD8C">
      <w:numFmt w:val="decimal"/>
      <w:lvlText w:val=""/>
      <w:lvlJc w:val="left"/>
    </w:lvl>
    <w:lvl w:ilvl="8" w:tplc="F06024B0">
      <w:numFmt w:val="decimal"/>
      <w:lvlText w:val=""/>
      <w:lvlJc w:val="left"/>
    </w:lvl>
  </w:abstractNum>
  <w:abstractNum w:abstractNumId="24" w15:restartNumberingAfterBreak="0">
    <w:nsid w:val="440BADFC"/>
    <w:multiLevelType w:val="hybridMultilevel"/>
    <w:tmpl w:val="B84007E4"/>
    <w:lvl w:ilvl="0" w:tplc="31BC4774">
      <w:start w:val="1"/>
      <w:numFmt w:val="decimal"/>
      <w:lvlText w:val="%1)"/>
      <w:lvlJc w:val="left"/>
    </w:lvl>
    <w:lvl w:ilvl="1" w:tplc="BDA61E7E">
      <w:numFmt w:val="decimal"/>
      <w:lvlText w:val=""/>
      <w:lvlJc w:val="left"/>
    </w:lvl>
    <w:lvl w:ilvl="2" w:tplc="4176BBC4">
      <w:numFmt w:val="decimal"/>
      <w:lvlText w:val=""/>
      <w:lvlJc w:val="left"/>
    </w:lvl>
    <w:lvl w:ilvl="3" w:tplc="D8DABCD6">
      <w:numFmt w:val="decimal"/>
      <w:lvlText w:val=""/>
      <w:lvlJc w:val="left"/>
    </w:lvl>
    <w:lvl w:ilvl="4" w:tplc="CF78E09E">
      <w:numFmt w:val="decimal"/>
      <w:lvlText w:val=""/>
      <w:lvlJc w:val="left"/>
    </w:lvl>
    <w:lvl w:ilvl="5" w:tplc="CBF62D04">
      <w:numFmt w:val="decimal"/>
      <w:lvlText w:val=""/>
      <w:lvlJc w:val="left"/>
    </w:lvl>
    <w:lvl w:ilvl="6" w:tplc="7E2AB2DA">
      <w:numFmt w:val="decimal"/>
      <w:lvlText w:val=""/>
      <w:lvlJc w:val="left"/>
    </w:lvl>
    <w:lvl w:ilvl="7" w:tplc="F3DCC4E2">
      <w:numFmt w:val="decimal"/>
      <w:lvlText w:val=""/>
      <w:lvlJc w:val="left"/>
    </w:lvl>
    <w:lvl w:ilvl="8" w:tplc="B8F8A79A">
      <w:numFmt w:val="decimal"/>
      <w:lvlText w:val=""/>
      <w:lvlJc w:val="left"/>
    </w:lvl>
  </w:abstractNum>
  <w:abstractNum w:abstractNumId="25" w15:restartNumberingAfterBreak="0">
    <w:nsid w:val="4516DDE9"/>
    <w:multiLevelType w:val="hybridMultilevel"/>
    <w:tmpl w:val="0A3E2DEC"/>
    <w:lvl w:ilvl="0" w:tplc="292A8A24">
      <w:start w:val="1"/>
      <w:numFmt w:val="decimal"/>
      <w:lvlText w:val="%1)"/>
      <w:lvlJc w:val="left"/>
    </w:lvl>
    <w:lvl w:ilvl="1" w:tplc="20AE3B16">
      <w:start w:val="1"/>
      <w:numFmt w:val="lowerLetter"/>
      <w:lvlText w:val="%2)"/>
      <w:lvlJc w:val="left"/>
    </w:lvl>
    <w:lvl w:ilvl="2" w:tplc="33FCAFD6">
      <w:start w:val="1"/>
      <w:numFmt w:val="decimal"/>
      <w:lvlText w:val="%3."/>
      <w:lvlJc w:val="left"/>
    </w:lvl>
    <w:lvl w:ilvl="3" w:tplc="10E214F4">
      <w:numFmt w:val="decimal"/>
      <w:lvlText w:val=""/>
      <w:lvlJc w:val="left"/>
    </w:lvl>
    <w:lvl w:ilvl="4" w:tplc="3F065D54">
      <w:numFmt w:val="decimal"/>
      <w:lvlText w:val=""/>
      <w:lvlJc w:val="left"/>
    </w:lvl>
    <w:lvl w:ilvl="5" w:tplc="D0086D64">
      <w:numFmt w:val="decimal"/>
      <w:lvlText w:val=""/>
      <w:lvlJc w:val="left"/>
    </w:lvl>
    <w:lvl w:ilvl="6" w:tplc="20060D6A">
      <w:numFmt w:val="decimal"/>
      <w:lvlText w:val=""/>
      <w:lvlJc w:val="left"/>
    </w:lvl>
    <w:lvl w:ilvl="7" w:tplc="11B25966">
      <w:numFmt w:val="decimal"/>
      <w:lvlText w:val=""/>
      <w:lvlJc w:val="left"/>
    </w:lvl>
    <w:lvl w:ilvl="8" w:tplc="F9E2E9BA">
      <w:numFmt w:val="decimal"/>
      <w:lvlText w:val=""/>
      <w:lvlJc w:val="left"/>
    </w:lvl>
  </w:abstractNum>
  <w:abstractNum w:abstractNumId="26" w15:restartNumberingAfterBreak="0">
    <w:nsid w:val="4B588F54"/>
    <w:multiLevelType w:val="hybridMultilevel"/>
    <w:tmpl w:val="AA52A40A"/>
    <w:lvl w:ilvl="0" w:tplc="9A5657B6">
      <w:start w:val="7"/>
      <w:numFmt w:val="decimal"/>
      <w:lvlText w:val="%1."/>
      <w:lvlJc w:val="left"/>
    </w:lvl>
    <w:lvl w:ilvl="1" w:tplc="54AE2D48">
      <w:numFmt w:val="decimal"/>
      <w:lvlText w:val=""/>
      <w:lvlJc w:val="left"/>
    </w:lvl>
    <w:lvl w:ilvl="2" w:tplc="96888746">
      <w:numFmt w:val="decimal"/>
      <w:lvlText w:val=""/>
      <w:lvlJc w:val="left"/>
    </w:lvl>
    <w:lvl w:ilvl="3" w:tplc="EA6E3EA6">
      <w:numFmt w:val="decimal"/>
      <w:lvlText w:val=""/>
      <w:lvlJc w:val="left"/>
    </w:lvl>
    <w:lvl w:ilvl="4" w:tplc="B95EED0E">
      <w:numFmt w:val="decimal"/>
      <w:lvlText w:val=""/>
      <w:lvlJc w:val="left"/>
    </w:lvl>
    <w:lvl w:ilvl="5" w:tplc="FBB4F102">
      <w:numFmt w:val="decimal"/>
      <w:lvlText w:val=""/>
      <w:lvlJc w:val="left"/>
    </w:lvl>
    <w:lvl w:ilvl="6" w:tplc="9BB88358">
      <w:numFmt w:val="decimal"/>
      <w:lvlText w:val=""/>
      <w:lvlJc w:val="left"/>
    </w:lvl>
    <w:lvl w:ilvl="7" w:tplc="5EE25942">
      <w:numFmt w:val="decimal"/>
      <w:lvlText w:val=""/>
      <w:lvlJc w:val="left"/>
    </w:lvl>
    <w:lvl w:ilvl="8" w:tplc="D4F0A398">
      <w:numFmt w:val="decimal"/>
      <w:lvlText w:val=""/>
      <w:lvlJc w:val="left"/>
    </w:lvl>
  </w:abstractNum>
  <w:abstractNum w:abstractNumId="27" w15:restartNumberingAfterBreak="0">
    <w:nsid w:val="51EAD36B"/>
    <w:multiLevelType w:val="hybridMultilevel"/>
    <w:tmpl w:val="61789CDE"/>
    <w:lvl w:ilvl="0" w:tplc="82A6A9A2">
      <w:start w:val="1"/>
      <w:numFmt w:val="decimal"/>
      <w:lvlText w:val="%1"/>
      <w:lvlJc w:val="left"/>
    </w:lvl>
    <w:lvl w:ilvl="1" w:tplc="5C84CAF4">
      <w:start w:val="3"/>
      <w:numFmt w:val="lowerLetter"/>
      <w:lvlText w:val="%2)"/>
      <w:lvlJc w:val="left"/>
    </w:lvl>
    <w:lvl w:ilvl="2" w:tplc="A6D2499E">
      <w:numFmt w:val="decimal"/>
      <w:lvlText w:val=""/>
      <w:lvlJc w:val="left"/>
    </w:lvl>
    <w:lvl w:ilvl="3" w:tplc="BFCEF934">
      <w:numFmt w:val="decimal"/>
      <w:lvlText w:val=""/>
      <w:lvlJc w:val="left"/>
    </w:lvl>
    <w:lvl w:ilvl="4" w:tplc="028E5504">
      <w:numFmt w:val="decimal"/>
      <w:lvlText w:val=""/>
      <w:lvlJc w:val="left"/>
    </w:lvl>
    <w:lvl w:ilvl="5" w:tplc="E7D0981A">
      <w:numFmt w:val="decimal"/>
      <w:lvlText w:val=""/>
      <w:lvlJc w:val="left"/>
    </w:lvl>
    <w:lvl w:ilvl="6" w:tplc="832CCFFE">
      <w:numFmt w:val="decimal"/>
      <w:lvlText w:val=""/>
      <w:lvlJc w:val="left"/>
    </w:lvl>
    <w:lvl w:ilvl="7" w:tplc="DC5E9774">
      <w:numFmt w:val="decimal"/>
      <w:lvlText w:val=""/>
      <w:lvlJc w:val="left"/>
    </w:lvl>
    <w:lvl w:ilvl="8" w:tplc="B718A86A">
      <w:numFmt w:val="decimal"/>
      <w:lvlText w:val=""/>
      <w:lvlJc w:val="left"/>
    </w:lvl>
  </w:abstractNum>
  <w:abstractNum w:abstractNumId="28" w15:restartNumberingAfterBreak="0">
    <w:nsid w:val="520EEDD1"/>
    <w:multiLevelType w:val="hybridMultilevel"/>
    <w:tmpl w:val="BDF05022"/>
    <w:lvl w:ilvl="0" w:tplc="90CED6A2">
      <w:start w:val="8"/>
      <w:numFmt w:val="decimal"/>
      <w:lvlText w:val="%1."/>
      <w:lvlJc w:val="left"/>
    </w:lvl>
    <w:lvl w:ilvl="1" w:tplc="C2608878">
      <w:numFmt w:val="decimal"/>
      <w:lvlText w:val=""/>
      <w:lvlJc w:val="left"/>
    </w:lvl>
    <w:lvl w:ilvl="2" w:tplc="EB909E9A">
      <w:numFmt w:val="decimal"/>
      <w:lvlText w:val=""/>
      <w:lvlJc w:val="left"/>
    </w:lvl>
    <w:lvl w:ilvl="3" w:tplc="F4D42FCE">
      <w:numFmt w:val="decimal"/>
      <w:lvlText w:val=""/>
      <w:lvlJc w:val="left"/>
    </w:lvl>
    <w:lvl w:ilvl="4" w:tplc="707268B6">
      <w:numFmt w:val="decimal"/>
      <w:lvlText w:val=""/>
      <w:lvlJc w:val="left"/>
    </w:lvl>
    <w:lvl w:ilvl="5" w:tplc="9FCE2020">
      <w:numFmt w:val="decimal"/>
      <w:lvlText w:val=""/>
      <w:lvlJc w:val="left"/>
    </w:lvl>
    <w:lvl w:ilvl="6" w:tplc="E672390A">
      <w:numFmt w:val="decimal"/>
      <w:lvlText w:val=""/>
      <w:lvlJc w:val="left"/>
    </w:lvl>
    <w:lvl w:ilvl="7" w:tplc="BFD26436">
      <w:numFmt w:val="decimal"/>
      <w:lvlText w:val=""/>
      <w:lvlJc w:val="left"/>
    </w:lvl>
    <w:lvl w:ilvl="8" w:tplc="E96C71C8">
      <w:numFmt w:val="decimal"/>
      <w:lvlText w:val=""/>
      <w:lvlJc w:val="left"/>
    </w:lvl>
  </w:abstractNum>
  <w:abstractNum w:abstractNumId="29" w15:restartNumberingAfterBreak="0">
    <w:nsid w:val="542289EC"/>
    <w:multiLevelType w:val="hybridMultilevel"/>
    <w:tmpl w:val="8BBC49A6"/>
    <w:lvl w:ilvl="0" w:tplc="C04E2146">
      <w:start w:val="9"/>
      <w:numFmt w:val="decimal"/>
      <w:lvlText w:val="%1."/>
      <w:lvlJc w:val="left"/>
    </w:lvl>
    <w:lvl w:ilvl="1" w:tplc="04D22D50">
      <w:numFmt w:val="decimal"/>
      <w:lvlText w:val=""/>
      <w:lvlJc w:val="left"/>
    </w:lvl>
    <w:lvl w:ilvl="2" w:tplc="B0E2450E">
      <w:numFmt w:val="decimal"/>
      <w:lvlText w:val=""/>
      <w:lvlJc w:val="left"/>
    </w:lvl>
    <w:lvl w:ilvl="3" w:tplc="952EA032">
      <w:numFmt w:val="decimal"/>
      <w:lvlText w:val=""/>
      <w:lvlJc w:val="left"/>
    </w:lvl>
    <w:lvl w:ilvl="4" w:tplc="41D87B22">
      <w:numFmt w:val="decimal"/>
      <w:lvlText w:val=""/>
      <w:lvlJc w:val="left"/>
    </w:lvl>
    <w:lvl w:ilvl="5" w:tplc="68AC1948">
      <w:numFmt w:val="decimal"/>
      <w:lvlText w:val=""/>
      <w:lvlJc w:val="left"/>
    </w:lvl>
    <w:lvl w:ilvl="6" w:tplc="209A0DE8">
      <w:numFmt w:val="decimal"/>
      <w:lvlText w:val=""/>
      <w:lvlJc w:val="left"/>
    </w:lvl>
    <w:lvl w:ilvl="7" w:tplc="D2E88E0A">
      <w:numFmt w:val="decimal"/>
      <w:lvlText w:val=""/>
      <w:lvlJc w:val="left"/>
    </w:lvl>
    <w:lvl w:ilvl="8" w:tplc="9D6A7EEE">
      <w:numFmt w:val="decimal"/>
      <w:lvlText w:val=""/>
      <w:lvlJc w:val="left"/>
    </w:lvl>
  </w:abstractNum>
  <w:abstractNum w:abstractNumId="30" w15:restartNumberingAfterBreak="0">
    <w:nsid w:val="5577F8E1"/>
    <w:multiLevelType w:val="hybridMultilevel"/>
    <w:tmpl w:val="F7CC1558"/>
    <w:lvl w:ilvl="0" w:tplc="2CFADA44">
      <w:start w:val="5"/>
      <w:numFmt w:val="lowerLetter"/>
      <w:lvlText w:val="%1)"/>
      <w:lvlJc w:val="left"/>
    </w:lvl>
    <w:lvl w:ilvl="1" w:tplc="09D81798">
      <w:numFmt w:val="decimal"/>
      <w:lvlText w:val=""/>
      <w:lvlJc w:val="left"/>
    </w:lvl>
    <w:lvl w:ilvl="2" w:tplc="A83A3354">
      <w:numFmt w:val="decimal"/>
      <w:lvlText w:val=""/>
      <w:lvlJc w:val="left"/>
    </w:lvl>
    <w:lvl w:ilvl="3" w:tplc="9E604006">
      <w:numFmt w:val="decimal"/>
      <w:lvlText w:val=""/>
      <w:lvlJc w:val="left"/>
    </w:lvl>
    <w:lvl w:ilvl="4" w:tplc="BA48E780">
      <w:numFmt w:val="decimal"/>
      <w:lvlText w:val=""/>
      <w:lvlJc w:val="left"/>
    </w:lvl>
    <w:lvl w:ilvl="5" w:tplc="BA96856E">
      <w:numFmt w:val="decimal"/>
      <w:lvlText w:val=""/>
      <w:lvlJc w:val="left"/>
    </w:lvl>
    <w:lvl w:ilvl="6" w:tplc="4C5494B4">
      <w:numFmt w:val="decimal"/>
      <w:lvlText w:val=""/>
      <w:lvlJc w:val="left"/>
    </w:lvl>
    <w:lvl w:ilvl="7" w:tplc="5BFAF336">
      <w:numFmt w:val="decimal"/>
      <w:lvlText w:val=""/>
      <w:lvlJc w:val="left"/>
    </w:lvl>
    <w:lvl w:ilvl="8" w:tplc="1D7A3AA2">
      <w:numFmt w:val="decimal"/>
      <w:lvlText w:val=""/>
      <w:lvlJc w:val="left"/>
    </w:lvl>
  </w:abstractNum>
  <w:abstractNum w:abstractNumId="31" w15:restartNumberingAfterBreak="0">
    <w:nsid w:val="579478FE"/>
    <w:multiLevelType w:val="hybridMultilevel"/>
    <w:tmpl w:val="6DF84982"/>
    <w:lvl w:ilvl="0" w:tplc="70107894">
      <w:start w:val="13"/>
      <w:numFmt w:val="decimal"/>
      <w:lvlText w:val="%1."/>
      <w:lvlJc w:val="left"/>
    </w:lvl>
    <w:lvl w:ilvl="1" w:tplc="2C062C8E">
      <w:numFmt w:val="decimal"/>
      <w:lvlText w:val=""/>
      <w:lvlJc w:val="left"/>
    </w:lvl>
    <w:lvl w:ilvl="2" w:tplc="C624D0EA">
      <w:numFmt w:val="decimal"/>
      <w:lvlText w:val=""/>
      <w:lvlJc w:val="left"/>
    </w:lvl>
    <w:lvl w:ilvl="3" w:tplc="266EA59C">
      <w:numFmt w:val="decimal"/>
      <w:lvlText w:val=""/>
      <w:lvlJc w:val="left"/>
    </w:lvl>
    <w:lvl w:ilvl="4" w:tplc="DD22E8B2">
      <w:numFmt w:val="decimal"/>
      <w:lvlText w:val=""/>
      <w:lvlJc w:val="left"/>
    </w:lvl>
    <w:lvl w:ilvl="5" w:tplc="AC0E312C">
      <w:numFmt w:val="decimal"/>
      <w:lvlText w:val=""/>
      <w:lvlJc w:val="left"/>
    </w:lvl>
    <w:lvl w:ilvl="6" w:tplc="C6FEB942">
      <w:numFmt w:val="decimal"/>
      <w:lvlText w:val=""/>
      <w:lvlJc w:val="left"/>
    </w:lvl>
    <w:lvl w:ilvl="7" w:tplc="BADAAB9C">
      <w:numFmt w:val="decimal"/>
      <w:lvlText w:val=""/>
      <w:lvlJc w:val="left"/>
    </w:lvl>
    <w:lvl w:ilvl="8" w:tplc="F82C7774">
      <w:numFmt w:val="decimal"/>
      <w:lvlText w:val=""/>
      <w:lvlJc w:val="left"/>
    </w:lvl>
  </w:abstractNum>
  <w:abstractNum w:abstractNumId="32" w15:restartNumberingAfterBreak="0">
    <w:nsid w:val="57E4CCAF"/>
    <w:multiLevelType w:val="hybridMultilevel"/>
    <w:tmpl w:val="69BCF3B6"/>
    <w:lvl w:ilvl="0" w:tplc="4FACCCAC">
      <w:start w:val="3"/>
      <w:numFmt w:val="decimal"/>
      <w:lvlText w:val="%1."/>
      <w:lvlJc w:val="left"/>
    </w:lvl>
    <w:lvl w:ilvl="1" w:tplc="79A088E6">
      <w:numFmt w:val="decimal"/>
      <w:lvlText w:val=""/>
      <w:lvlJc w:val="left"/>
    </w:lvl>
    <w:lvl w:ilvl="2" w:tplc="6E7AB6E4">
      <w:numFmt w:val="decimal"/>
      <w:lvlText w:val=""/>
      <w:lvlJc w:val="left"/>
    </w:lvl>
    <w:lvl w:ilvl="3" w:tplc="EA766784">
      <w:numFmt w:val="decimal"/>
      <w:lvlText w:val=""/>
      <w:lvlJc w:val="left"/>
    </w:lvl>
    <w:lvl w:ilvl="4" w:tplc="B5808E6E">
      <w:numFmt w:val="decimal"/>
      <w:lvlText w:val=""/>
      <w:lvlJc w:val="left"/>
    </w:lvl>
    <w:lvl w:ilvl="5" w:tplc="8C60B208">
      <w:numFmt w:val="decimal"/>
      <w:lvlText w:val=""/>
      <w:lvlJc w:val="left"/>
    </w:lvl>
    <w:lvl w:ilvl="6" w:tplc="7D5A8A6E">
      <w:numFmt w:val="decimal"/>
      <w:lvlText w:val=""/>
      <w:lvlJc w:val="left"/>
    </w:lvl>
    <w:lvl w:ilvl="7" w:tplc="17406DE8">
      <w:numFmt w:val="decimal"/>
      <w:lvlText w:val=""/>
      <w:lvlJc w:val="left"/>
    </w:lvl>
    <w:lvl w:ilvl="8" w:tplc="F262348A">
      <w:numFmt w:val="decimal"/>
      <w:lvlText w:val=""/>
      <w:lvlJc w:val="left"/>
    </w:lvl>
  </w:abstractNum>
  <w:abstractNum w:abstractNumId="33" w15:restartNumberingAfterBreak="0">
    <w:nsid w:val="580BD78F"/>
    <w:multiLevelType w:val="hybridMultilevel"/>
    <w:tmpl w:val="5E101A68"/>
    <w:lvl w:ilvl="0" w:tplc="47FE60E2">
      <w:start w:val="5"/>
      <w:numFmt w:val="decimal"/>
      <w:lvlText w:val="%1)"/>
      <w:lvlJc w:val="left"/>
    </w:lvl>
    <w:lvl w:ilvl="1" w:tplc="41C82500">
      <w:start w:val="1"/>
      <w:numFmt w:val="lowerLetter"/>
      <w:lvlText w:val="%2)"/>
      <w:lvlJc w:val="left"/>
    </w:lvl>
    <w:lvl w:ilvl="2" w:tplc="E80E127A">
      <w:numFmt w:val="decimal"/>
      <w:lvlText w:val=""/>
      <w:lvlJc w:val="left"/>
    </w:lvl>
    <w:lvl w:ilvl="3" w:tplc="5826372C">
      <w:numFmt w:val="decimal"/>
      <w:lvlText w:val=""/>
      <w:lvlJc w:val="left"/>
    </w:lvl>
    <w:lvl w:ilvl="4" w:tplc="F8742780">
      <w:numFmt w:val="decimal"/>
      <w:lvlText w:val=""/>
      <w:lvlJc w:val="left"/>
    </w:lvl>
    <w:lvl w:ilvl="5" w:tplc="C6DEC304">
      <w:numFmt w:val="decimal"/>
      <w:lvlText w:val=""/>
      <w:lvlJc w:val="left"/>
    </w:lvl>
    <w:lvl w:ilvl="6" w:tplc="EAEE5974">
      <w:numFmt w:val="decimal"/>
      <w:lvlText w:val=""/>
      <w:lvlJc w:val="left"/>
    </w:lvl>
    <w:lvl w:ilvl="7" w:tplc="28E071F8">
      <w:numFmt w:val="decimal"/>
      <w:lvlText w:val=""/>
      <w:lvlJc w:val="left"/>
    </w:lvl>
    <w:lvl w:ilvl="8" w:tplc="ABB00690">
      <w:numFmt w:val="decimal"/>
      <w:lvlText w:val=""/>
      <w:lvlJc w:val="left"/>
    </w:lvl>
  </w:abstractNum>
  <w:abstractNum w:abstractNumId="34" w15:restartNumberingAfterBreak="0">
    <w:nsid w:val="5C482A97"/>
    <w:multiLevelType w:val="hybridMultilevel"/>
    <w:tmpl w:val="EBFEF0F6"/>
    <w:lvl w:ilvl="0" w:tplc="8E7E247A">
      <w:start w:val="1"/>
      <w:numFmt w:val="decimal"/>
      <w:lvlText w:val="%1)"/>
      <w:lvlJc w:val="left"/>
    </w:lvl>
    <w:lvl w:ilvl="1" w:tplc="C90C57F0">
      <w:start w:val="1"/>
      <w:numFmt w:val="lowerLetter"/>
      <w:lvlText w:val="%2)"/>
      <w:lvlJc w:val="left"/>
    </w:lvl>
    <w:lvl w:ilvl="2" w:tplc="29947E4C">
      <w:start w:val="1"/>
      <w:numFmt w:val="decimal"/>
      <w:lvlText w:val="%3."/>
      <w:lvlJc w:val="left"/>
    </w:lvl>
    <w:lvl w:ilvl="3" w:tplc="A9D4C8B8">
      <w:numFmt w:val="decimal"/>
      <w:lvlText w:val=""/>
      <w:lvlJc w:val="left"/>
    </w:lvl>
    <w:lvl w:ilvl="4" w:tplc="B3788690">
      <w:numFmt w:val="decimal"/>
      <w:lvlText w:val=""/>
      <w:lvlJc w:val="left"/>
    </w:lvl>
    <w:lvl w:ilvl="5" w:tplc="BC628534">
      <w:numFmt w:val="decimal"/>
      <w:lvlText w:val=""/>
      <w:lvlJc w:val="left"/>
    </w:lvl>
    <w:lvl w:ilvl="6" w:tplc="AE101368">
      <w:numFmt w:val="decimal"/>
      <w:lvlText w:val=""/>
      <w:lvlJc w:val="left"/>
    </w:lvl>
    <w:lvl w:ilvl="7" w:tplc="E57E922E">
      <w:numFmt w:val="decimal"/>
      <w:lvlText w:val=""/>
      <w:lvlJc w:val="left"/>
    </w:lvl>
    <w:lvl w:ilvl="8" w:tplc="7884E02A">
      <w:numFmt w:val="decimal"/>
      <w:lvlText w:val=""/>
      <w:lvlJc w:val="left"/>
    </w:lvl>
  </w:abstractNum>
  <w:abstractNum w:abstractNumId="35" w15:restartNumberingAfterBreak="0">
    <w:nsid w:val="5E884ADC"/>
    <w:multiLevelType w:val="hybridMultilevel"/>
    <w:tmpl w:val="548AC75C"/>
    <w:lvl w:ilvl="0" w:tplc="C58E51E8">
      <w:start w:val="3"/>
      <w:numFmt w:val="decimal"/>
      <w:lvlText w:val="%1)"/>
      <w:lvlJc w:val="left"/>
    </w:lvl>
    <w:lvl w:ilvl="1" w:tplc="8DDA566C">
      <w:start w:val="1"/>
      <w:numFmt w:val="lowerLetter"/>
      <w:lvlText w:val="%2)"/>
      <w:lvlJc w:val="left"/>
    </w:lvl>
    <w:lvl w:ilvl="2" w:tplc="D0283EF6">
      <w:start w:val="1"/>
      <w:numFmt w:val="decimal"/>
      <w:lvlText w:val="%3."/>
      <w:lvlJc w:val="left"/>
    </w:lvl>
    <w:lvl w:ilvl="3" w:tplc="CF3AA1DC">
      <w:numFmt w:val="decimal"/>
      <w:lvlText w:val=""/>
      <w:lvlJc w:val="left"/>
    </w:lvl>
    <w:lvl w:ilvl="4" w:tplc="26AAA3D0">
      <w:numFmt w:val="decimal"/>
      <w:lvlText w:val=""/>
      <w:lvlJc w:val="left"/>
    </w:lvl>
    <w:lvl w:ilvl="5" w:tplc="0E3443C0">
      <w:numFmt w:val="decimal"/>
      <w:lvlText w:val=""/>
      <w:lvlJc w:val="left"/>
    </w:lvl>
    <w:lvl w:ilvl="6" w:tplc="A9A6AFCE">
      <w:numFmt w:val="decimal"/>
      <w:lvlText w:val=""/>
      <w:lvlJc w:val="left"/>
    </w:lvl>
    <w:lvl w:ilvl="7" w:tplc="1B18D904">
      <w:numFmt w:val="decimal"/>
      <w:lvlText w:val=""/>
      <w:lvlJc w:val="left"/>
    </w:lvl>
    <w:lvl w:ilvl="8" w:tplc="29AC0814">
      <w:numFmt w:val="decimal"/>
      <w:lvlText w:val=""/>
      <w:lvlJc w:val="left"/>
    </w:lvl>
  </w:abstractNum>
  <w:abstractNum w:abstractNumId="36" w15:restartNumberingAfterBreak="0">
    <w:nsid w:val="614FD4A1"/>
    <w:multiLevelType w:val="hybridMultilevel"/>
    <w:tmpl w:val="9070BE30"/>
    <w:lvl w:ilvl="0" w:tplc="B3EAC5F8">
      <w:start w:val="1"/>
      <w:numFmt w:val="decimal"/>
      <w:lvlText w:val="%1"/>
      <w:lvlJc w:val="left"/>
    </w:lvl>
    <w:lvl w:ilvl="1" w:tplc="5310E4C0">
      <w:start w:val="2"/>
      <w:numFmt w:val="lowerLetter"/>
      <w:lvlText w:val="%2)"/>
      <w:lvlJc w:val="left"/>
    </w:lvl>
    <w:lvl w:ilvl="2" w:tplc="2AA2D4CE">
      <w:start w:val="1"/>
      <w:numFmt w:val="decimal"/>
      <w:lvlText w:val="%3."/>
      <w:lvlJc w:val="left"/>
    </w:lvl>
    <w:lvl w:ilvl="3" w:tplc="99EA0A56">
      <w:numFmt w:val="decimal"/>
      <w:lvlText w:val=""/>
      <w:lvlJc w:val="left"/>
    </w:lvl>
    <w:lvl w:ilvl="4" w:tplc="CDD89276">
      <w:numFmt w:val="decimal"/>
      <w:lvlText w:val=""/>
      <w:lvlJc w:val="left"/>
    </w:lvl>
    <w:lvl w:ilvl="5" w:tplc="55E0FE34">
      <w:numFmt w:val="decimal"/>
      <w:lvlText w:val=""/>
      <w:lvlJc w:val="left"/>
    </w:lvl>
    <w:lvl w:ilvl="6" w:tplc="B9FC9C4C">
      <w:numFmt w:val="decimal"/>
      <w:lvlText w:val=""/>
      <w:lvlJc w:val="left"/>
    </w:lvl>
    <w:lvl w:ilvl="7" w:tplc="C028426E">
      <w:numFmt w:val="decimal"/>
      <w:lvlText w:val=""/>
      <w:lvlJc w:val="left"/>
    </w:lvl>
    <w:lvl w:ilvl="8" w:tplc="CF965E84">
      <w:numFmt w:val="decimal"/>
      <w:lvlText w:val=""/>
      <w:lvlJc w:val="left"/>
    </w:lvl>
  </w:abstractNum>
  <w:abstractNum w:abstractNumId="37" w15:restartNumberingAfterBreak="0">
    <w:nsid w:val="684A481A"/>
    <w:multiLevelType w:val="hybridMultilevel"/>
    <w:tmpl w:val="FF12248A"/>
    <w:lvl w:ilvl="0" w:tplc="1946D53A">
      <w:start w:val="12"/>
      <w:numFmt w:val="decimal"/>
      <w:lvlText w:val="%1."/>
      <w:lvlJc w:val="left"/>
    </w:lvl>
    <w:lvl w:ilvl="1" w:tplc="AF32B4CC">
      <w:numFmt w:val="decimal"/>
      <w:lvlText w:val=""/>
      <w:lvlJc w:val="left"/>
    </w:lvl>
    <w:lvl w:ilvl="2" w:tplc="9B56CAD0">
      <w:numFmt w:val="decimal"/>
      <w:lvlText w:val=""/>
      <w:lvlJc w:val="left"/>
    </w:lvl>
    <w:lvl w:ilvl="3" w:tplc="3DAA161C">
      <w:numFmt w:val="decimal"/>
      <w:lvlText w:val=""/>
      <w:lvlJc w:val="left"/>
    </w:lvl>
    <w:lvl w:ilvl="4" w:tplc="93B28FC8">
      <w:numFmt w:val="decimal"/>
      <w:lvlText w:val=""/>
      <w:lvlJc w:val="left"/>
    </w:lvl>
    <w:lvl w:ilvl="5" w:tplc="8966807A">
      <w:numFmt w:val="decimal"/>
      <w:lvlText w:val=""/>
      <w:lvlJc w:val="left"/>
    </w:lvl>
    <w:lvl w:ilvl="6" w:tplc="5AA268C4">
      <w:numFmt w:val="decimal"/>
      <w:lvlText w:val=""/>
      <w:lvlJc w:val="left"/>
    </w:lvl>
    <w:lvl w:ilvl="7" w:tplc="B4B8ABFC">
      <w:numFmt w:val="decimal"/>
      <w:lvlText w:val=""/>
      <w:lvlJc w:val="left"/>
    </w:lvl>
    <w:lvl w:ilvl="8" w:tplc="6C88F556">
      <w:numFmt w:val="decimal"/>
      <w:lvlText w:val=""/>
      <w:lvlJc w:val="left"/>
    </w:lvl>
  </w:abstractNum>
  <w:abstractNum w:abstractNumId="38" w15:restartNumberingAfterBreak="0">
    <w:nsid w:val="6A2342EC"/>
    <w:multiLevelType w:val="hybridMultilevel"/>
    <w:tmpl w:val="5CF0FB22"/>
    <w:lvl w:ilvl="0" w:tplc="0A0CEE16">
      <w:start w:val="1"/>
      <w:numFmt w:val="decimal"/>
      <w:lvlText w:val="%1)"/>
      <w:lvlJc w:val="left"/>
    </w:lvl>
    <w:lvl w:ilvl="1" w:tplc="409ABFE2">
      <w:numFmt w:val="decimal"/>
      <w:lvlText w:val=""/>
      <w:lvlJc w:val="left"/>
    </w:lvl>
    <w:lvl w:ilvl="2" w:tplc="EF3EA660">
      <w:numFmt w:val="decimal"/>
      <w:lvlText w:val=""/>
      <w:lvlJc w:val="left"/>
    </w:lvl>
    <w:lvl w:ilvl="3" w:tplc="56D82748">
      <w:numFmt w:val="decimal"/>
      <w:lvlText w:val=""/>
      <w:lvlJc w:val="left"/>
    </w:lvl>
    <w:lvl w:ilvl="4" w:tplc="4C443E7E">
      <w:numFmt w:val="decimal"/>
      <w:lvlText w:val=""/>
      <w:lvlJc w:val="left"/>
    </w:lvl>
    <w:lvl w:ilvl="5" w:tplc="E5FA2B88">
      <w:numFmt w:val="decimal"/>
      <w:lvlText w:val=""/>
      <w:lvlJc w:val="left"/>
    </w:lvl>
    <w:lvl w:ilvl="6" w:tplc="55AAF0B4">
      <w:numFmt w:val="decimal"/>
      <w:lvlText w:val=""/>
      <w:lvlJc w:val="left"/>
    </w:lvl>
    <w:lvl w:ilvl="7" w:tplc="E0F0F230">
      <w:numFmt w:val="decimal"/>
      <w:lvlText w:val=""/>
      <w:lvlJc w:val="left"/>
    </w:lvl>
    <w:lvl w:ilvl="8" w:tplc="CA827FAC">
      <w:numFmt w:val="decimal"/>
      <w:lvlText w:val=""/>
      <w:lvlJc w:val="left"/>
    </w:lvl>
  </w:abstractNum>
  <w:abstractNum w:abstractNumId="39" w15:restartNumberingAfterBreak="0">
    <w:nsid w:val="6CEAF087"/>
    <w:multiLevelType w:val="hybridMultilevel"/>
    <w:tmpl w:val="BA829E8C"/>
    <w:lvl w:ilvl="0" w:tplc="FBEAFC02">
      <w:start w:val="14"/>
      <w:numFmt w:val="decimal"/>
      <w:lvlText w:val="%1)"/>
      <w:lvlJc w:val="left"/>
    </w:lvl>
    <w:lvl w:ilvl="1" w:tplc="84E83AEE">
      <w:start w:val="1"/>
      <w:numFmt w:val="lowerLetter"/>
      <w:lvlText w:val="%2"/>
      <w:lvlJc w:val="left"/>
    </w:lvl>
    <w:lvl w:ilvl="2" w:tplc="4E767400">
      <w:numFmt w:val="decimal"/>
      <w:lvlText w:val=""/>
      <w:lvlJc w:val="left"/>
    </w:lvl>
    <w:lvl w:ilvl="3" w:tplc="85FA5314">
      <w:numFmt w:val="decimal"/>
      <w:lvlText w:val=""/>
      <w:lvlJc w:val="left"/>
    </w:lvl>
    <w:lvl w:ilvl="4" w:tplc="79B69F88">
      <w:numFmt w:val="decimal"/>
      <w:lvlText w:val=""/>
      <w:lvlJc w:val="left"/>
    </w:lvl>
    <w:lvl w:ilvl="5" w:tplc="C2A6F5A8">
      <w:numFmt w:val="decimal"/>
      <w:lvlText w:val=""/>
      <w:lvlJc w:val="left"/>
    </w:lvl>
    <w:lvl w:ilvl="6" w:tplc="BF9E9F24">
      <w:numFmt w:val="decimal"/>
      <w:lvlText w:val=""/>
      <w:lvlJc w:val="left"/>
    </w:lvl>
    <w:lvl w:ilvl="7" w:tplc="C4EAD402">
      <w:numFmt w:val="decimal"/>
      <w:lvlText w:val=""/>
      <w:lvlJc w:val="left"/>
    </w:lvl>
    <w:lvl w:ilvl="8" w:tplc="F230DF3A">
      <w:numFmt w:val="decimal"/>
      <w:lvlText w:val=""/>
      <w:lvlJc w:val="left"/>
    </w:lvl>
  </w:abstractNum>
  <w:abstractNum w:abstractNumId="40" w15:restartNumberingAfterBreak="0">
    <w:nsid w:val="6DE91B18"/>
    <w:multiLevelType w:val="hybridMultilevel"/>
    <w:tmpl w:val="184A4B36"/>
    <w:lvl w:ilvl="0" w:tplc="C3E4868C">
      <w:start w:val="10"/>
      <w:numFmt w:val="decimal"/>
      <w:lvlText w:val="%1."/>
      <w:lvlJc w:val="left"/>
    </w:lvl>
    <w:lvl w:ilvl="1" w:tplc="0E2CF61A">
      <w:numFmt w:val="decimal"/>
      <w:lvlText w:val=""/>
      <w:lvlJc w:val="left"/>
    </w:lvl>
    <w:lvl w:ilvl="2" w:tplc="EDFC5D50">
      <w:numFmt w:val="decimal"/>
      <w:lvlText w:val=""/>
      <w:lvlJc w:val="left"/>
    </w:lvl>
    <w:lvl w:ilvl="3" w:tplc="44FE181C">
      <w:numFmt w:val="decimal"/>
      <w:lvlText w:val=""/>
      <w:lvlJc w:val="left"/>
    </w:lvl>
    <w:lvl w:ilvl="4" w:tplc="43FEC744">
      <w:numFmt w:val="decimal"/>
      <w:lvlText w:val=""/>
      <w:lvlJc w:val="left"/>
    </w:lvl>
    <w:lvl w:ilvl="5" w:tplc="1EBA4870">
      <w:numFmt w:val="decimal"/>
      <w:lvlText w:val=""/>
      <w:lvlJc w:val="left"/>
    </w:lvl>
    <w:lvl w:ilvl="6" w:tplc="64DE1880">
      <w:numFmt w:val="decimal"/>
      <w:lvlText w:val=""/>
      <w:lvlJc w:val="left"/>
    </w:lvl>
    <w:lvl w:ilvl="7" w:tplc="51EA0BC6">
      <w:numFmt w:val="decimal"/>
      <w:lvlText w:val=""/>
      <w:lvlJc w:val="left"/>
    </w:lvl>
    <w:lvl w:ilvl="8" w:tplc="16A2BF1E">
      <w:numFmt w:val="decimal"/>
      <w:lvlText w:val=""/>
      <w:lvlJc w:val="left"/>
    </w:lvl>
  </w:abstractNum>
  <w:abstractNum w:abstractNumId="41" w15:restartNumberingAfterBreak="0">
    <w:nsid w:val="70A64E2A"/>
    <w:multiLevelType w:val="hybridMultilevel"/>
    <w:tmpl w:val="E6D8ACE6"/>
    <w:lvl w:ilvl="0" w:tplc="990E3B30">
      <w:start w:val="1"/>
      <w:numFmt w:val="decimal"/>
      <w:lvlText w:val="%1)"/>
      <w:lvlJc w:val="left"/>
    </w:lvl>
    <w:lvl w:ilvl="1" w:tplc="0B5C1A96">
      <w:start w:val="1"/>
      <w:numFmt w:val="lowerLetter"/>
      <w:lvlText w:val="%2)"/>
      <w:lvlJc w:val="left"/>
    </w:lvl>
    <w:lvl w:ilvl="2" w:tplc="37DC615A">
      <w:numFmt w:val="decimal"/>
      <w:lvlText w:val=""/>
      <w:lvlJc w:val="left"/>
    </w:lvl>
    <w:lvl w:ilvl="3" w:tplc="247402B4">
      <w:numFmt w:val="decimal"/>
      <w:lvlText w:val=""/>
      <w:lvlJc w:val="left"/>
    </w:lvl>
    <w:lvl w:ilvl="4" w:tplc="1FEABDC4">
      <w:numFmt w:val="decimal"/>
      <w:lvlText w:val=""/>
      <w:lvlJc w:val="left"/>
    </w:lvl>
    <w:lvl w:ilvl="5" w:tplc="97DC54C0">
      <w:numFmt w:val="decimal"/>
      <w:lvlText w:val=""/>
      <w:lvlJc w:val="left"/>
    </w:lvl>
    <w:lvl w:ilvl="6" w:tplc="C3F294C8">
      <w:numFmt w:val="decimal"/>
      <w:lvlText w:val=""/>
      <w:lvlJc w:val="left"/>
    </w:lvl>
    <w:lvl w:ilvl="7" w:tplc="57803466">
      <w:numFmt w:val="decimal"/>
      <w:lvlText w:val=""/>
      <w:lvlJc w:val="left"/>
    </w:lvl>
    <w:lvl w:ilvl="8" w:tplc="86DE6E6A">
      <w:numFmt w:val="decimal"/>
      <w:lvlText w:val=""/>
      <w:lvlJc w:val="left"/>
    </w:lvl>
  </w:abstractNum>
  <w:abstractNum w:abstractNumId="42" w15:restartNumberingAfterBreak="0">
    <w:nsid w:val="70C6A529"/>
    <w:multiLevelType w:val="hybridMultilevel"/>
    <w:tmpl w:val="611AB438"/>
    <w:lvl w:ilvl="0" w:tplc="4E92A53E">
      <w:start w:val="7"/>
      <w:numFmt w:val="decimal"/>
      <w:lvlText w:val="%1."/>
      <w:lvlJc w:val="left"/>
    </w:lvl>
    <w:lvl w:ilvl="1" w:tplc="B80899BC">
      <w:numFmt w:val="decimal"/>
      <w:lvlText w:val=""/>
      <w:lvlJc w:val="left"/>
    </w:lvl>
    <w:lvl w:ilvl="2" w:tplc="49A4927C">
      <w:numFmt w:val="decimal"/>
      <w:lvlText w:val=""/>
      <w:lvlJc w:val="left"/>
    </w:lvl>
    <w:lvl w:ilvl="3" w:tplc="414E97E0">
      <w:numFmt w:val="decimal"/>
      <w:lvlText w:val=""/>
      <w:lvlJc w:val="left"/>
    </w:lvl>
    <w:lvl w:ilvl="4" w:tplc="F6C6A0E6">
      <w:numFmt w:val="decimal"/>
      <w:lvlText w:val=""/>
      <w:lvlJc w:val="left"/>
    </w:lvl>
    <w:lvl w:ilvl="5" w:tplc="32DEB5A8">
      <w:numFmt w:val="decimal"/>
      <w:lvlText w:val=""/>
      <w:lvlJc w:val="left"/>
    </w:lvl>
    <w:lvl w:ilvl="6" w:tplc="6E063A4E">
      <w:numFmt w:val="decimal"/>
      <w:lvlText w:val=""/>
      <w:lvlJc w:val="left"/>
    </w:lvl>
    <w:lvl w:ilvl="7" w:tplc="450EAC26">
      <w:numFmt w:val="decimal"/>
      <w:lvlText w:val=""/>
      <w:lvlJc w:val="left"/>
    </w:lvl>
    <w:lvl w:ilvl="8" w:tplc="DC30AE06">
      <w:numFmt w:val="decimal"/>
      <w:lvlText w:val=""/>
      <w:lvlJc w:val="left"/>
    </w:lvl>
  </w:abstractNum>
  <w:abstractNum w:abstractNumId="43" w15:restartNumberingAfterBreak="0">
    <w:nsid w:val="71F32454"/>
    <w:multiLevelType w:val="hybridMultilevel"/>
    <w:tmpl w:val="2938C82C"/>
    <w:lvl w:ilvl="0" w:tplc="EC4A7568">
      <w:start w:val="2"/>
      <w:numFmt w:val="decimal"/>
      <w:lvlText w:val="%1)"/>
      <w:lvlJc w:val="left"/>
    </w:lvl>
    <w:lvl w:ilvl="1" w:tplc="ABFA4780">
      <w:numFmt w:val="decimal"/>
      <w:lvlText w:val=""/>
      <w:lvlJc w:val="left"/>
    </w:lvl>
    <w:lvl w:ilvl="2" w:tplc="7DB033C4">
      <w:numFmt w:val="decimal"/>
      <w:lvlText w:val=""/>
      <w:lvlJc w:val="left"/>
    </w:lvl>
    <w:lvl w:ilvl="3" w:tplc="5DC83306">
      <w:numFmt w:val="decimal"/>
      <w:lvlText w:val=""/>
      <w:lvlJc w:val="left"/>
    </w:lvl>
    <w:lvl w:ilvl="4" w:tplc="B39CE82E">
      <w:numFmt w:val="decimal"/>
      <w:lvlText w:val=""/>
      <w:lvlJc w:val="left"/>
    </w:lvl>
    <w:lvl w:ilvl="5" w:tplc="F1669DFA">
      <w:numFmt w:val="decimal"/>
      <w:lvlText w:val=""/>
      <w:lvlJc w:val="left"/>
    </w:lvl>
    <w:lvl w:ilvl="6" w:tplc="11647A80">
      <w:numFmt w:val="decimal"/>
      <w:lvlText w:val=""/>
      <w:lvlJc w:val="left"/>
    </w:lvl>
    <w:lvl w:ilvl="7" w:tplc="0734CD42">
      <w:numFmt w:val="decimal"/>
      <w:lvlText w:val=""/>
      <w:lvlJc w:val="left"/>
    </w:lvl>
    <w:lvl w:ilvl="8" w:tplc="1D3C031A">
      <w:numFmt w:val="decimal"/>
      <w:lvlText w:val=""/>
      <w:lvlJc w:val="left"/>
    </w:lvl>
  </w:abstractNum>
  <w:abstractNum w:abstractNumId="44" w15:restartNumberingAfterBreak="0">
    <w:nsid w:val="725A06FB"/>
    <w:multiLevelType w:val="hybridMultilevel"/>
    <w:tmpl w:val="EE605752"/>
    <w:lvl w:ilvl="0" w:tplc="602C018C">
      <w:start w:val="1"/>
      <w:numFmt w:val="decimal"/>
      <w:lvlText w:val="%1."/>
      <w:lvlJc w:val="left"/>
    </w:lvl>
    <w:lvl w:ilvl="1" w:tplc="CFD82376">
      <w:numFmt w:val="decimal"/>
      <w:lvlText w:val=""/>
      <w:lvlJc w:val="left"/>
    </w:lvl>
    <w:lvl w:ilvl="2" w:tplc="AD66906E">
      <w:numFmt w:val="decimal"/>
      <w:lvlText w:val=""/>
      <w:lvlJc w:val="left"/>
    </w:lvl>
    <w:lvl w:ilvl="3" w:tplc="63FAE282">
      <w:numFmt w:val="decimal"/>
      <w:lvlText w:val=""/>
      <w:lvlJc w:val="left"/>
    </w:lvl>
    <w:lvl w:ilvl="4" w:tplc="4C40CA54">
      <w:numFmt w:val="decimal"/>
      <w:lvlText w:val=""/>
      <w:lvlJc w:val="left"/>
    </w:lvl>
    <w:lvl w:ilvl="5" w:tplc="894EE842">
      <w:numFmt w:val="decimal"/>
      <w:lvlText w:val=""/>
      <w:lvlJc w:val="left"/>
    </w:lvl>
    <w:lvl w:ilvl="6" w:tplc="D66099F4">
      <w:numFmt w:val="decimal"/>
      <w:lvlText w:val=""/>
      <w:lvlJc w:val="left"/>
    </w:lvl>
    <w:lvl w:ilvl="7" w:tplc="C09C9AC2">
      <w:numFmt w:val="decimal"/>
      <w:lvlText w:val=""/>
      <w:lvlJc w:val="left"/>
    </w:lvl>
    <w:lvl w:ilvl="8" w:tplc="74B8521A">
      <w:numFmt w:val="decimal"/>
      <w:lvlText w:val=""/>
      <w:lvlJc w:val="left"/>
    </w:lvl>
  </w:abstractNum>
  <w:abstractNum w:abstractNumId="45" w15:restartNumberingAfterBreak="0">
    <w:nsid w:val="737B8DDC"/>
    <w:multiLevelType w:val="hybridMultilevel"/>
    <w:tmpl w:val="AFBEB118"/>
    <w:lvl w:ilvl="0" w:tplc="9A52BD0A">
      <w:start w:val="1"/>
      <w:numFmt w:val="decimal"/>
      <w:lvlText w:val="%1"/>
      <w:lvlJc w:val="left"/>
    </w:lvl>
    <w:lvl w:ilvl="1" w:tplc="D05AC5D2">
      <w:start w:val="2"/>
      <w:numFmt w:val="lowerLetter"/>
      <w:lvlText w:val="%2)"/>
      <w:lvlJc w:val="left"/>
    </w:lvl>
    <w:lvl w:ilvl="2" w:tplc="96E2C9FC">
      <w:numFmt w:val="decimal"/>
      <w:lvlText w:val=""/>
      <w:lvlJc w:val="left"/>
    </w:lvl>
    <w:lvl w:ilvl="3" w:tplc="634023B8">
      <w:numFmt w:val="decimal"/>
      <w:lvlText w:val=""/>
      <w:lvlJc w:val="left"/>
    </w:lvl>
    <w:lvl w:ilvl="4" w:tplc="C8E208B4">
      <w:numFmt w:val="decimal"/>
      <w:lvlText w:val=""/>
      <w:lvlJc w:val="left"/>
    </w:lvl>
    <w:lvl w:ilvl="5" w:tplc="5A96BB60">
      <w:numFmt w:val="decimal"/>
      <w:lvlText w:val=""/>
      <w:lvlJc w:val="left"/>
    </w:lvl>
    <w:lvl w:ilvl="6" w:tplc="F2D21E88">
      <w:numFmt w:val="decimal"/>
      <w:lvlText w:val=""/>
      <w:lvlJc w:val="left"/>
    </w:lvl>
    <w:lvl w:ilvl="7" w:tplc="915292C0">
      <w:numFmt w:val="decimal"/>
      <w:lvlText w:val=""/>
      <w:lvlJc w:val="left"/>
    </w:lvl>
    <w:lvl w:ilvl="8" w:tplc="61B49DF2">
      <w:numFmt w:val="decimal"/>
      <w:lvlText w:val=""/>
      <w:lvlJc w:val="left"/>
    </w:lvl>
  </w:abstractNum>
  <w:abstractNum w:abstractNumId="46" w15:restartNumberingAfterBreak="0">
    <w:nsid w:val="749ABB43"/>
    <w:multiLevelType w:val="hybridMultilevel"/>
    <w:tmpl w:val="F85465CE"/>
    <w:lvl w:ilvl="0" w:tplc="E5268A44">
      <w:start w:val="14"/>
      <w:numFmt w:val="decimal"/>
      <w:lvlText w:val="%1."/>
      <w:lvlJc w:val="left"/>
    </w:lvl>
    <w:lvl w:ilvl="1" w:tplc="E5BC0316">
      <w:numFmt w:val="decimal"/>
      <w:lvlText w:val=""/>
      <w:lvlJc w:val="left"/>
    </w:lvl>
    <w:lvl w:ilvl="2" w:tplc="B6B6D338">
      <w:numFmt w:val="decimal"/>
      <w:lvlText w:val=""/>
      <w:lvlJc w:val="left"/>
    </w:lvl>
    <w:lvl w:ilvl="3" w:tplc="BAD4E86A">
      <w:numFmt w:val="decimal"/>
      <w:lvlText w:val=""/>
      <w:lvlJc w:val="left"/>
    </w:lvl>
    <w:lvl w:ilvl="4" w:tplc="F1F61C1E">
      <w:numFmt w:val="decimal"/>
      <w:lvlText w:val=""/>
      <w:lvlJc w:val="left"/>
    </w:lvl>
    <w:lvl w:ilvl="5" w:tplc="0C3A5B2C">
      <w:numFmt w:val="decimal"/>
      <w:lvlText w:val=""/>
      <w:lvlJc w:val="left"/>
    </w:lvl>
    <w:lvl w:ilvl="6" w:tplc="0E400010">
      <w:numFmt w:val="decimal"/>
      <w:lvlText w:val=""/>
      <w:lvlJc w:val="left"/>
    </w:lvl>
    <w:lvl w:ilvl="7" w:tplc="C472F5E6">
      <w:numFmt w:val="decimal"/>
      <w:lvlText w:val=""/>
      <w:lvlJc w:val="left"/>
    </w:lvl>
    <w:lvl w:ilvl="8" w:tplc="20A83A56">
      <w:numFmt w:val="decimal"/>
      <w:lvlText w:val=""/>
      <w:lvlJc w:val="left"/>
    </w:lvl>
  </w:abstractNum>
  <w:abstractNum w:abstractNumId="47" w15:restartNumberingAfterBreak="0">
    <w:nsid w:val="75C6C33A"/>
    <w:multiLevelType w:val="hybridMultilevel"/>
    <w:tmpl w:val="ECA631F8"/>
    <w:lvl w:ilvl="0" w:tplc="49DA8A3C">
      <w:start w:val="2"/>
      <w:numFmt w:val="decimal"/>
      <w:lvlText w:val="%1."/>
      <w:lvlJc w:val="left"/>
    </w:lvl>
    <w:lvl w:ilvl="1" w:tplc="9760CEFC">
      <w:numFmt w:val="decimal"/>
      <w:lvlText w:val=""/>
      <w:lvlJc w:val="left"/>
    </w:lvl>
    <w:lvl w:ilvl="2" w:tplc="55CE372E">
      <w:numFmt w:val="decimal"/>
      <w:lvlText w:val=""/>
      <w:lvlJc w:val="left"/>
    </w:lvl>
    <w:lvl w:ilvl="3" w:tplc="574C595E">
      <w:numFmt w:val="decimal"/>
      <w:lvlText w:val=""/>
      <w:lvlJc w:val="left"/>
    </w:lvl>
    <w:lvl w:ilvl="4" w:tplc="DA6E7090">
      <w:numFmt w:val="decimal"/>
      <w:lvlText w:val=""/>
      <w:lvlJc w:val="left"/>
    </w:lvl>
    <w:lvl w:ilvl="5" w:tplc="BEE038C4">
      <w:numFmt w:val="decimal"/>
      <w:lvlText w:val=""/>
      <w:lvlJc w:val="left"/>
    </w:lvl>
    <w:lvl w:ilvl="6" w:tplc="2ADC83EC">
      <w:numFmt w:val="decimal"/>
      <w:lvlText w:val=""/>
      <w:lvlJc w:val="left"/>
    </w:lvl>
    <w:lvl w:ilvl="7" w:tplc="8E6A05E4">
      <w:numFmt w:val="decimal"/>
      <w:lvlText w:val=""/>
      <w:lvlJc w:val="left"/>
    </w:lvl>
    <w:lvl w:ilvl="8" w:tplc="3A9AB9DE">
      <w:numFmt w:val="decimal"/>
      <w:lvlText w:val=""/>
      <w:lvlJc w:val="left"/>
    </w:lvl>
  </w:abstractNum>
  <w:abstractNum w:abstractNumId="48" w15:restartNumberingAfterBreak="0">
    <w:nsid w:val="7644A45C"/>
    <w:multiLevelType w:val="hybridMultilevel"/>
    <w:tmpl w:val="6EB0AE06"/>
    <w:lvl w:ilvl="0" w:tplc="A81CA814">
      <w:start w:val="7"/>
      <w:numFmt w:val="decimal"/>
      <w:lvlText w:val="%1."/>
      <w:lvlJc w:val="left"/>
    </w:lvl>
    <w:lvl w:ilvl="1" w:tplc="7C7E8650">
      <w:numFmt w:val="decimal"/>
      <w:lvlText w:val=""/>
      <w:lvlJc w:val="left"/>
    </w:lvl>
    <w:lvl w:ilvl="2" w:tplc="4936EE0C">
      <w:numFmt w:val="decimal"/>
      <w:lvlText w:val=""/>
      <w:lvlJc w:val="left"/>
    </w:lvl>
    <w:lvl w:ilvl="3" w:tplc="C0C2483E">
      <w:numFmt w:val="decimal"/>
      <w:lvlText w:val=""/>
      <w:lvlJc w:val="left"/>
    </w:lvl>
    <w:lvl w:ilvl="4" w:tplc="C132182C">
      <w:numFmt w:val="decimal"/>
      <w:lvlText w:val=""/>
      <w:lvlJc w:val="left"/>
    </w:lvl>
    <w:lvl w:ilvl="5" w:tplc="A3CEC3AA">
      <w:numFmt w:val="decimal"/>
      <w:lvlText w:val=""/>
      <w:lvlJc w:val="left"/>
    </w:lvl>
    <w:lvl w:ilvl="6" w:tplc="023E5DD6">
      <w:numFmt w:val="decimal"/>
      <w:lvlText w:val=""/>
      <w:lvlJc w:val="left"/>
    </w:lvl>
    <w:lvl w:ilvl="7" w:tplc="74B47E1C">
      <w:numFmt w:val="decimal"/>
      <w:lvlText w:val=""/>
      <w:lvlJc w:val="left"/>
    </w:lvl>
    <w:lvl w:ilvl="8" w:tplc="7376FDA2">
      <w:numFmt w:val="decimal"/>
      <w:lvlText w:val=""/>
      <w:lvlJc w:val="left"/>
    </w:lvl>
  </w:abstractNum>
  <w:abstractNum w:abstractNumId="49" w15:restartNumberingAfterBreak="0">
    <w:nsid w:val="7724C67E"/>
    <w:multiLevelType w:val="hybridMultilevel"/>
    <w:tmpl w:val="B296BD96"/>
    <w:lvl w:ilvl="0" w:tplc="AAFC0DC0">
      <w:start w:val="8"/>
      <w:numFmt w:val="decimal"/>
      <w:lvlText w:val="%1)"/>
      <w:lvlJc w:val="left"/>
    </w:lvl>
    <w:lvl w:ilvl="1" w:tplc="F5CC52B0">
      <w:start w:val="1"/>
      <w:numFmt w:val="lowerLetter"/>
      <w:lvlText w:val="%2)"/>
      <w:lvlJc w:val="left"/>
    </w:lvl>
    <w:lvl w:ilvl="2" w:tplc="8BDAB97C">
      <w:numFmt w:val="decimal"/>
      <w:lvlText w:val=""/>
      <w:lvlJc w:val="left"/>
    </w:lvl>
    <w:lvl w:ilvl="3" w:tplc="5E1A9AAA">
      <w:numFmt w:val="decimal"/>
      <w:lvlText w:val=""/>
      <w:lvlJc w:val="left"/>
    </w:lvl>
    <w:lvl w:ilvl="4" w:tplc="17E067DC">
      <w:numFmt w:val="decimal"/>
      <w:lvlText w:val=""/>
      <w:lvlJc w:val="left"/>
    </w:lvl>
    <w:lvl w:ilvl="5" w:tplc="CC2C388C">
      <w:numFmt w:val="decimal"/>
      <w:lvlText w:val=""/>
      <w:lvlJc w:val="left"/>
    </w:lvl>
    <w:lvl w:ilvl="6" w:tplc="D62AB892">
      <w:numFmt w:val="decimal"/>
      <w:lvlText w:val=""/>
      <w:lvlJc w:val="left"/>
    </w:lvl>
    <w:lvl w:ilvl="7" w:tplc="69EA9EAE">
      <w:numFmt w:val="decimal"/>
      <w:lvlText w:val=""/>
      <w:lvlJc w:val="left"/>
    </w:lvl>
    <w:lvl w:ilvl="8" w:tplc="F8DCC9A2">
      <w:numFmt w:val="decimal"/>
      <w:lvlText w:val=""/>
      <w:lvlJc w:val="left"/>
    </w:lvl>
  </w:abstractNum>
  <w:abstractNum w:abstractNumId="50" w15:restartNumberingAfterBreak="0">
    <w:nsid w:val="77465F01"/>
    <w:multiLevelType w:val="hybridMultilevel"/>
    <w:tmpl w:val="B9882434"/>
    <w:lvl w:ilvl="0" w:tplc="62248806">
      <w:start w:val="5"/>
      <w:numFmt w:val="lowerLetter"/>
      <w:lvlText w:val="%1)"/>
      <w:lvlJc w:val="left"/>
    </w:lvl>
    <w:lvl w:ilvl="1" w:tplc="B7B6573A">
      <w:numFmt w:val="decimal"/>
      <w:lvlText w:val=""/>
      <w:lvlJc w:val="left"/>
    </w:lvl>
    <w:lvl w:ilvl="2" w:tplc="D6A0379C">
      <w:numFmt w:val="decimal"/>
      <w:lvlText w:val=""/>
      <w:lvlJc w:val="left"/>
    </w:lvl>
    <w:lvl w:ilvl="3" w:tplc="BE16DBE2">
      <w:numFmt w:val="decimal"/>
      <w:lvlText w:val=""/>
      <w:lvlJc w:val="left"/>
    </w:lvl>
    <w:lvl w:ilvl="4" w:tplc="FA146604">
      <w:numFmt w:val="decimal"/>
      <w:lvlText w:val=""/>
      <w:lvlJc w:val="left"/>
    </w:lvl>
    <w:lvl w:ilvl="5" w:tplc="FD76647C">
      <w:numFmt w:val="decimal"/>
      <w:lvlText w:val=""/>
      <w:lvlJc w:val="left"/>
    </w:lvl>
    <w:lvl w:ilvl="6" w:tplc="7FF685DA">
      <w:numFmt w:val="decimal"/>
      <w:lvlText w:val=""/>
      <w:lvlJc w:val="left"/>
    </w:lvl>
    <w:lvl w:ilvl="7" w:tplc="6F2416E4">
      <w:numFmt w:val="decimal"/>
      <w:lvlText w:val=""/>
      <w:lvlJc w:val="left"/>
    </w:lvl>
    <w:lvl w:ilvl="8" w:tplc="A3A0A320">
      <w:numFmt w:val="decimal"/>
      <w:lvlText w:val=""/>
      <w:lvlJc w:val="left"/>
    </w:lvl>
  </w:abstractNum>
  <w:abstractNum w:abstractNumId="51" w15:restartNumberingAfterBreak="0">
    <w:nsid w:val="79A1DEAA"/>
    <w:multiLevelType w:val="hybridMultilevel"/>
    <w:tmpl w:val="1B084538"/>
    <w:lvl w:ilvl="0" w:tplc="E4FA09E6">
      <w:start w:val="1"/>
      <w:numFmt w:val="decimal"/>
      <w:lvlText w:val="%1."/>
      <w:lvlJc w:val="left"/>
    </w:lvl>
    <w:lvl w:ilvl="1" w:tplc="1D00F1AE">
      <w:numFmt w:val="decimal"/>
      <w:lvlText w:val=""/>
      <w:lvlJc w:val="left"/>
    </w:lvl>
    <w:lvl w:ilvl="2" w:tplc="4F8E50A8">
      <w:numFmt w:val="decimal"/>
      <w:lvlText w:val=""/>
      <w:lvlJc w:val="left"/>
    </w:lvl>
    <w:lvl w:ilvl="3" w:tplc="B9E8A24A">
      <w:numFmt w:val="decimal"/>
      <w:lvlText w:val=""/>
      <w:lvlJc w:val="left"/>
    </w:lvl>
    <w:lvl w:ilvl="4" w:tplc="7C3EC69A">
      <w:numFmt w:val="decimal"/>
      <w:lvlText w:val=""/>
      <w:lvlJc w:val="left"/>
    </w:lvl>
    <w:lvl w:ilvl="5" w:tplc="90045AD4">
      <w:numFmt w:val="decimal"/>
      <w:lvlText w:val=""/>
      <w:lvlJc w:val="left"/>
    </w:lvl>
    <w:lvl w:ilvl="6" w:tplc="F5C64ABE">
      <w:numFmt w:val="decimal"/>
      <w:lvlText w:val=""/>
      <w:lvlJc w:val="left"/>
    </w:lvl>
    <w:lvl w:ilvl="7" w:tplc="C2DC00BE">
      <w:numFmt w:val="decimal"/>
      <w:lvlText w:val=""/>
      <w:lvlJc w:val="left"/>
    </w:lvl>
    <w:lvl w:ilvl="8" w:tplc="E35A95F8">
      <w:numFmt w:val="decimal"/>
      <w:lvlText w:val=""/>
      <w:lvlJc w:val="left"/>
    </w:lvl>
  </w:abstractNum>
  <w:abstractNum w:abstractNumId="52" w15:restartNumberingAfterBreak="0">
    <w:nsid w:val="7A6D8D3C"/>
    <w:multiLevelType w:val="hybridMultilevel"/>
    <w:tmpl w:val="011E14DC"/>
    <w:lvl w:ilvl="0" w:tplc="9E40A89E">
      <w:start w:val="6"/>
      <w:numFmt w:val="decimal"/>
      <w:lvlText w:val="%1."/>
      <w:lvlJc w:val="left"/>
    </w:lvl>
    <w:lvl w:ilvl="1" w:tplc="31560FBC">
      <w:numFmt w:val="decimal"/>
      <w:lvlText w:val=""/>
      <w:lvlJc w:val="left"/>
    </w:lvl>
    <w:lvl w:ilvl="2" w:tplc="DFB83040">
      <w:numFmt w:val="decimal"/>
      <w:lvlText w:val=""/>
      <w:lvlJc w:val="left"/>
    </w:lvl>
    <w:lvl w:ilvl="3" w:tplc="4C0CFCB6">
      <w:numFmt w:val="decimal"/>
      <w:lvlText w:val=""/>
      <w:lvlJc w:val="left"/>
    </w:lvl>
    <w:lvl w:ilvl="4" w:tplc="7344748E">
      <w:numFmt w:val="decimal"/>
      <w:lvlText w:val=""/>
      <w:lvlJc w:val="left"/>
    </w:lvl>
    <w:lvl w:ilvl="5" w:tplc="D62284DA">
      <w:numFmt w:val="decimal"/>
      <w:lvlText w:val=""/>
      <w:lvlJc w:val="left"/>
    </w:lvl>
    <w:lvl w:ilvl="6" w:tplc="08EA6010">
      <w:numFmt w:val="decimal"/>
      <w:lvlText w:val=""/>
      <w:lvlJc w:val="left"/>
    </w:lvl>
    <w:lvl w:ilvl="7" w:tplc="BDECBCA8">
      <w:numFmt w:val="decimal"/>
      <w:lvlText w:val=""/>
      <w:lvlJc w:val="left"/>
    </w:lvl>
    <w:lvl w:ilvl="8" w:tplc="2646986A">
      <w:numFmt w:val="decimal"/>
      <w:lvlText w:val=""/>
      <w:lvlJc w:val="left"/>
    </w:lvl>
  </w:abstractNum>
  <w:abstractNum w:abstractNumId="53" w15:restartNumberingAfterBreak="0">
    <w:nsid w:val="7C3DBD3D"/>
    <w:multiLevelType w:val="hybridMultilevel"/>
    <w:tmpl w:val="374602D2"/>
    <w:lvl w:ilvl="0" w:tplc="9612C272">
      <w:start w:val="11"/>
      <w:numFmt w:val="decimal"/>
      <w:lvlText w:val="%1)"/>
      <w:lvlJc w:val="left"/>
    </w:lvl>
    <w:lvl w:ilvl="1" w:tplc="1DF818E6">
      <w:start w:val="1"/>
      <w:numFmt w:val="lowerLetter"/>
      <w:lvlText w:val="%2)"/>
      <w:lvlJc w:val="left"/>
    </w:lvl>
    <w:lvl w:ilvl="2" w:tplc="AE349AFC">
      <w:numFmt w:val="decimal"/>
      <w:lvlText w:val=""/>
      <w:lvlJc w:val="left"/>
    </w:lvl>
    <w:lvl w:ilvl="3" w:tplc="1D34AF1E">
      <w:numFmt w:val="decimal"/>
      <w:lvlText w:val=""/>
      <w:lvlJc w:val="left"/>
    </w:lvl>
    <w:lvl w:ilvl="4" w:tplc="B48014BA">
      <w:numFmt w:val="decimal"/>
      <w:lvlText w:val=""/>
      <w:lvlJc w:val="left"/>
    </w:lvl>
    <w:lvl w:ilvl="5" w:tplc="8BB88C1C">
      <w:numFmt w:val="decimal"/>
      <w:lvlText w:val=""/>
      <w:lvlJc w:val="left"/>
    </w:lvl>
    <w:lvl w:ilvl="6" w:tplc="B5B0A3EE">
      <w:numFmt w:val="decimal"/>
      <w:lvlText w:val=""/>
      <w:lvlJc w:val="left"/>
    </w:lvl>
    <w:lvl w:ilvl="7" w:tplc="896A1B6C">
      <w:numFmt w:val="decimal"/>
      <w:lvlText w:val=""/>
      <w:lvlJc w:val="left"/>
    </w:lvl>
    <w:lvl w:ilvl="8" w:tplc="7ABA9DB4">
      <w:numFmt w:val="decimal"/>
      <w:lvlText w:val=""/>
      <w:lvlJc w:val="left"/>
    </w:lvl>
  </w:abstractNum>
  <w:num w:numId="1">
    <w:abstractNumId w:val="43"/>
  </w:num>
  <w:num w:numId="2">
    <w:abstractNumId w:val="12"/>
  </w:num>
  <w:num w:numId="3">
    <w:abstractNumId w:val="3"/>
  </w:num>
  <w:num w:numId="4">
    <w:abstractNumId w:val="0"/>
  </w:num>
  <w:num w:numId="5">
    <w:abstractNumId w:val="21"/>
  </w:num>
  <w:num w:numId="6">
    <w:abstractNumId w:val="2"/>
  </w:num>
  <w:num w:numId="7">
    <w:abstractNumId w:val="8"/>
  </w:num>
  <w:num w:numId="8">
    <w:abstractNumId w:val="53"/>
  </w:num>
  <w:num w:numId="9">
    <w:abstractNumId w:val="45"/>
  </w:num>
  <w:num w:numId="10">
    <w:abstractNumId w:val="39"/>
  </w:num>
  <w:num w:numId="11">
    <w:abstractNumId w:val="9"/>
  </w:num>
  <w:num w:numId="12">
    <w:abstractNumId w:val="25"/>
  </w:num>
  <w:num w:numId="13">
    <w:abstractNumId w:val="15"/>
  </w:num>
  <w:num w:numId="14">
    <w:abstractNumId w:val="36"/>
  </w:num>
  <w:num w:numId="15">
    <w:abstractNumId w:val="23"/>
  </w:num>
  <w:num w:numId="16">
    <w:abstractNumId w:val="30"/>
  </w:num>
  <w:num w:numId="17">
    <w:abstractNumId w:val="24"/>
  </w:num>
  <w:num w:numId="18">
    <w:abstractNumId w:val="1"/>
  </w:num>
  <w:num w:numId="19">
    <w:abstractNumId w:val="18"/>
  </w:num>
  <w:num w:numId="20">
    <w:abstractNumId w:val="50"/>
  </w:num>
  <w:num w:numId="21">
    <w:abstractNumId w:val="49"/>
  </w:num>
  <w:num w:numId="22">
    <w:abstractNumId w:val="34"/>
  </w:num>
  <w:num w:numId="23">
    <w:abstractNumId w:val="10"/>
  </w:num>
  <w:num w:numId="24">
    <w:abstractNumId w:val="35"/>
  </w:num>
  <w:num w:numId="25">
    <w:abstractNumId w:val="27"/>
  </w:num>
  <w:num w:numId="26">
    <w:abstractNumId w:val="14"/>
  </w:num>
  <w:num w:numId="27">
    <w:abstractNumId w:val="33"/>
  </w:num>
  <w:num w:numId="28">
    <w:abstractNumId w:val="5"/>
  </w:num>
  <w:num w:numId="29">
    <w:abstractNumId w:val="20"/>
  </w:num>
  <w:num w:numId="30">
    <w:abstractNumId w:val="41"/>
  </w:num>
  <w:num w:numId="31">
    <w:abstractNumId w:val="38"/>
  </w:num>
  <w:num w:numId="32">
    <w:abstractNumId w:val="11"/>
  </w:num>
  <w:num w:numId="33">
    <w:abstractNumId w:val="7"/>
  </w:num>
  <w:num w:numId="34">
    <w:abstractNumId w:val="44"/>
  </w:num>
  <w:num w:numId="35">
    <w:abstractNumId w:val="13"/>
  </w:num>
  <w:num w:numId="36">
    <w:abstractNumId w:val="32"/>
  </w:num>
  <w:num w:numId="37">
    <w:abstractNumId w:val="52"/>
  </w:num>
  <w:num w:numId="38">
    <w:abstractNumId w:val="26"/>
  </w:num>
  <w:num w:numId="39">
    <w:abstractNumId w:val="29"/>
  </w:num>
  <w:num w:numId="40">
    <w:abstractNumId w:val="40"/>
  </w:num>
  <w:num w:numId="41">
    <w:abstractNumId w:val="19"/>
  </w:num>
  <w:num w:numId="42">
    <w:abstractNumId w:val="48"/>
  </w:num>
  <w:num w:numId="43">
    <w:abstractNumId w:val="16"/>
  </w:num>
  <w:num w:numId="44">
    <w:abstractNumId w:val="37"/>
  </w:num>
  <w:num w:numId="45">
    <w:abstractNumId w:val="31"/>
  </w:num>
  <w:num w:numId="46">
    <w:abstractNumId w:val="46"/>
  </w:num>
  <w:num w:numId="47">
    <w:abstractNumId w:val="22"/>
  </w:num>
  <w:num w:numId="48">
    <w:abstractNumId w:val="6"/>
  </w:num>
  <w:num w:numId="49">
    <w:abstractNumId w:val="51"/>
  </w:num>
  <w:num w:numId="50">
    <w:abstractNumId w:val="47"/>
  </w:num>
  <w:num w:numId="51">
    <w:abstractNumId w:val="4"/>
  </w:num>
  <w:num w:numId="52">
    <w:abstractNumId w:val="42"/>
  </w:num>
  <w:num w:numId="53">
    <w:abstractNumId w:val="28"/>
  </w:num>
  <w:num w:numId="54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E65"/>
    <w:rsid w:val="00B45E65"/>
    <w:rsid w:val="00E9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E7D1"/>
  <w15:docId w15:val="{3E3A6738-B50F-4AA1-BCA3-36F7B2BF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8382</Words>
  <Characters>49457</Characters>
  <Application>Microsoft Office Word</Application>
  <DocSecurity>0</DocSecurity>
  <Lines>412</Lines>
  <Paragraphs>115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Michal Boroš</cp:lastModifiedBy>
  <cp:revision>2</cp:revision>
  <dcterms:created xsi:type="dcterms:W3CDTF">2020-09-21T10:01:00Z</dcterms:created>
  <dcterms:modified xsi:type="dcterms:W3CDTF">2020-09-21T10:01:00Z</dcterms:modified>
</cp:coreProperties>
</file>