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DB2" w:rsidRDefault="00F04787">
      <w:pPr>
        <w:pStyle w:val="Bodytext40"/>
        <w:shd w:val="clear" w:color="auto" w:fill="auto"/>
        <w:ind w:right="4040"/>
      </w:pPr>
      <w:r>
        <w:t xml:space="preserve">i umný ústav živočišné </w:t>
      </w:r>
      <w:proofErr w:type="spellStart"/>
      <w:r>
        <w:t>vyrooy</w:t>
      </w:r>
      <w:proofErr w:type="spellEnd"/>
      <w:r>
        <w:t>, Přátelství 815</w:t>
      </w:r>
    </w:p>
    <w:p w:rsidR="00841DB2" w:rsidRDefault="00F04787">
      <w:pPr>
        <w:pStyle w:val="Bodytext40"/>
        <w:shd w:val="clear" w:color="auto" w:fill="auto"/>
        <w:spacing w:after="80"/>
        <w:ind w:left="320" w:right="0" w:firstLine="0"/>
      </w:pPr>
      <w:r>
        <w:t xml:space="preserve">104 00 </w:t>
      </w:r>
      <w:proofErr w:type="gramStart"/>
      <w:r>
        <w:t>Praha - Uhříněves</w:t>
      </w:r>
      <w:proofErr w:type="gramEnd"/>
      <w:r>
        <w:t xml:space="preserve"> (1)</w:t>
      </w:r>
    </w:p>
    <w:p w:rsidR="00841DB2" w:rsidRDefault="00F04787">
      <w:pPr>
        <w:pStyle w:val="Zkladntext"/>
        <w:shd w:val="clear" w:color="auto" w:fill="auto"/>
        <w:spacing w:line="240" w:lineRule="auto"/>
      </w:pPr>
      <w:r>
        <w:rPr>
          <w:b/>
          <w:bCs/>
        </w:rPr>
        <w:t>firma: SILVERMIX s. r. o.</w:t>
      </w:r>
    </w:p>
    <w:p w:rsidR="00841DB2" w:rsidRDefault="00F04787">
      <w:pPr>
        <w:pStyle w:val="Bodytext20"/>
        <w:shd w:val="clear" w:color="auto" w:fill="auto"/>
        <w:tabs>
          <w:tab w:val="left" w:pos="627"/>
        </w:tabs>
      </w:pPr>
      <w:r>
        <w:t>sídlo:</w:t>
      </w:r>
      <w:r>
        <w:tab/>
        <w:t>České Budějovice, U Lučního jezu 1712/</w:t>
      </w:r>
      <w:proofErr w:type="gramStart"/>
      <w:r>
        <w:t>6b</w:t>
      </w:r>
      <w:proofErr w:type="gramEnd"/>
      <w:r>
        <w:t>, PSČ 370 01</w:t>
      </w:r>
    </w:p>
    <w:p w:rsidR="00841DB2" w:rsidRDefault="00F04787">
      <w:pPr>
        <w:pStyle w:val="Bodytext20"/>
        <w:shd w:val="clear" w:color="auto" w:fill="auto"/>
        <w:tabs>
          <w:tab w:val="left" w:pos="627"/>
        </w:tabs>
      </w:pPr>
      <w:r>
        <w:t>IČ:</w:t>
      </w:r>
      <w:r>
        <w:tab/>
        <w:t>280 84 594, DIČ: CZ280 84 594</w:t>
      </w:r>
    </w:p>
    <w:p w:rsidR="00841DB2" w:rsidRDefault="00F04787">
      <w:pPr>
        <w:pStyle w:val="Bodytext20"/>
        <w:shd w:val="clear" w:color="auto" w:fill="auto"/>
      </w:pPr>
      <w:proofErr w:type="spellStart"/>
      <w:proofErr w:type="gramStart"/>
      <w:r>
        <w:t>č.účtu</w:t>
      </w:r>
      <w:proofErr w:type="spellEnd"/>
      <w:proofErr w:type="gramEnd"/>
    </w:p>
    <w:p w:rsidR="00841DB2" w:rsidRDefault="00F04787">
      <w:pPr>
        <w:pStyle w:val="Bodytext20"/>
        <w:shd w:val="clear" w:color="auto" w:fill="auto"/>
      </w:pPr>
      <w:r>
        <w:t>zapsaná u rejstříkového soudu v Českých Budějovicích, spisová značka C 16311</w:t>
      </w:r>
    </w:p>
    <w:p w:rsidR="00841DB2" w:rsidRDefault="00F04787">
      <w:pPr>
        <w:pStyle w:val="Bodytext20"/>
        <w:shd w:val="clear" w:color="auto" w:fill="auto"/>
        <w:tabs>
          <w:tab w:val="left" w:pos="627"/>
        </w:tabs>
      </w:pPr>
      <w:r>
        <w:t>tel.:</w:t>
      </w:r>
      <w:r>
        <w:tab/>
      </w:r>
    </w:p>
    <w:p w:rsidR="00841DB2" w:rsidRDefault="00F04787">
      <w:pPr>
        <w:pStyle w:val="Bodytext20"/>
        <w:shd w:val="clear" w:color="auto" w:fill="auto"/>
        <w:sectPr w:rsidR="00841DB2">
          <w:pgSz w:w="11900" w:h="16840"/>
          <w:pgMar w:top="150" w:right="4021" w:bottom="1289" w:left="1083" w:header="0" w:footer="3" w:gutter="0"/>
          <w:cols w:space="720"/>
          <w:noEndnote/>
          <w:docGrid w:linePitch="360"/>
        </w:sectPr>
      </w:pPr>
      <w:r>
        <w:rPr>
          <w:b w:val="0"/>
          <w:bCs w:val="0"/>
          <w:noProof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5003800</wp:posOffset>
            </wp:positionH>
            <wp:positionV relativeFrom="margin">
              <wp:posOffset>502920</wp:posOffset>
            </wp:positionV>
            <wp:extent cx="2066290" cy="82296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06629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email: </w:t>
      </w:r>
    </w:p>
    <w:p w:rsidR="00841DB2" w:rsidRDefault="00F04787">
      <w:pPr>
        <w:spacing w:line="360" w:lineRule="exact"/>
      </w:pPr>
      <w:r>
        <w:rPr>
          <w:rFonts w:ascii="Times New Roman" w:eastAsia="Times New Roman" w:hAnsi="Times New Roman" w:cs="Times New Roman"/>
          <w:b/>
          <w:bCs/>
          <w:noProof/>
          <w:sz w:val="17"/>
          <w:szCs w:val="17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2553335</wp:posOffset>
            </wp:positionH>
            <wp:positionV relativeFrom="paragraph">
              <wp:posOffset>12700</wp:posOffset>
            </wp:positionV>
            <wp:extent cx="2505710" cy="53657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50571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DB2" w:rsidRDefault="00841DB2">
      <w:pPr>
        <w:spacing w:line="485" w:lineRule="exact"/>
      </w:pPr>
    </w:p>
    <w:p w:rsidR="00841DB2" w:rsidRDefault="00841DB2">
      <w:pPr>
        <w:spacing w:line="14" w:lineRule="exact"/>
        <w:sectPr w:rsidR="00841DB2">
          <w:type w:val="continuous"/>
          <w:pgSz w:w="11900" w:h="16840"/>
          <w:pgMar w:top="150" w:right="766" w:bottom="1289" w:left="1059" w:header="0" w:footer="3" w:gutter="0"/>
          <w:cols w:space="720"/>
          <w:noEndnote/>
          <w:docGrid w:linePitch="360"/>
        </w:sectPr>
      </w:pPr>
    </w:p>
    <w:p w:rsidR="00841DB2" w:rsidRDefault="00F04787">
      <w:pPr>
        <w:pStyle w:val="Heading10"/>
        <w:keepNext/>
        <w:keepLines/>
        <w:shd w:val="clear" w:color="auto" w:fill="auto"/>
        <w:rPr>
          <w:sz w:val="32"/>
          <w:szCs w:val="32"/>
        </w:rPr>
      </w:pPr>
      <w:bookmarkStart w:id="0" w:name="bookmark0"/>
      <w:r>
        <w:t xml:space="preserve">Kupní smlouva </w:t>
      </w:r>
      <w:r>
        <w:rPr>
          <w:b w:val="0"/>
          <w:bCs w:val="0"/>
          <w:sz w:val="32"/>
          <w:szCs w:val="32"/>
        </w:rPr>
        <w:t>č.120298</w:t>
      </w:r>
      <w:bookmarkEnd w:id="0"/>
    </w:p>
    <w:p w:rsidR="00841DB2" w:rsidRDefault="00F04787">
      <w:pPr>
        <w:pStyle w:val="Bodytext50"/>
        <w:shd w:val="clear" w:color="auto" w:fill="auto"/>
      </w:pPr>
      <w:r>
        <w:t xml:space="preserve">uzavřená podle </w:t>
      </w:r>
      <w:r>
        <w:t>ustanovení § 2079 a násl. zákona č. 89//2012 Sb., občanský zákoník</w:t>
      </w:r>
    </w:p>
    <w:p w:rsidR="00841DB2" w:rsidRDefault="00F04787">
      <w:pPr>
        <w:pStyle w:val="Zkladntext"/>
        <w:shd w:val="clear" w:color="auto" w:fill="auto"/>
        <w:spacing w:after="240" w:line="420" w:lineRule="auto"/>
        <w:jc w:val="center"/>
      </w:pPr>
      <w:r>
        <w:rPr>
          <w:b/>
          <w:bCs/>
        </w:rPr>
        <w:t>Článek I.</w:t>
      </w:r>
      <w:r>
        <w:rPr>
          <w:b/>
          <w:bCs/>
        </w:rPr>
        <w:br/>
      </w:r>
      <w:r>
        <w:rPr>
          <w:b/>
          <w:bCs/>
          <w:u w:val="single"/>
        </w:rPr>
        <w:t>Smluvní strany</w:t>
      </w:r>
    </w:p>
    <w:p w:rsidR="00841DB2" w:rsidRDefault="00F04787">
      <w:pPr>
        <w:pStyle w:val="Zkladntext"/>
        <w:shd w:val="clear" w:color="auto" w:fill="auto"/>
        <w:spacing w:line="276" w:lineRule="auto"/>
      </w:pPr>
      <w:r>
        <w:rPr>
          <w:b/>
          <w:bCs/>
        </w:rPr>
        <w:t>KUPUJÍCÍ:</w:t>
      </w:r>
    </w:p>
    <w:p w:rsidR="00841DB2" w:rsidRDefault="00F04787">
      <w:pPr>
        <w:pStyle w:val="Zkladntext"/>
        <w:shd w:val="clear" w:color="auto" w:fill="auto"/>
        <w:spacing w:line="276" w:lineRule="auto"/>
        <w:ind w:left="2040" w:firstLine="40"/>
      </w:pPr>
      <w:r>
        <w:rPr>
          <w:b/>
          <w:bCs/>
        </w:rPr>
        <w:t>firma: SILVERMIX s.r.o.</w:t>
      </w:r>
    </w:p>
    <w:p w:rsidR="00841DB2" w:rsidRDefault="00F04787">
      <w:pPr>
        <w:pStyle w:val="Zkladntext"/>
        <w:shd w:val="clear" w:color="auto" w:fill="auto"/>
        <w:spacing w:line="276" w:lineRule="auto"/>
        <w:ind w:left="2040" w:firstLine="40"/>
      </w:pPr>
      <w:r>
        <w:rPr>
          <w:b/>
          <w:bCs/>
        </w:rPr>
        <w:t>sídlo: České Budějovice, U Lučního jezu 1712/</w:t>
      </w:r>
      <w:proofErr w:type="gramStart"/>
      <w:r>
        <w:rPr>
          <w:b/>
          <w:bCs/>
        </w:rPr>
        <w:t>6b</w:t>
      </w:r>
      <w:proofErr w:type="gramEnd"/>
      <w:r>
        <w:rPr>
          <w:b/>
          <w:bCs/>
        </w:rPr>
        <w:t>, PSČ 370 01</w:t>
      </w:r>
    </w:p>
    <w:p w:rsidR="00841DB2" w:rsidRDefault="00F04787">
      <w:pPr>
        <w:pStyle w:val="Zkladntext"/>
        <w:shd w:val="clear" w:color="auto" w:fill="auto"/>
        <w:tabs>
          <w:tab w:val="left" w:pos="2776"/>
        </w:tabs>
        <w:ind w:left="2040" w:firstLine="40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>280 84 594</w:t>
      </w:r>
    </w:p>
    <w:p w:rsidR="00841DB2" w:rsidRDefault="00F04787">
      <w:pPr>
        <w:pStyle w:val="Zkladntext"/>
        <w:shd w:val="clear" w:color="auto" w:fill="auto"/>
        <w:ind w:left="2040" w:firstLine="40"/>
        <w:rPr>
          <w:sz w:val="22"/>
          <w:szCs w:val="22"/>
        </w:rPr>
      </w:pPr>
      <w:r>
        <w:rPr>
          <w:sz w:val="22"/>
          <w:szCs w:val="22"/>
        </w:rPr>
        <w:t>DIČ: CZ280 84 594</w:t>
      </w:r>
    </w:p>
    <w:p w:rsidR="00841DB2" w:rsidRDefault="00F04787">
      <w:pPr>
        <w:pStyle w:val="Zkladntext"/>
        <w:shd w:val="clear" w:color="auto" w:fill="auto"/>
        <w:ind w:left="2040" w:firstLine="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zapsaná v obchodním rejstříku, </w:t>
      </w:r>
      <w:r>
        <w:rPr>
          <w:sz w:val="22"/>
          <w:szCs w:val="22"/>
        </w:rPr>
        <w:t>vedeného Krajským soudem v Českých Budějovicích oddíl C, vložka 16311</w:t>
      </w:r>
    </w:p>
    <w:p w:rsidR="00841DB2" w:rsidRDefault="00F04787">
      <w:pPr>
        <w:pStyle w:val="Zkladntext"/>
        <w:shd w:val="clear" w:color="auto" w:fill="auto"/>
        <w:spacing w:after="240"/>
        <w:ind w:left="2040" w:right="1080" w:firstLine="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>(dále jen kupující)</w:t>
      </w:r>
    </w:p>
    <w:p w:rsidR="00841DB2" w:rsidRDefault="00F04787">
      <w:pPr>
        <w:pStyle w:val="Zkladntext"/>
        <w:shd w:val="clear" w:color="auto" w:fill="auto"/>
        <w:tabs>
          <w:tab w:val="left" w:pos="2088"/>
        </w:tabs>
        <w:spacing w:line="276" w:lineRule="auto"/>
      </w:pPr>
      <w:r>
        <w:rPr>
          <w:b/>
          <w:bCs/>
        </w:rPr>
        <w:t>PRODÁVAJÍCÍ:</w:t>
      </w:r>
      <w:r>
        <w:rPr>
          <w:b/>
          <w:bCs/>
        </w:rPr>
        <w:tab/>
        <w:t>Výzkumný ústav živočišné výroby, v. v.</w:t>
      </w:r>
      <w:r>
        <w:rPr>
          <w:b/>
          <w:bCs/>
        </w:rPr>
        <w:t xml:space="preserve"> i.</w:t>
      </w:r>
    </w:p>
    <w:p w:rsidR="00841DB2" w:rsidRDefault="00F04787">
      <w:pPr>
        <w:pStyle w:val="Zkladntext"/>
        <w:shd w:val="clear" w:color="auto" w:fill="auto"/>
        <w:spacing w:line="276" w:lineRule="auto"/>
        <w:ind w:left="2040" w:firstLine="40"/>
      </w:pPr>
      <w:r>
        <w:rPr>
          <w:b/>
          <w:bCs/>
        </w:rPr>
        <w:t xml:space="preserve">Přátelství 815,104 00 </w:t>
      </w:r>
      <w:proofErr w:type="gramStart"/>
      <w:r>
        <w:rPr>
          <w:b/>
          <w:bCs/>
        </w:rPr>
        <w:t>Praha - Uhříněves</w:t>
      </w:r>
      <w:proofErr w:type="gramEnd"/>
    </w:p>
    <w:p w:rsidR="00841DB2" w:rsidRDefault="00F04787">
      <w:pPr>
        <w:pStyle w:val="Zkladntext"/>
        <w:shd w:val="clear" w:color="auto" w:fill="auto"/>
        <w:ind w:left="2040" w:right="5980" w:firstLine="40"/>
        <w:jc w:val="left"/>
        <w:rPr>
          <w:sz w:val="22"/>
          <w:szCs w:val="22"/>
        </w:rPr>
      </w:pPr>
      <w:r>
        <w:rPr>
          <w:sz w:val="22"/>
          <w:szCs w:val="22"/>
        </w:rPr>
        <w:t>IČ: 00027014 DIČ: CZ00027014 bankovní spojení: zastoupená: telefon:</w:t>
      </w:r>
    </w:p>
    <w:p w:rsidR="00841DB2" w:rsidRDefault="00F04787">
      <w:pPr>
        <w:pStyle w:val="Zkladntext"/>
        <w:shd w:val="clear" w:color="auto" w:fill="auto"/>
        <w:ind w:left="2040" w:firstLine="40"/>
        <w:rPr>
          <w:sz w:val="22"/>
          <w:szCs w:val="22"/>
        </w:rPr>
      </w:pPr>
      <w:r>
        <w:rPr>
          <w:sz w:val="22"/>
          <w:szCs w:val="22"/>
        </w:rPr>
        <w:t>(dále jen prodávající)</w:t>
      </w:r>
    </w:p>
    <w:p w:rsidR="00841DB2" w:rsidRDefault="00F04787">
      <w:pPr>
        <w:pStyle w:val="Tablecaption0"/>
        <w:shd w:val="clear" w:color="auto" w:fill="auto"/>
        <w:spacing w:after="160"/>
        <w:jc w:val="center"/>
      </w:pPr>
      <w:r>
        <w:rPr>
          <w:u w:val="none"/>
        </w:rPr>
        <w:t>Článek II.</w:t>
      </w:r>
    </w:p>
    <w:p w:rsidR="00841DB2" w:rsidRDefault="00F04787">
      <w:pPr>
        <w:pStyle w:val="Tablecaption0"/>
        <w:shd w:val="clear" w:color="auto" w:fill="auto"/>
        <w:spacing w:after="0"/>
        <w:ind w:left="3197"/>
      </w:pPr>
      <w:r>
        <w:t>Předmět plnění, množství a cena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1752"/>
        <w:gridCol w:w="1920"/>
        <w:gridCol w:w="2208"/>
        <w:gridCol w:w="1810"/>
      </w:tblGrid>
      <w:tr w:rsidR="00841DB2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B2" w:rsidRDefault="00F0478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smlouvy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B2" w:rsidRDefault="00F0478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B2" w:rsidRDefault="00F0478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Kupní cena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DB2" w:rsidRDefault="00F0478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Dodací podmínky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DB2" w:rsidRDefault="00F0478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 plnění</w:t>
            </w:r>
          </w:p>
        </w:tc>
      </w:tr>
      <w:tr w:rsidR="00841D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DB2" w:rsidRDefault="00F0478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pšenice</w:t>
            </w:r>
          </w:p>
          <w:p w:rsidR="00841DB2" w:rsidRDefault="00F0478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potravinářská </w:t>
            </w:r>
            <w:proofErr w:type="gramStart"/>
            <w:r>
              <w:rPr>
                <w:sz w:val="22"/>
                <w:szCs w:val="22"/>
              </w:rPr>
              <w:t>12%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DB2" w:rsidRDefault="00F0478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tun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DB2" w:rsidRDefault="00841DB2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DB2" w:rsidRDefault="00F04787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FCA Praha Uhříněves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DB2" w:rsidRDefault="00F04787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9/2020</w:t>
            </w:r>
          </w:p>
        </w:tc>
      </w:tr>
    </w:tbl>
    <w:p w:rsidR="00841DB2" w:rsidRDefault="00841DB2">
      <w:pPr>
        <w:spacing w:after="226" w:line="14" w:lineRule="exact"/>
      </w:pPr>
    </w:p>
    <w:p w:rsidR="00841DB2" w:rsidRDefault="00F04787">
      <w:pPr>
        <w:pStyle w:val="Zkladntext"/>
        <w:shd w:val="clear" w:color="auto" w:fill="auto"/>
        <w:spacing w:after="240" w:line="252" w:lineRule="auto"/>
        <w:ind w:left="600" w:right="3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Prodávající se zavazuje předat kupujícímu zboží dle výše uvedených podmínek a převést na něj vlastnické právo k tomuto zboží. Kupující se zavazuje zaplatit kupní cenu. Kupující je povinen </w:t>
      </w:r>
      <w:r>
        <w:rPr>
          <w:sz w:val="22"/>
          <w:szCs w:val="22"/>
        </w:rPr>
        <w:t>odebrat i menší množství zboží, pokud ze strany prodávajícího nebude možné dodat sjednané množství. V takovém případě kupující neuplatní vůči prodávajícímu žádné majetkové sankce.</w:t>
      </w:r>
      <w:r>
        <w:br w:type="page"/>
      </w:r>
    </w:p>
    <w:p w:rsidR="00841DB2" w:rsidRDefault="00F04787">
      <w:pPr>
        <w:pStyle w:val="Tableofcontents0"/>
        <w:shd w:val="clear" w:color="auto" w:fill="auto"/>
        <w:tabs>
          <w:tab w:val="left" w:pos="9570"/>
        </w:tabs>
        <w:rPr>
          <w:sz w:val="20"/>
          <w:szCs w:val="20"/>
        </w:rPr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>
        <w:bookmarkStart w:id="1" w:name="bookmark1"/>
        <w:r>
          <w:rPr>
            <w:sz w:val="20"/>
            <w:szCs w:val="20"/>
          </w:rPr>
          <w:t>f</w:t>
        </w:r>
        <w:r>
          <w:rPr>
            <w:sz w:val="20"/>
            <w:szCs w:val="20"/>
          </w:rPr>
          <w:t>irma: SILVERMIX s. r. o.</w:t>
        </w:r>
        <w:r>
          <w:rPr>
            <w:sz w:val="20"/>
            <w:szCs w:val="20"/>
          </w:rPr>
          <w:tab/>
          <w:t>;</w:t>
        </w:r>
        <w:bookmarkEnd w:id="1"/>
      </w:hyperlink>
    </w:p>
    <w:p w:rsidR="00841DB2" w:rsidRDefault="00F04787">
      <w:pPr>
        <w:pStyle w:val="Tableofcontents0"/>
        <w:shd w:val="clear" w:color="auto" w:fill="auto"/>
        <w:tabs>
          <w:tab w:val="left" w:pos="617"/>
          <w:tab w:val="left" w:pos="9570"/>
        </w:tabs>
      </w:pPr>
      <w:r>
        <w:t>sídlo:</w:t>
      </w:r>
      <w:r>
        <w:tab/>
        <w:t>České Budějovice, U Lučního jezu 1712/6b, PSČ 370 01</w:t>
      </w:r>
      <w:r>
        <w:tab/>
        <w:t>,</w:t>
      </w:r>
    </w:p>
    <w:p w:rsidR="00841DB2" w:rsidRDefault="00F04787">
      <w:pPr>
        <w:pStyle w:val="Tableofcontents0"/>
        <w:shd w:val="clear" w:color="auto" w:fill="auto"/>
        <w:tabs>
          <w:tab w:val="left" w:pos="617"/>
          <w:tab w:val="left" w:pos="9570"/>
        </w:tabs>
      </w:pPr>
      <w:r>
        <w:t>IČ:</w:t>
      </w:r>
      <w:r>
        <w:tab/>
        <w:t>280 84 594, DIČ: CZ280 84 594</w:t>
      </w:r>
      <w:r>
        <w:tab/>
        <w:t>|</w:t>
      </w:r>
      <w:r>
        <w:fldChar w:fldCharType="end"/>
      </w:r>
    </w:p>
    <w:p w:rsidR="00841DB2" w:rsidRDefault="00F04787">
      <w:pPr>
        <w:pStyle w:val="Bodytext20"/>
        <w:shd w:val="clear" w:color="auto" w:fill="auto"/>
      </w:pPr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</w:p>
    <w:p w:rsidR="00841DB2" w:rsidRDefault="00F04787">
      <w:pPr>
        <w:pStyle w:val="Bodytext20"/>
        <w:shd w:val="clear" w:color="auto" w:fill="auto"/>
      </w:pPr>
      <w:r>
        <w:t xml:space="preserve">zapsaná u rejstříkového soudu v Českých Budějovicích, spisová značka C </w:t>
      </w:r>
      <w:r>
        <w:t>16311</w:t>
      </w:r>
    </w:p>
    <w:p w:rsidR="00841DB2" w:rsidRDefault="00F04787">
      <w:pPr>
        <w:pStyle w:val="Bodytext20"/>
        <w:shd w:val="clear" w:color="auto" w:fill="auto"/>
        <w:tabs>
          <w:tab w:val="left" w:pos="617"/>
        </w:tabs>
      </w:pPr>
      <w:r>
        <w:t>tel.:</w:t>
      </w:r>
      <w:r>
        <w:tab/>
        <w:t>+</w:t>
      </w:r>
    </w:p>
    <w:p w:rsidR="00841DB2" w:rsidRDefault="00F04787">
      <w:pPr>
        <w:pStyle w:val="Bodytext20"/>
        <w:shd w:val="clear" w:color="auto" w:fill="auto"/>
        <w:tabs>
          <w:tab w:val="left" w:pos="622"/>
        </w:tabs>
      </w:pPr>
      <w:r>
        <w:t>email:</w:t>
      </w:r>
      <w:r>
        <w:tab/>
      </w:r>
    </w:p>
    <w:p w:rsidR="00841DB2" w:rsidRDefault="00F04787">
      <w:pPr>
        <w:spacing w:line="14" w:lineRule="exact"/>
      </w:pPr>
      <w:r>
        <w:rPr>
          <w:rFonts w:ascii="Times New Roman" w:eastAsia="Times New Roman" w:hAnsi="Times New Roman" w:cs="Times New Roman"/>
          <w:b/>
          <w:bCs/>
          <w:noProof/>
          <w:sz w:val="17"/>
          <w:szCs w:val="17"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2593340</wp:posOffset>
            </wp:positionH>
            <wp:positionV relativeFrom="paragraph">
              <wp:posOffset>8890</wp:posOffset>
            </wp:positionV>
            <wp:extent cx="2487295" cy="53657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48729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DB2" w:rsidRDefault="00F04787">
      <w:pPr>
        <w:pStyle w:val="Heading20"/>
        <w:keepNext/>
        <w:keepLines/>
        <w:shd w:val="clear" w:color="auto" w:fill="auto"/>
      </w:pPr>
      <w:bookmarkStart w:id="2" w:name="bookmark2"/>
      <w:r>
        <w:t>Cl. III.</w:t>
      </w:r>
      <w:bookmarkEnd w:id="2"/>
    </w:p>
    <w:p w:rsidR="00841DB2" w:rsidRDefault="00F04787">
      <w:pPr>
        <w:pStyle w:val="Zkladntext"/>
        <w:shd w:val="clear" w:color="auto" w:fill="auto"/>
        <w:spacing w:line="262" w:lineRule="auto"/>
        <w:jc w:val="center"/>
      </w:pPr>
      <w:r>
        <w:rPr>
          <w:b/>
          <w:bCs/>
          <w:u w:val="single"/>
        </w:rPr>
        <w:t xml:space="preserve">Jakost a obchodní </w:t>
      </w:r>
      <w:proofErr w:type="spellStart"/>
      <w:r>
        <w:rPr>
          <w:b/>
          <w:bCs/>
          <w:u w:val="single"/>
        </w:rPr>
        <w:t>podmíky</w:t>
      </w:r>
      <w:proofErr w:type="spellEnd"/>
    </w:p>
    <w:p w:rsidR="00841DB2" w:rsidRDefault="00F04787">
      <w:pPr>
        <w:pStyle w:val="Zkladntext"/>
        <w:shd w:val="clear" w:color="auto" w:fill="auto"/>
        <w:spacing w:after="220" w:line="262" w:lineRule="auto"/>
      </w:pPr>
      <w:r>
        <w:t xml:space="preserve">Smluvní strany se dohodly na těchto jakostních parametrech: obsah NL min </w:t>
      </w:r>
      <w:proofErr w:type="gramStart"/>
      <w:r>
        <w:t>12%</w:t>
      </w:r>
      <w:proofErr w:type="gramEnd"/>
      <w:r>
        <w:t xml:space="preserve">, vlhkost </w:t>
      </w:r>
      <w:r>
        <w:rPr>
          <w:lang w:val="en-US" w:eastAsia="en-US" w:bidi="en-US"/>
        </w:rPr>
        <w:t xml:space="preserve">max. </w:t>
      </w:r>
      <w:r>
        <w:t>14%, objemová hmotnost min. 760 g</w:t>
      </w:r>
      <w:r>
        <w:t xml:space="preserve">/kg, číslo poklesu min 240s, nečistoty </w:t>
      </w:r>
      <w:r>
        <w:rPr>
          <w:lang w:val="en-US" w:eastAsia="en-US" w:bidi="en-US"/>
        </w:rPr>
        <w:t xml:space="preserve">max. </w:t>
      </w:r>
      <w:r>
        <w:t xml:space="preserve">1 %, příměsi </w:t>
      </w:r>
      <w:r>
        <w:rPr>
          <w:lang w:val="en-US" w:eastAsia="en-US" w:bidi="en-US"/>
        </w:rPr>
        <w:t xml:space="preserve">max. </w:t>
      </w:r>
      <w:r>
        <w:t xml:space="preserve">3%, </w:t>
      </w:r>
      <w:r>
        <w:rPr>
          <w:lang w:val="en-US" w:eastAsia="en-US" w:bidi="en-US"/>
        </w:rPr>
        <w:t xml:space="preserve">DON max. </w:t>
      </w:r>
      <w:r>
        <w:t xml:space="preserve">0,75 mg/kg, </w:t>
      </w:r>
      <w:r>
        <w:rPr>
          <w:lang w:val="en-US" w:eastAsia="en-US" w:bidi="en-US"/>
        </w:rPr>
        <w:t xml:space="preserve">ZEA max. </w:t>
      </w:r>
      <w:r>
        <w:t xml:space="preserve">0,05 mg/kg. Ostatní jakostní parametry musí odpovídat ČSN 461100-2 ostatní jakostní parametry naleznete na </w:t>
      </w:r>
      <w:hyperlink r:id="rId9" w:history="1">
        <w:r>
          <w:rPr>
            <w:lang w:val="en-US" w:eastAsia="en-US" w:bidi="en-US"/>
          </w:rPr>
          <w:t>https://www.silvermix.cz/certifikaty-a-podminky/</w:t>
        </w:r>
      </w:hyperlink>
      <w:r>
        <w:rPr>
          <w:lang w:val="en-US" w:eastAsia="en-US" w:bidi="en-US"/>
        </w:rPr>
        <w:t xml:space="preserve">. </w:t>
      </w:r>
      <w:r>
        <w:t xml:space="preserve">Dále musí být zboží zdravotně nezávadné, vyzrálé, GMO </w:t>
      </w:r>
      <w:r>
        <w:rPr>
          <w:lang w:val="en-US" w:eastAsia="en-US" w:bidi="en-US"/>
        </w:rPr>
        <w:t xml:space="preserve">free, </w:t>
      </w:r>
      <w:r>
        <w:t>bez živých i mrtvých škůdců, škodlivých příměsí, cizích pachů, plísní, sněti a nesmí obsahovat salmonelu. Pokud zboží nebude odpovídat v</w:t>
      </w:r>
      <w:r>
        <w:t xml:space="preserve">ýše uvedeným požadavkům, může být vráceno zpět na náklady prodávajícího. Nebo ho lze převzít po dohodě smluvních stran za cenu příslušné jakostní třídy. Prodávající je povinen odebrat a uschovat vzorek pšenice tak, jak je uvedeno na </w:t>
      </w:r>
      <w:hyperlink r:id="rId10" w:history="1">
        <w:r>
          <w:rPr>
            <w:lang w:val="en-US" w:eastAsia="en-US" w:bidi="en-US"/>
          </w:rPr>
          <w:t xml:space="preserve">https://www.silvermix.cz/certifikaty-a- </w:t>
        </w:r>
        <w:proofErr w:type="spellStart"/>
        <w:r>
          <w:t>podminky</w:t>
        </w:r>
        <w:proofErr w:type="spellEnd"/>
        <w:r>
          <w:t>/</w:t>
        </w:r>
      </w:hyperlink>
    </w:p>
    <w:p w:rsidR="00841DB2" w:rsidRDefault="00F04787">
      <w:pPr>
        <w:pStyle w:val="Heading20"/>
        <w:keepNext/>
        <w:keepLines/>
        <w:shd w:val="clear" w:color="auto" w:fill="auto"/>
      </w:pPr>
      <w:bookmarkStart w:id="3" w:name="bookmark3"/>
      <w:r>
        <w:t>ČI. IV.</w:t>
      </w:r>
      <w:bookmarkEnd w:id="3"/>
    </w:p>
    <w:p w:rsidR="00841DB2" w:rsidRDefault="00F04787">
      <w:pPr>
        <w:pStyle w:val="Zkladntext"/>
        <w:shd w:val="clear" w:color="auto" w:fill="auto"/>
        <w:spacing w:line="262" w:lineRule="auto"/>
        <w:jc w:val="center"/>
      </w:pPr>
      <w:r>
        <w:rPr>
          <w:b/>
          <w:bCs/>
          <w:u w:val="single"/>
        </w:rPr>
        <w:t>Platební podmínky</w:t>
      </w:r>
    </w:p>
    <w:p w:rsidR="00841DB2" w:rsidRDefault="00F04787">
      <w:pPr>
        <w:pStyle w:val="Zkladntext"/>
        <w:shd w:val="clear" w:color="auto" w:fill="auto"/>
        <w:spacing w:after="220" w:line="262" w:lineRule="auto"/>
      </w:pPr>
      <w:r>
        <w:t xml:space="preserve">Právo na zaplacení kupní ceny vzniká prodávajícímu řádným splněním jeho závazku způsobem specifikovaným touto smlouvou. Kupující je povinen </w:t>
      </w:r>
      <w:r>
        <w:t>za odebrané zboží zaplatit do 30 dní od odebrání zboží.</w:t>
      </w:r>
    </w:p>
    <w:p w:rsidR="00841DB2" w:rsidRDefault="00F04787">
      <w:pPr>
        <w:pStyle w:val="Heading20"/>
        <w:keepNext/>
        <w:keepLines/>
        <w:shd w:val="clear" w:color="auto" w:fill="auto"/>
        <w:spacing w:line="266" w:lineRule="auto"/>
      </w:pPr>
      <w:bookmarkStart w:id="4" w:name="bookmark4"/>
      <w:r>
        <w:t>ČI. V.</w:t>
      </w:r>
      <w:bookmarkEnd w:id="4"/>
    </w:p>
    <w:p w:rsidR="00841DB2" w:rsidRDefault="00F04787">
      <w:pPr>
        <w:pStyle w:val="Zkladntext"/>
        <w:shd w:val="clear" w:color="auto" w:fill="auto"/>
        <w:spacing w:line="266" w:lineRule="auto"/>
        <w:jc w:val="center"/>
      </w:pPr>
      <w:r>
        <w:rPr>
          <w:b/>
          <w:bCs/>
          <w:u w:val="single"/>
        </w:rPr>
        <w:t>Pokuty a penále</w:t>
      </w:r>
    </w:p>
    <w:p w:rsidR="00841DB2" w:rsidRDefault="00F04787">
      <w:pPr>
        <w:pStyle w:val="Zkladntext"/>
        <w:shd w:val="clear" w:color="auto" w:fill="auto"/>
        <w:spacing w:after="220" w:line="266" w:lineRule="auto"/>
        <w:jc w:val="left"/>
      </w:pPr>
      <w:r>
        <w:t xml:space="preserve">V případě nedodání zboží hradí prodávající kupujícímu všechny náklady spojené s náhradním nákupem. Nezaplatí-li kupující ve lhůtě dle čl. IV, je povinen zaplatit prodávajícímu </w:t>
      </w:r>
      <w:r>
        <w:t xml:space="preserve">smluvní pokutu ve výši </w:t>
      </w:r>
      <w:proofErr w:type="gramStart"/>
      <w:r>
        <w:t>0,05%</w:t>
      </w:r>
      <w:proofErr w:type="gramEnd"/>
      <w:r>
        <w:t xml:space="preserve"> z dlužné částky za každý den prodlení</w:t>
      </w:r>
    </w:p>
    <w:p w:rsidR="00841DB2" w:rsidRDefault="00F04787">
      <w:pPr>
        <w:pStyle w:val="Heading20"/>
        <w:keepNext/>
        <w:keepLines/>
        <w:shd w:val="clear" w:color="auto" w:fill="auto"/>
        <w:spacing w:line="257" w:lineRule="auto"/>
      </w:pPr>
      <w:bookmarkStart w:id="5" w:name="bookmark5"/>
      <w:r>
        <w:t>Čl. VI.</w:t>
      </w:r>
      <w:bookmarkEnd w:id="5"/>
    </w:p>
    <w:p w:rsidR="00841DB2" w:rsidRDefault="00F04787">
      <w:pPr>
        <w:pStyle w:val="Zkladntext"/>
        <w:shd w:val="clear" w:color="auto" w:fill="auto"/>
        <w:spacing w:line="257" w:lineRule="auto"/>
        <w:jc w:val="center"/>
      </w:pPr>
      <w:r>
        <w:rPr>
          <w:b/>
          <w:bCs/>
          <w:u w:val="single"/>
        </w:rPr>
        <w:t>Jednání jménem společnosti</w:t>
      </w:r>
    </w:p>
    <w:p w:rsidR="00841DB2" w:rsidRDefault="00F04787">
      <w:pPr>
        <w:pStyle w:val="Zkladntext"/>
        <w:shd w:val="clear" w:color="auto" w:fill="auto"/>
        <w:spacing w:line="257" w:lineRule="auto"/>
      </w:pPr>
      <w:r>
        <w:t xml:space="preserve">Níže podepsaní prohlašují, že jsou v souladu s výpisem z Obchodního rejstříku oprávněni jednat a podepisovat se za společnost samostatně a nesou plnou </w:t>
      </w:r>
      <w:r>
        <w:t>osobní zodpovědnost za právní úkony uskutečněny jménem společnosti.</w:t>
      </w:r>
    </w:p>
    <w:p w:rsidR="00841DB2" w:rsidRDefault="00F04787">
      <w:pPr>
        <w:pStyle w:val="Zkladntext"/>
        <w:shd w:val="clear" w:color="auto" w:fill="auto"/>
        <w:spacing w:line="257" w:lineRule="auto"/>
        <w:jc w:val="center"/>
      </w:pPr>
      <w:r>
        <w:rPr>
          <w:b/>
          <w:bCs/>
        </w:rPr>
        <w:t>Čl. VII.</w:t>
      </w:r>
    </w:p>
    <w:p w:rsidR="00841DB2" w:rsidRDefault="00F04787">
      <w:pPr>
        <w:pStyle w:val="Zkladntext"/>
        <w:shd w:val="clear" w:color="auto" w:fill="auto"/>
        <w:spacing w:line="257" w:lineRule="auto"/>
        <w:jc w:val="center"/>
      </w:pPr>
      <w:r>
        <w:rPr>
          <w:b/>
          <w:bCs/>
          <w:u w:val="single"/>
        </w:rPr>
        <w:t>Obecné podmínky</w:t>
      </w:r>
    </w:p>
    <w:p w:rsidR="00841DB2" w:rsidRDefault="00F04787">
      <w:pPr>
        <w:pStyle w:val="Zkladntext"/>
        <w:shd w:val="clear" w:color="auto" w:fill="auto"/>
        <w:spacing w:after="220" w:line="257" w:lineRule="auto"/>
      </w:pPr>
      <w:r>
        <w:t>Prodávající dává tímto výslovný souhlas, že v souvislosti s tímto obchodem budou zpracovány jeho osobní údaje.</w:t>
      </w:r>
    </w:p>
    <w:p w:rsidR="00841DB2" w:rsidRDefault="00F04787">
      <w:pPr>
        <w:pStyle w:val="Heading20"/>
        <w:keepNext/>
        <w:keepLines/>
        <w:shd w:val="clear" w:color="auto" w:fill="auto"/>
        <w:spacing w:line="254" w:lineRule="auto"/>
      </w:pPr>
      <w:bookmarkStart w:id="6" w:name="bookmark6"/>
      <w:r>
        <w:t>Čl. VIII.</w:t>
      </w:r>
      <w:bookmarkEnd w:id="6"/>
    </w:p>
    <w:p w:rsidR="00841DB2" w:rsidRDefault="00F04787">
      <w:pPr>
        <w:pStyle w:val="Zkladntext"/>
        <w:shd w:val="clear" w:color="auto" w:fill="auto"/>
        <w:jc w:val="center"/>
      </w:pPr>
      <w:r>
        <w:rPr>
          <w:b/>
          <w:bCs/>
          <w:u w:val="single"/>
        </w:rPr>
        <w:t>Závěrečná ustanovení</w:t>
      </w:r>
    </w:p>
    <w:p w:rsidR="00841DB2" w:rsidRDefault="00F04787">
      <w:pPr>
        <w:pStyle w:val="Zkladntext"/>
        <w:shd w:val="clear" w:color="auto" w:fill="auto"/>
      </w:pPr>
      <w:r>
        <w:t>Obsah smlouvy lze měn</w:t>
      </w:r>
      <w:r>
        <w:t>it nebo doplnit oboustranným písemným ujednáním. Pro práva a povinnosti smluvních stran v této smlouvě výslovně neupravené, platí příslušná ustanovení občanského zákoníku v platném znění. Smlouvaje vyhotovena ve dvou výtiscích, z nichž každá ze stran obdrž</w:t>
      </w:r>
      <w:r>
        <w:t>í jeden. Účastníci prohlašují, že smlouvu před podpisem přečetli, že jsou oprávněni se podepisovat za jednotlivé smluvní strany a že smlouvaje v souladu jejich pravou a svobodnou vůlí. Na důkaz toho připojují své</w:t>
      </w:r>
    </w:p>
    <w:p w:rsidR="00841DB2" w:rsidRDefault="00F04787">
      <w:pPr>
        <w:pStyle w:val="Zkladntext"/>
        <w:shd w:val="clear" w:color="auto" w:fill="auto"/>
        <w:spacing w:after="140"/>
      </w:pPr>
      <w:r>
        <w:t>podpisy.</w:t>
      </w:r>
    </w:p>
    <w:p w:rsidR="00841DB2" w:rsidRDefault="00F04787">
      <w:pPr>
        <w:pStyle w:val="Zkladntext"/>
        <w:shd w:val="clear" w:color="auto" w:fill="auto"/>
        <w:tabs>
          <w:tab w:val="left" w:pos="5602"/>
          <w:tab w:val="left" w:pos="7685"/>
          <w:tab w:val="left" w:pos="8429"/>
        </w:tabs>
        <w:spacing w:after="260"/>
        <w:ind w:left="720"/>
        <w:rPr>
          <w:sz w:val="26"/>
          <w:szCs w:val="26"/>
        </w:rPr>
      </w:pPr>
      <w:r>
        <w:t>V Českých Budějovicích dne: 20.8.2</w:t>
      </w:r>
      <w:r>
        <w:t>020</w:t>
      </w:r>
      <w:r>
        <w:tab/>
        <w:t>V</w:t>
      </w:r>
      <w:r>
        <w:tab/>
        <w:t>dne:</w:t>
      </w:r>
      <w:r>
        <w:tab/>
      </w:r>
      <w:r>
        <w:rPr>
          <w:color w:val="524C91"/>
          <w:sz w:val="26"/>
          <w:szCs w:val="26"/>
        </w:rPr>
        <w:t>'</w:t>
      </w:r>
      <w:proofErr w:type="spellStart"/>
      <w:r>
        <w:rPr>
          <w:color w:val="524C91"/>
          <w:sz w:val="26"/>
          <w:szCs w:val="26"/>
        </w:rPr>
        <w:t>fč</w:t>
      </w:r>
      <w:proofErr w:type="spellEnd"/>
      <w:r>
        <w:rPr>
          <w:color w:val="524C91"/>
          <w:sz w:val="26"/>
          <w:szCs w:val="26"/>
        </w:rPr>
        <w:t>- *3- 2c2</w:t>
      </w:r>
      <w:proofErr w:type="gramStart"/>
      <w:r>
        <w:rPr>
          <w:color w:val="524C91"/>
          <w:sz w:val="26"/>
          <w:szCs w:val="26"/>
        </w:rPr>
        <w:t>-&lt;</w:t>
      </w:r>
      <w:proofErr w:type="gramEnd"/>
      <w:r>
        <w:rPr>
          <w:color w:val="524C91"/>
          <w:sz w:val="26"/>
          <w:szCs w:val="26"/>
        </w:rPr>
        <w:t>5</w:t>
      </w:r>
    </w:p>
    <w:p w:rsidR="00841DB2" w:rsidRDefault="00F04787">
      <w:pPr>
        <w:pStyle w:val="Bodytext30"/>
        <w:shd w:val="clear" w:color="auto" w:fill="auto"/>
        <w:spacing w:after="0" w:line="190" w:lineRule="auto"/>
        <w:ind w:left="1080" w:firstLine="1400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609600" distB="0" distL="516890" distR="114300" simplePos="0" relativeHeight="125829381" behindDoc="0" locked="0" layoutInCell="1" allowOverlap="1">
                <wp:simplePos x="0" y="0"/>
                <wp:positionH relativeFrom="page">
                  <wp:posOffset>5129530</wp:posOffset>
                </wp:positionH>
                <wp:positionV relativeFrom="paragraph">
                  <wp:posOffset>660400</wp:posOffset>
                </wp:positionV>
                <wp:extent cx="2286000" cy="42354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1DB2" w:rsidRDefault="00841DB2">
                            <w:pPr>
                              <w:pStyle w:val="Zkladntext"/>
                              <w:shd w:val="clear" w:color="auto" w:fill="auto"/>
                              <w:tabs>
                                <w:tab w:val="left" w:pos="965"/>
                              </w:tabs>
                              <w:spacing w:line="230" w:lineRule="auto"/>
                              <w:ind w:left="60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03.9pt;margin-top:52pt;width:180pt;height:33.35pt;z-index:125829381;visibility:visible;mso-wrap-style:square;mso-wrap-distance-left:40.7pt;mso-wrap-distance-top:48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" filled="f" stroked="f">
                <v:textbox style="mso-fit-shape-to-text:t" inset="0,0,0,0">
                  <w:txbxContent>
                    <w:p w:rsidR="00841DB2" w:rsidRDefault="00841DB2">
                      <w:pPr>
                        <w:pStyle w:val="Zkladntext"/>
                        <w:shd w:val="clear" w:color="auto" w:fill="auto"/>
                        <w:tabs>
                          <w:tab w:val="left" w:pos="965"/>
                        </w:tabs>
                        <w:spacing w:line="230" w:lineRule="auto"/>
                        <w:ind w:left="60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Digitálně podepsal </w:t>
      </w:r>
      <w:r>
        <w:t xml:space="preserve"> </w:t>
      </w:r>
    </w:p>
    <w:p w:rsidR="00841DB2" w:rsidRDefault="00841DB2" w:rsidP="0009705A">
      <w:pPr>
        <w:pStyle w:val="Bodytext40"/>
        <w:shd w:val="clear" w:color="auto" w:fill="auto"/>
        <w:ind w:left="2480" w:right="0" w:hanging="1400"/>
      </w:pPr>
    </w:p>
    <w:p w:rsidR="00841DB2" w:rsidRDefault="00F04787">
      <w:pPr>
        <w:pStyle w:val="Zkladntext"/>
        <w:shd w:val="clear" w:color="auto" w:fill="auto"/>
        <w:spacing w:after="220" w:line="240" w:lineRule="auto"/>
        <w:ind w:left="2140"/>
        <w:jc w:val="left"/>
      </w:pPr>
      <w:r>
        <w:t>k</w:t>
      </w:r>
      <w:r>
        <w:t>upující</w:t>
      </w:r>
      <w:r>
        <w:br w:type="page"/>
      </w:r>
    </w:p>
    <w:p w:rsidR="00841DB2" w:rsidRDefault="00F04787">
      <w:pPr>
        <w:pStyle w:val="Zkladntext"/>
        <w:shd w:val="clear" w:color="auto" w:fill="auto"/>
        <w:spacing w:line="216" w:lineRule="auto"/>
        <w:ind w:left="280"/>
        <w:jc w:val="left"/>
      </w:pPr>
      <w:r>
        <w:rPr>
          <w:b/>
          <w:bCs/>
          <w:lang w:val="en-US" w:eastAsia="en-US" w:bidi="en-US"/>
        </w:rPr>
        <w:lastRenderedPageBreak/>
        <w:t>ma:</w:t>
      </w:r>
      <w:r>
        <w:rPr>
          <w:b/>
          <w:bCs/>
          <w:lang w:val="en-US" w:eastAsia="en-US" w:bidi="en-US"/>
        </w:rPr>
        <w:t xml:space="preserve"> SILVERMIX s. r. o.</w:t>
      </w:r>
    </w:p>
    <w:p w:rsidR="00841DB2" w:rsidRDefault="00F04787">
      <w:pPr>
        <w:pStyle w:val="Bodytext20"/>
        <w:shd w:val="clear" w:color="auto" w:fill="auto"/>
        <w:tabs>
          <w:tab w:val="left" w:pos="614"/>
        </w:tabs>
        <w:spacing w:line="254" w:lineRule="auto"/>
        <w:ind w:left="160"/>
      </w:pPr>
      <w:proofErr w:type="spellStart"/>
      <w:r>
        <w:rPr>
          <w:lang w:val="en-US" w:eastAsia="en-US" w:bidi="en-US"/>
        </w:rPr>
        <w:t>Jlo</w:t>
      </w:r>
      <w:proofErr w:type="spellEnd"/>
      <w:r>
        <w:rPr>
          <w:lang w:val="en-US" w:eastAsia="en-US" w:bidi="en-US"/>
        </w:rPr>
        <w:t>:</w:t>
      </w:r>
      <w:r>
        <w:rPr>
          <w:lang w:val="en-US" w:eastAsia="en-US" w:bidi="en-US"/>
        </w:rPr>
        <w:tab/>
      </w:r>
      <w:r>
        <w:t xml:space="preserve">České Budějovice, </w:t>
      </w:r>
      <w:r>
        <w:rPr>
          <w:lang w:val="en-US" w:eastAsia="en-US" w:bidi="en-US"/>
        </w:rPr>
        <w:t xml:space="preserve">U </w:t>
      </w:r>
      <w:r>
        <w:t xml:space="preserve">Lučního jezu </w:t>
      </w:r>
      <w:r>
        <w:rPr>
          <w:lang w:val="en-US" w:eastAsia="en-US" w:bidi="en-US"/>
        </w:rPr>
        <w:t xml:space="preserve">1712/6b, </w:t>
      </w:r>
      <w:r>
        <w:t xml:space="preserve">PSČ </w:t>
      </w:r>
      <w:r>
        <w:rPr>
          <w:lang w:val="en-US" w:eastAsia="en-US" w:bidi="en-US"/>
        </w:rPr>
        <w:t>370 01</w:t>
      </w:r>
    </w:p>
    <w:p w:rsidR="00841DB2" w:rsidRDefault="00F04787">
      <w:pPr>
        <w:pStyle w:val="Bodytext20"/>
        <w:shd w:val="clear" w:color="auto" w:fill="auto"/>
        <w:tabs>
          <w:tab w:val="left" w:pos="601"/>
        </w:tabs>
        <w:spacing w:line="254" w:lineRule="auto"/>
      </w:pPr>
      <w:r>
        <w:t>Č:</w:t>
      </w:r>
      <w:r>
        <w:tab/>
        <w:t>280 84 594, DIČ: CZ280 84 594</w:t>
      </w:r>
    </w:p>
    <w:p w:rsidR="00841DB2" w:rsidRDefault="00F04787">
      <w:pPr>
        <w:pStyle w:val="Bodytext20"/>
        <w:shd w:val="clear" w:color="auto" w:fill="auto"/>
        <w:spacing w:line="254" w:lineRule="auto"/>
        <w:jc w:val="left"/>
      </w:pPr>
      <w:proofErr w:type="spellStart"/>
      <w:r>
        <w:t>é.účtu</w:t>
      </w:r>
      <w:proofErr w:type="spellEnd"/>
      <w:r>
        <w:t xml:space="preserve">: </w:t>
      </w:r>
      <w:bookmarkStart w:id="7" w:name="_GoBack"/>
      <w:bookmarkEnd w:id="7"/>
    </w:p>
    <w:p w:rsidR="00841DB2" w:rsidRDefault="00F04787">
      <w:pPr>
        <w:pStyle w:val="Bodytext20"/>
        <w:shd w:val="clear" w:color="auto" w:fill="auto"/>
        <w:tabs>
          <w:tab w:val="left" w:pos="601"/>
        </w:tabs>
        <w:spacing w:line="254" w:lineRule="auto"/>
        <w:ind w:right="3860"/>
        <w:jc w:val="left"/>
      </w:pPr>
      <w:r>
        <w:t>zapsaná u rejstříkového soudu v Českých Budějovicích, spisová značka C 16311 tel.:</w:t>
      </w:r>
      <w:r>
        <w:tab/>
      </w:r>
    </w:p>
    <w:p w:rsidR="00841DB2" w:rsidRDefault="00F04787">
      <w:pPr>
        <w:pStyle w:val="Bodytext20"/>
        <w:shd w:val="clear" w:color="auto" w:fill="auto"/>
        <w:spacing w:line="254" w:lineRule="auto"/>
        <w:jc w:val="left"/>
      </w:pPr>
      <w:r>
        <w:t xml:space="preserve">email: </w:t>
      </w:r>
    </w:p>
    <w:p w:rsidR="00841DB2" w:rsidRDefault="00F04787">
      <w:pPr>
        <w:spacing w:line="14" w:lineRule="exact"/>
      </w:pPr>
      <w:r>
        <w:rPr>
          <w:rFonts w:ascii="Times New Roman" w:eastAsia="Times New Roman" w:hAnsi="Times New Roman" w:cs="Times New Roman"/>
          <w:b/>
          <w:bCs/>
          <w:noProof/>
          <w:sz w:val="17"/>
          <w:szCs w:val="17"/>
        </w:rPr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721995</wp:posOffset>
            </wp:positionH>
            <wp:positionV relativeFrom="paragraph">
              <wp:posOffset>8890</wp:posOffset>
            </wp:positionV>
            <wp:extent cx="6278880" cy="64008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2788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1DB2">
      <w:type w:val="continuous"/>
      <w:pgSz w:w="11900" w:h="16840"/>
      <w:pgMar w:top="161" w:right="883" w:bottom="1277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04787">
      <w:r>
        <w:separator/>
      </w:r>
    </w:p>
  </w:endnote>
  <w:endnote w:type="continuationSeparator" w:id="0">
    <w:p w:rsidR="00000000" w:rsidRDefault="00F0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B2" w:rsidRDefault="00841DB2"/>
  </w:footnote>
  <w:footnote w:type="continuationSeparator" w:id="0">
    <w:p w:rsidR="00841DB2" w:rsidRDefault="00841D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B2"/>
    <w:rsid w:val="0009705A"/>
    <w:rsid w:val="00841DB2"/>
    <w:rsid w:val="00F0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691A"/>
  <w15:docId w15:val="{23260C9D-7585-42F3-8891-BF37A99B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6F9CBF"/>
      <w:sz w:val="17"/>
      <w:szCs w:val="17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Standardnpsmoodstavce"/>
    <w:link w:val="Tableofcontent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ind w:left="800" w:right="2020" w:hanging="800"/>
    </w:pPr>
    <w:rPr>
      <w:rFonts w:ascii="Arial" w:eastAsia="Arial" w:hAnsi="Arial" w:cs="Arial"/>
      <w:color w:val="6F9CBF"/>
      <w:sz w:val="17"/>
      <w:szCs w:val="17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line="254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520"/>
      <w:jc w:val="center"/>
    </w:pPr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after="80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Other0">
    <w:name w:val="Other"/>
    <w:basedOn w:val="Normln"/>
    <w:link w:val="Other"/>
    <w:pPr>
      <w:shd w:val="clear" w:color="auto" w:fill="FFFFFF"/>
      <w:spacing w:line="254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0">
    <w:name w:val="Table of contents"/>
    <w:basedOn w:val="Normln"/>
    <w:link w:val="Tableofcontents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2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10" w:line="180" w:lineRule="auto"/>
      <w:ind w:left="1780" w:right="2260"/>
    </w:pPr>
    <w:rPr>
      <w:rFonts w:ascii="Segoe UI" w:eastAsia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hyperlink" Target="https://www.silvermix.cz/certifikaty-a-podmink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ilvermix.cz/certifikaty-a-podmink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Kateřina, Todorovová</dc:creator>
  <cp:lastModifiedBy>Kateřina, Todorovová</cp:lastModifiedBy>
  <cp:revision>2</cp:revision>
  <dcterms:created xsi:type="dcterms:W3CDTF">2020-09-17T11:09:00Z</dcterms:created>
  <dcterms:modified xsi:type="dcterms:W3CDTF">2020-09-17T11:09:00Z</dcterms:modified>
</cp:coreProperties>
</file>