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F68D" w14:textId="685C9968" w:rsidR="00DE199E" w:rsidRDefault="00560CBD">
      <w:pPr>
        <w:widowControl w:val="0"/>
        <w:rPr>
          <w:rFonts w:ascii="Calibri" w:hAnsi="Calibri" w:cs="Arial"/>
          <w:b/>
          <w:snapToGrid w:val="0"/>
          <w:sz w:val="24"/>
          <w:szCs w:val="24"/>
        </w:rPr>
      </w:pPr>
      <w:r>
        <w:rPr>
          <w:rFonts w:ascii="Arial" w:hAnsi="Arial" w:cs="Arial"/>
          <w:b/>
          <w:noProof/>
        </w:rPr>
        <w:drawing>
          <wp:inline distT="0" distB="0" distL="0" distR="0" wp14:anchorId="79505D67" wp14:editId="014E867A">
            <wp:extent cx="2514600" cy="400050"/>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00050"/>
                    </a:xfrm>
                    <a:prstGeom prst="rect">
                      <a:avLst/>
                    </a:prstGeom>
                    <a:noFill/>
                    <a:ln>
                      <a:noFill/>
                    </a:ln>
                  </pic:spPr>
                </pic:pic>
              </a:graphicData>
            </a:graphic>
          </wp:inline>
        </w:drawing>
      </w:r>
      <w:r w:rsidR="003D6741">
        <w:rPr>
          <w:rFonts w:ascii="Calibri" w:hAnsi="Calibri" w:cs="Arial"/>
          <w:b/>
          <w:snapToGrid w:val="0"/>
          <w:sz w:val="24"/>
          <w:szCs w:val="24"/>
        </w:rPr>
        <w:t xml:space="preserve">                                                          ID 14848</w:t>
      </w:r>
    </w:p>
    <w:p w14:paraId="5C596845" w14:textId="77777777" w:rsidR="00DE199E" w:rsidRDefault="00DE199E">
      <w:pPr>
        <w:widowControl w:val="0"/>
        <w:rPr>
          <w:rFonts w:ascii="Calibri" w:hAnsi="Calibri" w:cs="Arial"/>
          <w:b/>
          <w:snapToGrid w:val="0"/>
          <w:sz w:val="24"/>
          <w:szCs w:val="24"/>
        </w:rPr>
      </w:pPr>
      <w:r>
        <w:rPr>
          <w:rFonts w:ascii="Calibri" w:hAnsi="Calibri" w:cs="Arial"/>
          <w:b/>
          <w:snapToGrid w:val="0"/>
          <w:sz w:val="24"/>
          <w:szCs w:val="24"/>
        </w:rPr>
        <w:t>čj. ………</w:t>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r>
      <w:r>
        <w:rPr>
          <w:rFonts w:ascii="Calibri" w:hAnsi="Calibri" w:cs="Arial"/>
          <w:b/>
          <w:snapToGrid w:val="0"/>
          <w:sz w:val="24"/>
          <w:szCs w:val="24"/>
        </w:rPr>
        <w:tab/>
        <w:t xml:space="preserve">     </w:t>
      </w:r>
    </w:p>
    <w:p w14:paraId="6D02123B" w14:textId="77777777" w:rsidR="00DE199E" w:rsidRDefault="00DE199E">
      <w:pPr>
        <w:widowControl w:val="0"/>
        <w:rPr>
          <w:rFonts w:ascii="Calibri" w:hAnsi="Calibri" w:cs="Arial"/>
          <w:snapToGrid w:val="0"/>
          <w:sz w:val="24"/>
          <w:szCs w:val="24"/>
        </w:rPr>
      </w:pPr>
    </w:p>
    <w:p w14:paraId="0382423F" w14:textId="77777777" w:rsidR="00DE199E" w:rsidRDefault="00DE199E">
      <w:pPr>
        <w:widowControl w:val="0"/>
        <w:jc w:val="both"/>
        <w:rPr>
          <w:rFonts w:ascii="Calibri" w:hAnsi="Calibri" w:cs="Arial"/>
          <w:snapToGrid w:val="0"/>
          <w:sz w:val="24"/>
          <w:szCs w:val="24"/>
        </w:rPr>
      </w:pPr>
      <w:r>
        <w:rPr>
          <w:rFonts w:ascii="Calibri" w:hAnsi="Calibri" w:cs="Arial"/>
          <w:b/>
          <w:snapToGrid w:val="0"/>
          <w:sz w:val="24"/>
          <w:szCs w:val="24"/>
        </w:rPr>
        <w:t>Národní divadlo</w:t>
      </w:r>
      <w:r>
        <w:rPr>
          <w:rFonts w:ascii="Calibri" w:hAnsi="Calibri" w:cs="Arial"/>
          <w:snapToGrid w:val="0"/>
          <w:sz w:val="24"/>
          <w:szCs w:val="24"/>
        </w:rPr>
        <w:t xml:space="preserve"> </w:t>
      </w:r>
    </w:p>
    <w:p w14:paraId="37341213"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se sídlem Ostrovní 1, 112 30 Praha 1</w:t>
      </w:r>
    </w:p>
    <w:p w14:paraId="63A63CAA"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 xml:space="preserve">IČ: 00023337                                               </w:t>
      </w:r>
    </w:p>
    <w:p w14:paraId="7B7236D2"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DIČ: CZ00023337</w:t>
      </w:r>
    </w:p>
    <w:p w14:paraId="67AE1A29"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zastoupené</w:t>
      </w:r>
      <w:r w:rsidR="00560CBD">
        <w:rPr>
          <w:rFonts w:ascii="Calibri" w:hAnsi="Calibri" w:cs="Arial"/>
          <w:snapToGrid w:val="0"/>
          <w:sz w:val="24"/>
          <w:szCs w:val="24"/>
        </w:rPr>
        <w:t xml:space="preserve"> Prof. MgA. Janem Burianem, ředitelem ND</w:t>
      </w:r>
    </w:p>
    <w:p w14:paraId="1D2E8B1C"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(dále jen ND)</w:t>
      </w:r>
    </w:p>
    <w:p w14:paraId="1D9B8073"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a</w:t>
      </w:r>
    </w:p>
    <w:p w14:paraId="719B75FE" w14:textId="77777777" w:rsidR="00DE199E" w:rsidRDefault="00DE199E">
      <w:pPr>
        <w:widowControl w:val="0"/>
        <w:ind w:left="720" w:hanging="720"/>
        <w:rPr>
          <w:rFonts w:ascii="Calibri" w:hAnsi="Calibri" w:cs="Arial"/>
          <w:snapToGrid w:val="0"/>
          <w:sz w:val="24"/>
          <w:szCs w:val="24"/>
        </w:rPr>
      </w:pPr>
      <w:r>
        <w:rPr>
          <w:rFonts w:ascii="Calibri" w:hAnsi="Calibri" w:cs="Arial"/>
          <w:snapToGrid w:val="0"/>
          <w:sz w:val="24"/>
          <w:szCs w:val="24"/>
        </w:rPr>
        <w:t xml:space="preserve">pan        </w:t>
      </w:r>
      <w:r w:rsidR="00560CBD">
        <w:rPr>
          <w:rFonts w:ascii="Calibri" w:hAnsi="Calibri" w:cs="Arial"/>
          <w:snapToGrid w:val="0"/>
          <w:sz w:val="24"/>
          <w:szCs w:val="24"/>
        </w:rPr>
        <w:tab/>
      </w:r>
      <w:r w:rsidR="00560CBD">
        <w:rPr>
          <w:rFonts w:ascii="Calibri" w:hAnsi="Calibri" w:cs="Arial"/>
          <w:snapToGrid w:val="0"/>
          <w:sz w:val="24"/>
          <w:szCs w:val="24"/>
        </w:rPr>
        <w:tab/>
      </w:r>
      <w:r w:rsidR="00560CBD">
        <w:rPr>
          <w:rFonts w:ascii="Calibri" w:hAnsi="Calibri" w:cs="Arial"/>
          <w:snapToGrid w:val="0"/>
          <w:sz w:val="24"/>
          <w:szCs w:val="24"/>
        </w:rPr>
        <w:tab/>
      </w:r>
      <w:r w:rsidR="00560CBD" w:rsidRPr="00560CBD">
        <w:rPr>
          <w:rFonts w:ascii="Calibri" w:hAnsi="Calibri" w:cs="Arial"/>
          <w:b/>
          <w:snapToGrid w:val="0"/>
          <w:sz w:val="24"/>
          <w:szCs w:val="24"/>
        </w:rPr>
        <w:t>Ing. David Krejčík, KBK Systems</w:t>
      </w:r>
      <w:r>
        <w:rPr>
          <w:rFonts w:ascii="Calibri" w:hAnsi="Calibri" w:cs="Arial"/>
          <w:snapToGrid w:val="0"/>
          <w:sz w:val="24"/>
          <w:szCs w:val="24"/>
        </w:rPr>
        <w:t xml:space="preserve">  </w:t>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p>
    <w:p w14:paraId="740A96A5" w14:textId="77777777" w:rsidR="00DE199E" w:rsidRDefault="00DE199E">
      <w:pPr>
        <w:widowControl w:val="0"/>
        <w:rPr>
          <w:rFonts w:ascii="Calibri" w:hAnsi="Calibri"/>
          <w:snapToGrid w:val="0"/>
          <w:sz w:val="24"/>
          <w:szCs w:val="24"/>
        </w:rPr>
      </w:pPr>
      <w:r>
        <w:rPr>
          <w:rFonts w:ascii="Calibri" w:hAnsi="Calibri"/>
          <w:snapToGrid w:val="0"/>
          <w:sz w:val="24"/>
          <w:szCs w:val="24"/>
        </w:rPr>
        <w:t xml:space="preserve">bydliště/místo podnikání :  </w:t>
      </w:r>
      <w:r>
        <w:rPr>
          <w:rFonts w:ascii="Calibri" w:hAnsi="Calibri"/>
          <w:snapToGrid w:val="0"/>
          <w:sz w:val="24"/>
          <w:szCs w:val="24"/>
        </w:rPr>
        <w:tab/>
      </w:r>
      <w:r w:rsidR="00560CBD">
        <w:rPr>
          <w:rFonts w:ascii="Calibri" w:hAnsi="Calibri"/>
          <w:snapToGrid w:val="0"/>
          <w:sz w:val="24"/>
          <w:szCs w:val="24"/>
        </w:rPr>
        <w:t>U smaltovny 25</w:t>
      </w:r>
      <w:r>
        <w:rPr>
          <w:rFonts w:ascii="Calibri" w:hAnsi="Calibri"/>
          <w:snapToGrid w:val="0"/>
          <w:sz w:val="24"/>
          <w:szCs w:val="24"/>
        </w:rPr>
        <w:tab/>
      </w:r>
    </w:p>
    <w:p w14:paraId="55421E11" w14:textId="77777777" w:rsidR="00DE199E" w:rsidRDefault="00DE199E">
      <w:pPr>
        <w:widowControl w:val="0"/>
        <w:rPr>
          <w:rFonts w:ascii="Calibri" w:hAnsi="Calibri"/>
          <w:snapToGrid w:val="0"/>
          <w:sz w:val="24"/>
          <w:szCs w:val="24"/>
        </w:rPr>
      </w:pPr>
      <w:r>
        <w:rPr>
          <w:rFonts w:ascii="Calibri" w:hAnsi="Calibri"/>
          <w:snapToGrid w:val="0"/>
          <w:sz w:val="24"/>
          <w:szCs w:val="24"/>
        </w:rPr>
        <w:t>IČ:</w:t>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sidR="00560CBD">
        <w:rPr>
          <w:rFonts w:ascii="Calibri" w:hAnsi="Calibri"/>
          <w:snapToGrid w:val="0"/>
          <w:sz w:val="24"/>
          <w:szCs w:val="24"/>
        </w:rPr>
        <w:t>13792768</w:t>
      </w:r>
    </w:p>
    <w:p w14:paraId="64886231" w14:textId="7FEA9C09" w:rsidR="00DE199E" w:rsidRDefault="00DE199E">
      <w:pPr>
        <w:widowControl w:val="0"/>
        <w:rPr>
          <w:rFonts w:ascii="Calibri" w:hAnsi="Calibri"/>
          <w:snapToGrid w:val="0"/>
          <w:sz w:val="24"/>
          <w:szCs w:val="24"/>
        </w:rPr>
      </w:pPr>
      <w:r>
        <w:rPr>
          <w:rFonts w:ascii="Calibri" w:hAnsi="Calibri"/>
          <w:snapToGrid w:val="0"/>
          <w:sz w:val="24"/>
          <w:szCs w:val="24"/>
        </w:rPr>
        <w:t>bank. účet:</w:t>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sidR="005D11D9" w:rsidRPr="005D11D9">
        <w:rPr>
          <w:rFonts w:ascii="Calibri" w:hAnsi="Calibri"/>
          <w:snapToGrid w:val="0"/>
          <w:sz w:val="24"/>
          <w:szCs w:val="24"/>
          <w:highlight w:val="black"/>
        </w:rPr>
        <w:t>xxxxxxxxxxxxxxxxxxxxxxxxxxxxx</w:t>
      </w:r>
    </w:p>
    <w:p w14:paraId="5F2BE0D8" w14:textId="77777777" w:rsidR="00DE199E" w:rsidRDefault="00560CBD">
      <w:pPr>
        <w:widowControl w:val="0"/>
        <w:jc w:val="both"/>
        <w:rPr>
          <w:rFonts w:ascii="Calibri" w:hAnsi="Calibri" w:cs="Arial"/>
          <w:snapToGrid w:val="0"/>
          <w:sz w:val="24"/>
          <w:szCs w:val="24"/>
        </w:rPr>
      </w:pPr>
      <w:r>
        <w:rPr>
          <w:rFonts w:ascii="Calibri" w:hAnsi="Calibri" w:cs="Arial"/>
          <w:snapToGrid w:val="0"/>
          <w:sz w:val="24"/>
          <w:szCs w:val="24"/>
        </w:rPr>
        <w:t>N</w:t>
      </w:r>
      <w:r w:rsidR="00DE199E">
        <w:rPr>
          <w:rFonts w:ascii="Calibri" w:hAnsi="Calibri" w:cs="Arial"/>
          <w:snapToGrid w:val="0"/>
          <w:sz w:val="24"/>
          <w:szCs w:val="24"/>
        </w:rPr>
        <w:t>eplátce DPH</w:t>
      </w:r>
    </w:p>
    <w:p w14:paraId="315D9FA7" w14:textId="77777777" w:rsidR="00560CBD" w:rsidRDefault="00560CBD">
      <w:pPr>
        <w:widowControl w:val="0"/>
        <w:jc w:val="both"/>
        <w:rPr>
          <w:rFonts w:ascii="Calibri" w:hAnsi="Calibri" w:cs="Arial"/>
          <w:snapToGrid w:val="0"/>
          <w:sz w:val="24"/>
          <w:szCs w:val="24"/>
        </w:rPr>
      </w:pPr>
      <w:r>
        <w:rPr>
          <w:rFonts w:ascii="Calibri" w:hAnsi="Calibri" w:cs="Arial"/>
          <w:snapToGrid w:val="0"/>
          <w:sz w:val="24"/>
          <w:szCs w:val="24"/>
        </w:rPr>
        <w:t>daňový domicil</w:t>
      </w:r>
      <w:r>
        <w:rPr>
          <w:rFonts w:ascii="Calibri" w:hAnsi="Calibri" w:cs="Arial"/>
          <w:snapToGrid w:val="0"/>
          <w:sz w:val="24"/>
          <w:szCs w:val="24"/>
        </w:rPr>
        <w:tab/>
      </w:r>
      <w:r>
        <w:rPr>
          <w:rFonts w:ascii="Calibri" w:hAnsi="Calibri" w:cs="Arial"/>
          <w:snapToGrid w:val="0"/>
          <w:sz w:val="24"/>
          <w:szCs w:val="24"/>
        </w:rPr>
        <w:tab/>
        <w:t>Česká republika</w:t>
      </w:r>
    </w:p>
    <w:p w14:paraId="6FC293B2"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 dále jen externí spolupracovník)</w:t>
      </w:r>
    </w:p>
    <w:p w14:paraId="16A8FF30" w14:textId="77777777" w:rsidR="00DE199E" w:rsidRDefault="00DE199E">
      <w:pPr>
        <w:widowControl w:val="0"/>
        <w:jc w:val="both"/>
        <w:rPr>
          <w:rFonts w:ascii="Calibri" w:hAnsi="Calibri" w:cs="Arial"/>
          <w:snapToGrid w:val="0"/>
          <w:sz w:val="24"/>
          <w:szCs w:val="24"/>
        </w:rPr>
      </w:pPr>
    </w:p>
    <w:p w14:paraId="6C52A116" w14:textId="77777777" w:rsidR="00DE199E" w:rsidRDefault="00DE199E">
      <w:pPr>
        <w:widowControl w:val="0"/>
        <w:rPr>
          <w:rFonts w:ascii="Calibri" w:hAnsi="Calibri" w:cs="Arial"/>
          <w:szCs w:val="24"/>
        </w:rPr>
      </w:pPr>
      <w:r>
        <w:rPr>
          <w:rFonts w:ascii="Calibri" w:hAnsi="Calibri" w:cs="Arial"/>
          <w:szCs w:val="24"/>
        </w:rPr>
        <w:t>uzavírají na základě § 1746 odst. 2 zákona č.89/2012 Sb., občanský zákoník</w:t>
      </w:r>
      <w:r>
        <w:rPr>
          <w:rFonts w:ascii="Calibri" w:hAnsi="Calibri" w:cs="Arial"/>
          <w:snapToGrid w:val="0"/>
          <w:sz w:val="24"/>
          <w:szCs w:val="24"/>
        </w:rPr>
        <w:br/>
      </w:r>
      <w:r>
        <w:rPr>
          <w:rFonts w:ascii="Calibri" w:hAnsi="Calibri" w:cs="Arial"/>
          <w:szCs w:val="24"/>
        </w:rPr>
        <w:t xml:space="preserve">                                    </w:t>
      </w:r>
    </w:p>
    <w:p w14:paraId="38FAC23A" w14:textId="77777777" w:rsidR="00DE199E" w:rsidRDefault="00B80E7F">
      <w:pPr>
        <w:pStyle w:val="Nadpis1"/>
        <w:rPr>
          <w:rFonts w:ascii="Calibri" w:hAnsi="Calibri" w:cs="Arial"/>
          <w:sz w:val="28"/>
          <w:szCs w:val="28"/>
        </w:rPr>
      </w:pPr>
      <w:r>
        <w:rPr>
          <w:rFonts w:ascii="Calibri" w:hAnsi="Calibri" w:cs="Arial"/>
          <w:sz w:val="28"/>
          <w:szCs w:val="28"/>
        </w:rPr>
        <w:t xml:space="preserve">RÁMCOVOU </w:t>
      </w:r>
      <w:r w:rsidR="00DE199E">
        <w:rPr>
          <w:rFonts w:ascii="Calibri" w:hAnsi="Calibri" w:cs="Arial"/>
          <w:sz w:val="28"/>
          <w:szCs w:val="28"/>
        </w:rPr>
        <w:t>SMLOUVU O EXTERNÍ VÝPOMOCI</w:t>
      </w:r>
    </w:p>
    <w:p w14:paraId="06FA0104" w14:textId="77777777" w:rsidR="00DE199E" w:rsidRDefault="00DE199E">
      <w:pPr>
        <w:widowControl w:val="0"/>
        <w:jc w:val="both"/>
        <w:rPr>
          <w:rFonts w:ascii="Calibri" w:hAnsi="Calibri" w:cs="Arial"/>
          <w:b/>
          <w:snapToGrid w:val="0"/>
          <w:sz w:val="24"/>
          <w:szCs w:val="24"/>
          <w:u w:val="single"/>
        </w:rPr>
      </w:pPr>
      <w:r>
        <w:rPr>
          <w:rFonts w:ascii="Calibri" w:hAnsi="Calibri" w:cs="Arial"/>
          <w:b/>
          <w:snapToGrid w:val="0"/>
          <w:sz w:val="24"/>
          <w:szCs w:val="24"/>
          <w:u w:val="single"/>
        </w:rPr>
        <w:t>Článek 1</w:t>
      </w:r>
    </w:p>
    <w:p w14:paraId="4005B70B"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 xml:space="preserve">Předmětem smlouvy je </w:t>
      </w:r>
      <w:r>
        <w:rPr>
          <w:rFonts w:ascii="Calibri" w:hAnsi="Calibri" w:cs="Arial"/>
          <w:b/>
          <w:snapToGrid w:val="0"/>
          <w:sz w:val="24"/>
          <w:szCs w:val="24"/>
        </w:rPr>
        <w:t xml:space="preserve">– externí spolupráce – </w:t>
      </w:r>
      <w:r w:rsidR="00B80E7F">
        <w:rPr>
          <w:rFonts w:ascii="Calibri" w:hAnsi="Calibri" w:cs="Arial"/>
          <w:b/>
          <w:snapToGrid w:val="0"/>
          <w:sz w:val="24"/>
          <w:szCs w:val="24"/>
        </w:rPr>
        <w:t xml:space="preserve">pyrotechnické a další zvláštní efekty </w:t>
      </w:r>
      <w:r w:rsidR="00B80E7F">
        <w:rPr>
          <w:rFonts w:ascii="Calibri" w:hAnsi="Calibri" w:cs="Arial"/>
          <w:snapToGrid w:val="0"/>
          <w:sz w:val="24"/>
          <w:szCs w:val="24"/>
        </w:rPr>
        <w:t xml:space="preserve">v souladu s realizací inscenací souborů opery, činohry, baletu a Laterny magiky </w:t>
      </w:r>
      <w:r>
        <w:rPr>
          <w:rFonts w:ascii="Calibri" w:hAnsi="Calibri" w:cs="Arial"/>
          <w:snapToGrid w:val="0"/>
          <w:sz w:val="24"/>
          <w:szCs w:val="24"/>
        </w:rPr>
        <w:t> rámci činnosti N</w:t>
      </w:r>
      <w:r w:rsidR="00B80E7F">
        <w:rPr>
          <w:rFonts w:ascii="Calibri" w:hAnsi="Calibri" w:cs="Arial"/>
          <w:snapToGrid w:val="0"/>
          <w:sz w:val="24"/>
          <w:szCs w:val="24"/>
        </w:rPr>
        <w:t>árodního divadla</w:t>
      </w:r>
      <w:r w:rsidR="00AF74E6">
        <w:rPr>
          <w:rFonts w:ascii="Calibri" w:hAnsi="Calibri" w:cs="Arial"/>
          <w:snapToGrid w:val="0"/>
          <w:sz w:val="24"/>
          <w:szCs w:val="24"/>
        </w:rPr>
        <w:t xml:space="preserve"> na mateřských scénách ND i hostování v rámci ČR i v zahraničí.</w:t>
      </w:r>
    </w:p>
    <w:p w14:paraId="364BEA80"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Externí spolupracovník bude po dobu přípravy inscenace</w:t>
      </w:r>
      <w:r w:rsidR="00B80E7F">
        <w:rPr>
          <w:rFonts w:ascii="Calibri" w:hAnsi="Calibri" w:cs="Arial"/>
          <w:snapToGrid w:val="0"/>
          <w:sz w:val="24"/>
          <w:szCs w:val="24"/>
        </w:rPr>
        <w:t xml:space="preserve"> zajišťovat přípravu, výrobu, schvalovací procesy, zkoušky a realizaci pyrotechnických a dalších zvláštních efektů dle požadavku inscenátorů jednotlivých titulů.</w:t>
      </w:r>
      <w:r>
        <w:rPr>
          <w:rFonts w:ascii="Calibri" w:hAnsi="Calibri" w:cs="Arial"/>
          <w:snapToGrid w:val="0"/>
          <w:sz w:val="24"/>
          <w:szCs w:val="24"/>
        </w:rPr>
        <w:t xml:space="preserve"> </w:t>
      </w:r>
    </w:p>
    <w:p w14:paraId="1970119C" w14:textId="77777777" w:rsidR="00DE199E" w:rsidRDefault="00DE199E">
      <w:pPr>
        <w:widowControl w:val="0"/>
        <w:jc w:val="both"/>
        <w:rPr>
          <w:rFonts w:ascii="Calibri" w:hAnsi="Calibri" w:cs="Arial"/>
          <w:b/>
          <w:snapToGrid w:val="0"/>
          <w:sz w:val="24"/>
          <w:szCs w:val="24"/>
          <w:u w:val="single"/>
        </w:rPr>
      </w:pPr>
    </w:p>
    <w:p w14:paraId="7B6050BB" w14:textId="77777777" w:rsidR="00DE199E" w:rsidRDefault="00DE199E">
      <w:pPr>
        <w:widowControl w:val="0"/>
        <w:jc w:val="both"/>
        <w:rPr>
          <w:rFonts w:ascii="Calibri" w:hAnsi="Calibri" w:cs="Arial"/>
          <w:b/>
          <w:snapToGrid w:val="0"/>
          <w:sz w:val="24"/>
          <w:szCs w:val="24"/>
          <w:u w:val="single"/>
        </w:rPr>
      </w:pPr>
      <w:r>
        <w:rPr>
          <w:rFonts w:ascii="Calibri" w:hAnsi="Calibri" w:cs="Arial"/>
          <w:b/>
          <w:snapToGrid w:val="0"/>
          <w:sz w:val="24"/>
          <w:szCs w:val="24"/>
          <w:u w:val="single"/>
        </w:rPr>
        <w:t>Článek 2</w:t>
      </w:r>
    </w:p>
    <w:p w14:paraId="39060594"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ND se zavazuje vytvořit potřebné předpoklady pro externí výpomoc dle čl.1.</w:t>
      </w:r>
    </w:p>
    <w:p w14:paraId="3710CB1E" w14:textId="77777777" w:rsidR="00DE199E" w:rsidRDefault="00DE199E">
      <w:pPr>
        <w:widowControl w:val="0"/>
        <w:jc w:val="both"/>
        <w:rPr>
          <w:rFonts w:ascii="Calibri" w:hAnsi="Calibri" w:cs="Arial"/>
          <w:snapToGrid w:val="0"/>
          <w:sz w:val="24"/>
          <w:szCs w:val="24"/>
        </w:rPr>
      </w:pPr>
    </w:p>
    <w:p w14:paraId="1A4D1B43" w14:textId="77777777" w:rsidR="00DE199E" w:rsidRDefault="00DE199E">
      <w:pPr>
        <w:widowControl w:val="0"/>
        <w:jc w:val="both"/>
        <w:rPr>
          <w:rFonts w:ascii="Calibri" w:hAnsi="Calibri" w:cs="Arial"/>
          <w:b/>
          <w:snapToGrid w:val="0"/>
          <w:sz w:val="24"/>
          <w:szCs w:val="24"/>
          <w:u w:val="single"/>
        </w:rPr>
      </w:pPr>
      <w:r>
        <w:rPr>
          <w:rFonts w:ascii="Calibri" w:hAnsi="Calibri" w:cs="Arial"/>
          <w:b/>
          <w:snapToGrid w:val="0"/>
          <w:sz w:val="24"/>
          <w:szCs w:val="24"/>
          <w:u w:val="single"/>
        </w:rPr>
        <w:t>Článek 3</w:t>
      </w:r>
    </w:p>
    <w:p w14:paraId="1B1B9942" w14:textId="77777777" w:rsidR="00DE199E" w:rsidRDefault="00B80E7F">
      <w:pPr>
        <w:widowControl w:val="0"/>
        <w:jc w:val="both"/>
        <w:rPr>
          <w:rFonts w:ascii="Calibri" w:hAnsi="Calibri" w:cs="Arial"/>
          <w:snapToGrid w:val="0"/>
          <w:sz w:val="24"/>
          <w:szCs w:val="24"/>
        </w:rPr>
      </w:pPr>
      <w:r>
        <w:rPr>
          <w:rFonts w:ascii="Calibri" w:hAnsi="Calibri" w:cs="Arial"/>
          <w:snapToGrid w:val="0"/>
          <w:sz w:val="24"/>
          <w:szCs w:val="24"/>
        </w:rPr>
        <w:t>E</w:t>
      </w:r>
      <w:r w:rsidR="00DE199E">
        <w:rPr>
          <w:rFonts w:ascii="Calibri" w:hAnsi="Calibri" w:cs="Arial"/>
          <w:snapToGrid w:val="0"/>
          <w:sz w:val="24"/>
          <w:szCs w:val="24"/>
        </w:rPr>
        <w:t>xterní výpomoc se uskuteční v</w:t>
      </w:r>
      <w:r>
        <w:rPr>
          <w:rFonts w:ascii="Calibri" w:hAnsi="Calibri" w:cs="Arial"/>
          <w:snapToGrid w:val="0"/>
          <w:sz w:val="24"/>
          <w:szCs w:val="24"/>
        </w:rPr>
        <w:t xml:space="preserve"> termínech vycházejících z repertoárového plánu souborů Národního divadla dle konkrétních požadavků a dle pokynů </w:t>
      </w:r>
      <w:r w:rsidR="00DE199E">
        <w:rPr>
          <w:rFonts w:ascii="Calibri" w:hAnsi="Calibri" w:cs="Arial"/>
          <w:snapToGrid w:val="0"/>
          <w:sz w:val="24"/>
          <w:szCs w:val="24"/>
        </w:rPr>
        <w:t xml:space="preserve">pověřených zaměstnanců </w:t>
      </w:r>
      <w:r>
        <w:rPr>
          <w:rFonts w:ascii="Calibri" w:hAnsi="Calibri" w:cs="Arial"/>
          <w:snapToGrid w:val="0"/>
          <w:sz w:val="24"/>
          <w:szCs w:val="24"/>
        </w:rPr>
        <w:t>těchto souborů – produkční, asistenti režie, inspicienti</w:t>
      </w:r>
      <w:r w:rsidR="00CF50AE">
        <w:rPr>
          <w:rFonts w:ascii="Calibri" w:hAnsi="Calibri" w:cs="Arial"/>
          <w:snapToGrid w:val="0"/>
          <w:sz w:val="24"/>
          <w:szCs w:val="24"/>
        </w:rPr>
        <w:t>, technika BOZ Národního divadla, případně dalších pracovníků uměleckých správ.</w:t>
      </w:r>
    </w:p>
    <w:p w14:paraId="0CD32A22" w14:textId="77777777" w:rsidR="00DE199E" w:rsidRDefault="00DE199E">
      <w:pPr>
        <w:widowControl w:val="0"/>
        <w:jc w:val="both"/>
        <w:rPr>
          <w:rFonts w:ascii="Calibri" w:hAnsi="Calibri" w:cs="Arial"/>
          <w:snapToGrid w:val="0"/>
          <w:sz w:val="24"/>
          <w:szCs w:val="24"/>
        </w:rPr>
      </w:pPr>
    </w:p>
    <w:p w14:paraId="1C0413D3" w14:textId="77777777" w:rsidR="00DE199E" w:rsidRDefault="00DE199E">
      <w:pPr>
        <w:widowControl w:val="0"/>
        <w:jc w:val="both"/>
        <w:rPr>
          <w:rFonts w:ascii="Calibri" w:hAnsi="Calibri" w:cs="Arial"/>
          <w:b/>
          <w:snapToGrid w:val="0"/>
          <w:sz w:val="24"/>
          <w:szCs w:val="24"/>
          <w:u w:val="single"/>
        </w:rPr>
      </w:pPr>
      <w:r>
        <w:rPr>
          <w:rFonts w:ascii="Calibri" w:hAnsi="Calibri" w:cs="Arial"/>
          <w:b/>
          <w:snapToGrid w:val="0"/>
          <w:sz w:val="24"/>
          <w:szCs w:val="24"/>
          <w:u w:val="single"/>
        </w:rPr>
        <w:t>Článek 4</w:t>
      </w:r>
    </w:p>
    <w:p w14:paraId="63794557"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1.</w:t>
      </w:r>
      <w:r>
        <w:rPr>
          <w:rFonts w:ascii="Calibri" w:hAnsi="Calibri" w:cs="Arial"/>
          <w:snapToGrid w:val="0"/>
          <w:sz w:val="24"/>
          <w:szCs w:val="24"/>
        </w:rPr>
        <w:tab/>
        <w:t>Externí spolupracovník se zavazuje, že se zúčastní dle potřeby  všech zkoušek a prací souvisících s</w:t>
      </w:r>
      <w:r w:rsidR="00CF50AE">
        <w:rPr>
          <w:rFonts w:ascii="Calibri" w:hAnsi="Calibri" w:cs="Arial"/>
          <w:snapToGrid w:val="0"/>
          <w:sz w:val="24"/>
          <w:szCs w:val="24"/>
        </w:rPr>
        <w:t> </w:t>
      </w:r>
      <w:r>
        <w:rPr>
          <w:rFonts w:ascii="Calibri" w:hAnsi="Calibri" w:cs="Arial"/>
          <w:snapToGrid w:val="0"/>
          <w:sz w:val="24"/>
          <w:szCs w:val="24"/>
        </w:rPr>
        <w:t>inscenací</w:t>
      </w:r>
      <w:r w:rsidR="00CF50AE">
        <w:rPr>
          <w:rFonts w:ascii="Calibri" w:hAnsi="Calibri" w:cs="Arial"/>
          <w:snapToGrid w:val="0"/>
          <w:sz w:val="24"/>
          <w:szCs w:val="24"/>
        </w:rPr>
        <w:t xml:space="preserve">, ve které jsou požadovány speciální efekty dle předmětu této smlouvy, a to </w:t>
      </w:r>
      <w:r>
        <w:rPr>
          <w:rFonts w:ascii="Calibri" w:hAnsi="Calibri" w:cs="Arial"/>
          <w:snapToGrid w:val="0"/>
          <w:sz w:val="24"/>
          <w:szCs w:val="24"/>
        </w:rPr>
        <w:t xml:space="preserve">dle pokynů a dle dispozic pověřeného zaměstnance ND.  </w:t>
      </w:r>
    </w:p>
    <w:p w14:paraId="3E660395"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2.</w:t>
      </w:r>
      <w:r>
        <w:rPr>
          <w:rFonts w:ascii="Calibri" w:hAnsi="Calibri" w:cs="Arial"/>
          <w:snapToGrid w:val="0"/>
          <w:sz w:val="24"/>
          <w:szCs w:val="24"/>
        </w:rPr>
        <w:tab/>
        <w:t>Externí spolupracovník se zavazuje podřídit se pracovnímu řádu ND a pokynům pověřených zaměstnanců ND, případně externích spolupracovníků ND.</w:t>
      </w:r>
    </w:p>
    <w:p w14:paraId="6AA430F6" w14:textId="756C21C6"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3.</w:t>
      </w:r>
      <w:r>
        <w:rPr>
          <w:rFonts w:ascii="Calibri" w:hAnsi="Calibri" w:cs="Arial"/>
          <w:snapToGrid w:val="0"/>
          <w:sz w:val="24"/>
          <w:szCs w:val="24"/>
        </w:rPr>
        <w:tab/>
        <w:t xml:space="preserve">Porušení povinností vyplývajících z článku 4. odst. 2 je považováno za hrubé porušení smlouvy a v takovém případě má ND právo od této smlouvy odstoupit. Odstoupení nabývá účinnosti jeho sdělením externímu spolupracovníkovi. </w:t>
      </w:r>
      <w:r w:rsidR="009942E7">
        <w:rPr>
          <w:rFonts w:ascii="Calibri" w:hAnsi="Calibri" w:cs="Arial"/>
          <w:snapToGrid w:val="0"/>
          <w:sz w:val="24"/>
          <w:szCs w:val="24"/>
        </w:rPr>
        <w:br/>
        <w:t xml:space="preserve">4. Externí spolupracovník </w:t>
      </w:r>
      <w:r w:rsidR="00216F46">
        <w:rPr>
          <w:rFonts w:ascii="Calibri" w:hAnsi="Calibri" w:cs="Arial"/>
          <w:snapToGrid w:val="0"/>
          <w:sz w:val="24"/>
          <w:szCs w:val="24"/>
        </w:rPr>
        <w:t>prohlašuje, že</w:t>
      </w:r>
      <w:r w:rsidR="009942E7">
        <w:rPr>
          <w:rFonts w:ascii="Calibri" w:hAnsi="Calibri" w:cs="Arial"/>
          <w:snapToGrid w:val="0"/>
          <w:sz w:val="24"/>
          <w:szCs w:val="24"/>
        </w:rPr>
        <w:t xml:space="preserve"> uzavř</w:t>
      </w:r>
      <w:r w:rsidR="00216F46">
        <w:rPr>
          <w:rFonts w:ascii="Calibri" w:hAnsi="Calibri" w:cs="Arial"/>
          <w:snapToGrid w:val="0"/>
          <w:sz w:val="24"/>
          <w:szCs w:val="24"/>
        </w:rPr>
        <w:t>el</w:t>
      </w:r>
      <w:r w:rsidR="009942E7">
        <w:rPr>
          <w:rFonts w:ascii="Calibri" w:hAnsi="Calibri" w:cs="Arial"/>
          <w:snapToGrid w:val="0"/>
          <w:sz w:val="24"/>
          <w:szCs w:val="24"/>
        </w:rPr>
        <w:t xml:space="preserve"> svým jménem pojistnou smlouvu</w:t>
      </w:r>
      <w:r w:rsidR="00216F46">
        <w:rPr>
          <w:rFonts w:ascii="Calibri" w:hAnsi="Calibri" w:cs="Arial"/>
          <w:snapToGrid w:val="0"/>
          <w:sz w:val="24"/>
          <w:szCs w:val="24"/>
        </w:rPr>
        <w:t xml:space="preserve"> se společností Generali Česká pojišťovna a.s.</w:t>
      </w:r>
      <w:r w:rsidR="009942E7">
        <w:rPr>
          <w:rFonts w:ascii="Calibri" w:hAnsi="Calibri" w:cs="Arial"/>
          <w:snapToGrid w:val="0"/>
          <w:sz w:val="24"/>
          <w:szCs w:val="24"/>
        </w:rPr>
        <w:t xml:space="preserve"> </w:t>
      </w:r>
      <w:r w:rsidR="00216F46">
        <w:rPr>
          <w:rFonts w:ascii="Calibri" w:hAnsi="Calibri" w:cs="Arial"/>
          <w:snapToGrid w:val="0"/>
          <w:sz w:val="24"/>
          <w:szCs w:val="24"/>
        </w:rPr>
        <w:t>ohledně</w:t>
      </w:r>
      <w:r w:rsidR="009942E7">
        <w:rPr>
          <w:rFonts w:ascii="Calibri" w:hAnsi="Calibri" w:cs="Arial"/>
          <w:snapToGrid w:val="0"/>
          <w:sz w:val="24"/>
          <w:szCs w:val="24"/>
        </w:rPr>
        <w:t xml:space="preserve"> pojištění </w:t>
      </w:r>
      <w:r w:rsidR="00D44D66">
        <w:rPr>
          <w:rFonts w:ascii="Calibri" w:hAnsi="Calibri" w:cs="Arial"/>
          <w:snapToGrid w:val="0"/>
          <w:sz w:val="24"/>
          <w:szCs w:val="24"/>
        </w:rPr>
        <w:t xml:space="preserve">odpovědnosti za škody na </w:t>
      </w:r>
      <w:r w:rsidR="009942E7">
        <w:rPr>
          <w:rFonts w:ascii="Calibri" w:hAnsi="Calibri" w:cs="Arial"/>
          <w:snapToGrid w:val="0"/>
          <w:sz w:val="24"/>
          <w:szCs w:val="24"/>
        </w:rPr>
        <w:t>zdraví</w:t>
      </w:r>
      <w:r w:rsidR="00216F46">
        <w:rPr>
          <w:rFonts w:ascii="Calibri" w:hAnsi="Calibri" w:cs="Arial"/>
          <w:snapToGrid w:val="0"/>
          <w:sz w:val="24"/>
          <w:szCs w:val="24"/>
        </w:rPr>
        <w:t>,</w:t>
      </w:r>
      <w:r w:rsidR="009942E7">
        <w:rPr>
          <w:rFonts w:ascii="Calibri" w:hAnsi="Calibri" w:cs="Arial"/>
          <w:snapToGrid w:val="0"/>
          <w:sz w:val="24"/>
          <w:szCs w:val="24"/>
        </w:rPr>
        <w:t>majetku</w:t>
      </w:r>
      <w:r w:rsidR="00216F46">
        <w:rPr>
          <w:rFonts w:ascii="Calibri" w:hAnsi="Calibri" w:cs="Arial"/>
          <w:snapToGrid w:val="0"/>
          <w:sz w:val="24"/>
          <w:szCs w:val="24"/>
        </w:rPr>
        <w:t xml:space="preserve"> a životním prostředí</w:t>
      </w:r>
      <w:r w:rsidR="009942E7">
        <w:rPr>
          <w:rFonts w:ascii="Calibri" w:hAnsi="Calibri" w:cs="Arial"/>
          <w:snapToGrid w:val="0"/>
          <w:sz w:val="24"/>
          <w:szCs w:val="24"/>
        </w:rPr>
        <w:t xml:space="preserve"> v přiměřené výši. </w:t>
      </w:r>
      <w:r w:rsidR="00216F46">
        <w:rPr>
          <w:rFonts w:ascii="Calibri" w:hAnsi="Calibri" w:cs="Arial"/>
          <w:snapToGrid w:val="0"/>
          <w:sz w:val="24"/>
          <w:szCs w:val="24"/>
        </w:rPr>
        <w:t>Výše uvedená p</w:t>
      </w:r>
      <w:r w:rsidR="009942E7">
        <w:rPr>
          <w:rFonts w:ascii="Calibri" w:hAnsi="Calibri" w:cs="Arial"/>
          <w:snapToGrid w:val="0"/>
          <w:sz w:val="24"/>
          <w:szCs w:val="24"/>
        </w:rPr>
        <w:t xml:space="preserve">ojistná smlouva </w:t>
      </w:r>
      <w:r w:rsidR="00216F46">
        <w:rPr>
          <w:rFonts w:ascii="Calibri" w:hAnsi="Calibri" w:cs="Arial"/>
          <w:snapToGrid w:val="0"/>
          <w:sz w:val="24"/>
          <w:szCs w:val="24"/>
        </w:rPr>
        <w:t>je</w:t>
      </w:r>
      <w:r w:rsidR="009942E7">
        <w:rPr>
          <w:rFonts w:ascii="Calibri" w:hAnsi="Calibri" w:cs="Arial"/>
          <w:snapToGrid w:val="0"/>
          <w:sz w:val="24"/>
          <w:szCs w:val="24"/>
        </w:rPr>
        <w:t xml:space="preserve"> </w:t>
      </w:r>
      <w:r w:rsidR="00216F46">
        <w:rPr>
          <w:rFonts w:ascii="Calibri" w:hAnsi="Calibri" w:cs="Arial"/>
          <w:snapToGrid w:val="0"/>
          <w:sz w:val="24"/>
          <w:szCs w:val="24"/>
        </w:rPr>
        <w:t xml:space="preserve">nedílnou </w:t>
      </w:r>
      <w:r w:rsidR="009942E7">
        <w:rPr>
          <w:rFonts w:ascii="Calibri" w:hAnsi="Calibri" w:cs="Arial"/>
          <w:snapToGrid w:val="0"/>
          <w:sz w:val="24"/>
          <w:szCs w:val="24"/>
        </w:rPr>
        <w:t>součástí této smlouvy jako příloha č. 3.</w:t>
      </w:r>
    </w:p>
    <w:p w14:paraId="37F7324C" w14:textId="77777777" w:rsidR="00DE199E" w:rsidRDefault="00DE199E">
      <w:pPr>
        <w:widowControl w:val="0"/>
        <w:jc w:val="both"/>
        <w:rPr>
          <w:rFonts w:ascii="Calibri" w:hAnsi="Calibri" w:cs="Arial"/>
          <w:snapToGrid w:val="0"/>
          <w:sz w:val="24"/>
          <w:szCs w:val="24"/>
        </w:rPr>
      </w:pPr>
    </w:p>
    <w:p w14:paraId="21515ACA" w14:textId="77777777" w:rsidR="00DE199E" w:rsidRDefault="00DE199E">
      <w:pPr>
        <w:widowControl w:val="0"/>
        <w:jc w:val="both"/>
        <w:rPr>
          <w:rFonts w:ascii="Calibri" w:hAnsi="Calibri" w:cs="Arial"/>
          <w:b/>
          <w:snapToGrid w:val="0"/>
          <w:sz w:val="24"/>
          <w:szCs w:val="24"/>
          <w:u w:val="single"/>
        </w:rPr>
      </w:pPr>
      <w:r>
        <w:rPr>
          <w:rFonts w:ascii="Calibri" w:hAnsi="Calibri" w:cs="Arial"/>
          <w:b/>
          <w:snapToGrid w:val="0"/>
          <w:sz w:val="24"/>
          <w:szCs w:val="24"/>
          <w:u w:val="single"/>
        </w:rPr>
        <w:t>Článek 5</w:t>
      </w:r>
    </w:p>
    <w:p w14:paraId="4914AE4E" w14:textId="77777777" w:rsidR="00CF50AE" w:rsidRDefault="00DE199E">
      <w:pPr>
        <w:widowControl w:val="0"/>
        <w:rPr>
          <w:rFonts w:ascii="Calibri" w:hAnsi="Calibri" w:cs="Arial"/>
          <w:snapToGrid w:val="0"/>
          <w:sz w:val="24"/>
          <w:szCs w:val="24"/>
        </w:rPr>
      </w:pPr>
      <w:r>
        <w:rPr>
          <w:rFonts w:ascii="Calibri" w:hAnsi="Calibri" w:cs="Arial"/>
          <w:snapToGrid w:val="0"/>
          <w:sz w:val="24"/>
          <w:szCs w:val="24"/>
        </w:rPr>
        <w:t>1.</w:t>
      </w:r>
      <w:r>
        <w:rPr>
          <w:rFonts w:ascii="Calibri" w:hAnsi="Calibri" w:cs="Arial"/>
          <w:snapToGrid w:val="0"/>
          <w:sz w:val="24"/>
          <w:szCs w:val="24"/>
        </w:rPr>
        <w:tab/>
        <w:t>ND se zavazuje zaplatit externímu spolupracovníkovi odměnu</w:t>
      </w:r>
      <w:r w:rsidR="00CF50AE">
        <w:rPr>
          <w:rFonts w:ascii="Calibri" w:hAnsi="Calibri" w:cs="Arial"/>
          <w:snapToGrid w:val="0"/>
          <w:sz w:val="24"/>
          <w:szCs w:val="24"/>
        </w:rPr>
        <w:t xml:space="preserve"> ve výši stanovenou v objednávce, kterou umělecká správa příslušného souboru ND na každou inscenaci vystaví, a </w:t>
      </w:r>
      <w:r w:rsidR="00CF50AE">
        <w:rPr>
          <w:rFonts w:ascii="Calibri" w:hAnsi="Calibri" w:cs="Arial"/>
          <w:snapToGrid w:val="0"/>
          <w:sz w:val="24"/>
          <w:szCs w:val="24"/>
        </w:rPr>
        <w:lastRenderedPageBreak/>
        <w:t xml:space="preserve">to ve dvou </w:t>
      </w:r>
      <w:r w:rsidR="00AF74E6">
        <w:rPr>
          <w:rFonts w:ascii="Calibri" w:hAnsi="Calibri" w:cs="Arial"/>
          <w:snapToGrid w:val="0"/>
          <w:sz w:val="24"/>
          <w:szCs w:val="24"/>
        </w:rPr>
        <w:t>variantách</w:t>
      </w:r>
      <w:r w:rsidR="00CF50AE">
        <w:rPr>
          <w:rFonts w:ascii="Calibri" w:hAnsi="Calibri" w:cs="Arial"/>
          <w:snapToGrid w:val="0"/>
          <w:sz w:val="24"/>
          <w:szCs w:val="24"/>
        </w:rPr>
        <w:t xml:space="preserve">: </w:t>
      </w:r>
      <w:r w:rsidR="00CF50AE">
        <w:rPr>
          <w:rFonts w:ascii="Calibri" w:hAnsi="Calibri" w:cs="Arial"/>
          <w:snapToGrid w:val="0"/>
          <w:sz w:val="24"/>
          <w:szCs w:val="24"/>
        </w:rPr>
        <w:br/>
        <w:t>a) objednávka na přípravu pyrotechnických efektů včetně schvalovacích procesů a nazkoušení do premiéry;</w:t>
      </w:r>
    </w:p>
    <w:p w14:paraId="396FC5A5" w14:textId="77777777" w:rsidR="00DE199E" w:rsidRDefault="00CF50AE">
      <w:pPr>
        <w:widowControl w:val="0"/>
        <w:rPr>
          <w:rFonts w:ascii="Calibri" w:hAnsi="Calibri" w:cs="Arial"/>
          <w:snapToGrid w:val="0"/>
          <w:sz w:val="24"/>
          <w:szCs w:val="24"/>
        </w:rPr>
      </w:pPr>
      <w:r>
        <w:rPr>
          <w:rFonts w:ascii="Calibri" w:hAnsi="Calibri" w:cs="Arial"/>
          <w:snapToGrid w:val="0"/>
          <w:sz w:val="24"/>
          <w:szCs w:val="24"/>
        </w:rPr>
        <w:t>b) objednávka na zajištění a dodávku pyrotechnických efektů na jedno reprizové představení.</w:t>
      </w:r>
    </w:p>
    <w:p w14:paraId="0FFE2695"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2.</w:t>
      </w:r>
      <w:r>
        <w:rPr>
          <w:rFonts w:ascii="Calibri" w:hAnsi="Calibri" w:cs="Arial"/>
          <w:snapToGrid w:val="0"/>
          <w:sz w:val="24"/>
          <w:szCs w:val="24"/>
        </w:rPr>
        <w:tab/>
      </w:r>
      <w:r w:rsidR="00AF74E6" w:rsidRPr="00AF74E6">
        <w:rPr>
          <w:rFonts w:ascii="Calibri" w:hAnsi="Calibri" w:cs="Arial"/>
          <w:snapToGrid w:val="0"/>
          <w:sz w:val="24"/>
          <w:szCs w:val="24"/>
        </w:rPr>
        <w:t>Odměna je splatná dle vystaveného a řádně doručeného daňového dokladu (faktury), kdy splatnost bude činit 14 dnů ode dne, kdy byl řádně vystavený daňový doklad řádně doručen ND. Daňový doklad musí obsahovat veškeré náležitosti dle zákona č. 235/2004 Sb., o dani z přidané hodnoty. V opačném případě je ND oprávněno takový daňový doklad vrátit k doplnění chybějících údajů. Splatnost se v tomto případě počítá od data doručení opraveného daňového dokladu ND. Za okamžik uhrazení odměny se považuje datum, kdy byla předmětná částka odepsána z účtu ND.</w:t>
      </w:r>
      <w:r w:rsidR="00AF74E6" w:rsidRPr="00AF74E6">
        <w:rPr>
          <w:rFonts w:ascii="Calibri" w:hAnsi="Calibri" w:cs="Arial"/>
          <w:snapToGrid w:val="0"/>
          <w:sz w:val="24"/>
          <w:szCs w:val="24"/>
        </w:rPr>
        <w:tab/>
      </w:r>
    </w:p>
    <w:p w14:paraId="241ADB3A" w14:textId="77777777" w:rsidR="00AF74E6" w:rsidRDefault="00DE199E">
      <w:pPr>
        <w:jc w:val="both"/>
        <w:rPr>
          <w:rFonts w:ascii="Calibri" w:hAnsi="Calibri" w:cs="Arial"/>
          <w:snapToGrid w:val="0"/>
          <w:sz w:val="24"/>
          <w:szCs w:val="24"/>
        </w:rPr>
      </w:pPr>
      <w:r>
        <w:rPr>
          <w:rFonts w:ascii="Calibri" w:hAnsi="Calibri" w:cs="Arial"/>
          <w:snapToGrid w:val="0"/>
          <w:sz w:val="24"/>
          <w:szCs w:val="24"/>
        </w:rPr>
        <w:t>3.</w:t>
      </w:r>
      <w:r w:rsidR="00AF74E6">
        <w:rPr>
          <w:rFonts w:ascii="Calibri" w:hAnsi="Calibri" w:cs="Arial"/>
          <w:snapToGrid w:val="0"/>
          <w:sz w:val="24"/>
          <w:szCs w:val="24"/>
        </w:rPr>
        <w:tab/>
        <w:t>Odměna za práce spojené s přípravou premiéry dle bodu 5.1. a) bude fakturována externím spolupracovníkem do 10 dnů po premiéře inscenace, odměna za reprizová představení dle bodu 5.1.b) bude fakturována čtvrtletně.</w:t>
      </w:r>
    </w:p>
    <w:p w14:paraId="35590348" w14:textId="77777777" w:rsidR="00DE199E" w:rsidRDefault="00AF74E6">
      <w:pPr>
        <w:jc w:val="both"/>
        <w:rPr>
          <w:rFonts w:ascii="Calibri" w:hAnsi="Calibri" w:cs="Arial"/>
          <w:snapToGrid w:val="0"/>
          <w:sz w:val="24"/>
          <w:szCs w:val="24"/>
        </w:rPr>
      </w:pPr>
      <w:r>
        <w:rPr>
          <w:rFonts w:ascii="Calibri" w:hAnsi="Calibri" w:cs="Arial"/>
          <w:snapToGrid w:val="0"/>
          <w:sz w:val="24"/>
          <w:szCs w:val="24"/>
        </w:rPr>
        <w:t xml:space="preserve">5. </w:t>
      </w:r>
      <w:r>
        <w:rPr>
          <w:rFonts w:ascii="Calibri" w:hAnsi="Calibri" w:cs="Arial"/>
          <w:snapToGrid w:val="0"/>
          <w:sz w:val="24"/>
          <w:szCs w:val="24"/>
        </w:rPr>
        <w:tab/>
      </w:r>
      <w:r w:rsidR="00DE199E">
        <w:rPr>
          <w:rFonts w:ascii="Calibri" w:hAnsi="Calibri" w:cs="Arial"/>
          <w:snapToGrid w:val="0"/>
          <w:sz w:val="24"/>
          <w:szCs w:val="24"/>
        </w:rPr>
        <w:t>Odměna bude vyplacena nezdaněná a externí spolupracovník je odpovědný za její řádné zdanění.</w:t>
      </w:r>
    </w:p>
    <w:p w14:paraId="32DFB860" w14:textId="77777777" w:rsidR="00DE199E" w:rsidRDefault="00AF74E6">
      <w:pPr>
        <w:widowControl w:val="0"/>
        <w:jc w:val="both"/>
        <w:rPr>
          <w:rFonts w:ascii="Calibri" w:hAnsi="Calibri" w:cs="Arial"/>
          <w:snapToGrid w:val="0"/>
          <w:sz w:val="24"/>
          <w:szCs w:val="24"/>
        </w:rPr>
      </w:pPr>
      <w:r>
        <w:rPr>
          <w:rFonts w:ascii="Calibri" w:hAnsi="Calibri" w:cs="Arial"/>
          <w:snapToGrid w:val="0"/>
          <w:sz w:val="24"/>
          <w:szCs w:val="24"/>
        </w:rPr>
        <w:t>6</w:t>
      </w:r>
      <w:r w:rsidR="00DE199E">
        <w:rPr>
          <w:rFonts w:ascii="Calibri" w:hAnsi="Calibri" w:cs="Arial"/>
          <w:snapToGrid w:val="0"/>
          <w:sz w:val="24"/>
          <w:szCs w:val="24"/>
        </w:rPr>
        <w:t>.</w:t>
      </w:r>
      <w:r w:rsidR="00DE199E">
        <w:rPr>
          <w:rFonts w:ascii="Calibri" w:hAnsi="Calibri" w:cs="Arial"/>
          <w:snapToGrid w:val="0"/>
          <w:sz w:val="24"/>
          <w:szCs w:val="24"/>
        </w:rPr>
        <w:tab/>
        <w:t>Externí spolupracovník prohlašuje, že není ke dni zdanitelného plnění plátcem DPH. Externí spolupracovník souhlasí s tím, že pokud se toto prohlášení nezakládá na pravdě, že smluvní odměna v sobě již zahrnuje DPH v zákonné sazbě. Pokud se hostující umělec stane plátcem DPH až po podpisu smlouvy, je sjednaná odměna odměnou včetně DPH.</w:t>
      </w:r>
    </w:p>
    <w:p w14:paraId="4BB0FED6" w14:textId="77777777" w:rsidR="00DE199E" w:rsidRDefault="00AF74E6">
      <w:pPr>
        <w:widowControl w:val="0"/>
        <w:jc w:val="both"/>
        <w:rPr>
          <w:rFonts w:ascii="Calibri" w:hAnsi="Calibri" w:cs="Arial"/>
          <w:snapToGrid w:val="0"/>
          <w:sz w:val="24"/>
          <w:szCs w:val="24"/>
        </w:rPr>
      </w:pPr>
      <w:r>
        <w:rPr>
          <w:rFonts w:ascii="Calibri" w:hAnsi="Calibri" w:cs="Arial"/>
          <w:snapToGrid w:val="0"/>
          <w:sz w:val="24"/>
          <w:szCs w:val="24"/>
        </w:rPr>
        <w:t>7</w:t>
      </w:r>
      <w:r w:rsidR="00DE199E">
        <w:rPr>
          <w:rFonts w:ascii="Calibri" w:hAnsi="Calibri" w:cs="Arial"/>
          <w:snapToGrid w:val="0"/>
          <w:sz w:val="24"/>
          <w:szCs w:val="24"/>
        </w:rPr>
        <w:t>.</w:t>
      </w:r>
      <w:r w:rsidR="00DE199E">
        <w:rPr>
          <w:rFonts w:ascii="Calibri" w:hAnsi="Calibri" w:cs="Arial"/>
          <w:snapToGrid w:val="0"/>
          <w:sz w:val="24"/>
          <w:szCs w:val="24"/>
        </w:rPr>
        <w:tab/>
        <w:t>Dále externí spolupracovník tímto prohlašuje, že se jeho daňový domicil nachází na území ČR.</w:t>
      </w:r>
    </w:p>
    <w:p w14:paraId="602D27EA" w14:textId="77777777" w:rsidR="00DE199E" w:rsidRDefault="00AF74E6">
      <w:pPr>
        <w:widowControl w:val="0"/>
        <w:jc w:val="both"/>
        <w:rPr>
          <w:rFonts w:ascii="Calibri" w:hAnsi="Calibri" w:cs="Arial"/>
          <w:snapToGrid w:val="0"/>
          <w:sz w:val="24"/>
          <w:szCs w:val="24"/>
        </w:rPr>
      </w:pPr>
      <w:r>
        <w:rPr>
          <w:rFonts w:ascii="Calibri" w:hAnsi="Calibri" w:cs="Arial"/>
          <w:snapToGrid w:val="0"/>
          <w:sz w:val="24"/>
          <w:szCs w:val="24"/>
        </w:rPr>
        <w:t>8</w:t>
      </w:r>
      <w:r w:rsidR="00DE199E">
        <w:rPr>
          <w:rFonts w:ascii="Calibri" w:hAnsi="Calibri" w:cs="Arial"/>
          <w:snapToGrid w:val="0"/>
          <w:sz w:val="24"/>
          <w:szCs w:val="24"/>
        </w:rPr>
        <w:t>.</w:t>
      </w:r>
      <w:r w:rsidR="00DE199E">
        <w:rPr>
          <w:rFonts w:ascii="Calibri" w:hAnsi="Calibri" w:cs="Arial"/>
          <w:snapToGrid w:val="0"/>
          <w:sz w:val="24"/>
          <w:szCs w:val="24"/>
        </w:rPr>
        <w:tab/>
        <w:t>Smluvní strany se zavazují, že ujednání čl. 5, odst. 1 nesdělí třetím osobám s výjimkou finančního úřadu a daňového poradce.</w:t>
      </w:r>
    </w:p>
    <w:p w14:paraId="3F61237C" w14:textId="77777777" w:rsidR="00DE199E" w:rsidRDefault="00DE199E">
      <w:pPr>
        <w:widowControl w:val="0"/>
        <w:jc w:val="both"/>
        <w:rPr>
          <w:rFonts w:ascii="Calibri" w:hAnsi="Calibri" w:cs="Arial"/>
          <w:snapToGrid w:val="0"/>
          <w:sz w:val="24"/>
          <w:szCs w:val="24"/>
        </w:rPr>
      </w:pPr>
    </w:p>
    <w:p w14:paraId="0C9B1FF8" w14:textId="77777777" w:rsidR="00DE199E" w:rsidRDefault="00DE199E">
      <w:pPr>
        <w:widowControl w:val="0"/>
        <w:rPr>
          <w:rFonts w:ascii="Calibri" w:hAnsi="Calibri" w:cs="Arial"/>
          <w:b/>
          <w:snapToGrid w:val="0"/>
          <w:sz w:val="24"/>
          <w:szCs w:val="24"/>
          <w:u w:val="single"/>
        </w:rPr>
      </w:pPr>
      <w:r>
        <w:rPr>
          <w:rFonts w:ascii="Calibri" w:hAnsi="Calibri" w:cs="Arial"/>
          <w:snapToGrid w:val="0"/>
          <w:sz w:val="24"/>
          <w:szCs w:val="24"/>
        </w:rPr>
        <w:t xml:space="preserve"> </w:t>
      </w:r>
      <w:r>
        <w:rPr>
          <w:rFonts w:ascii="Calibri" w:hAnsi="Calibri" w:cs="Arial"/>
          <w:b/>
          <w:snapToGrid w:val="0"/>
          <w:sz w:val="24"/>
          <w:szCs w:val="24"/>
          <w:u w:val="single"/>
        </w:rPr>
        <w:t xml:space="preserve">Článek 6      </w:t>
      </w:r>
    </w:p>
    <w:p w14:paraId="3626315B" w14:textId="77777777" w:rsidR="00AF74E6" w:rsidRDefault="00DE199E" w:rsidP="007C0A2B">
      <w:pPr>
        <w:widowControl w:val="0"/>
        <w:ind w:firstLine="454"/>
        <w:jc w:val="both"/>
        <w:rPr>
          <w:rFonts w:ascii="Calibri" w:hAnsi="Calibri" w:cs="Arial"/>
          <w:snapToGrid w:val="0"/>
          <w:sz w:val="24"/>
          <w:szCs w:val="24"/>
        </w:rPr>
      </w:pPr>
      <w:r>
        <w:rPr>
          <w:rFonts w:ascii="Calibri" w:hAnsi="Calibri" w:cs="Arial"/>
          <w:snapToGrid w:val="0"/>
          <w:sz w:val="24"/>
          <w:szCs w:val="24"/>
        </w:rPr>
        <w:lastRenderedPageBreak/>
        <w:t>Externí spolupracovník prohlašuje, že se seznámil se Vstupní instruktáží o požární ochraně a bezpečnosti práce v</w:t>
      </w:r>
      <w:r w:rsidR="00E60C29">
        <w:rPr>
          <w:rFonts w:ascii="Calibri" w:hAnsi="Calibri" w:cs="Arial"/>
          <w:snapToGrid w:val="0"/>
          <w:sz w:val="24"/>
          <w:szCs w:val="24"/>
        </w:rPr>
        <w:t> </w:t>
      </w:r>
      <w:r>
        <w:rPr>
          <w:rFonts w:ascii="Calibri" w:hAnsi="Calibri" w:cs="Arial"/>
          <w:snapToGrid w:val="0"/>
          <w:sz w:val="24"/>
          <w:szCs w:val="24"/>
        </w:rPr>
        <w:t>ND</w:t>
      </w:r>
      <w:r w:rsidR="00E60C29">
        <w:rPr>
          <w:rFonts w:ascii="Calibri" w:hAnsi="Calibri" w:cs="Arial"/>
          <w:snapToGrid w:val="0"/>
          <w:sz w:val="24"/>
          <w:szCs w:val="24"/>
        </w:rPr>
        <w:t>, která je nedílnou součástí této smlouvy,</w:t>
      </w:r>
      <w:r>
        <w:rPr>
          <w:rFonts w:ascii="Calibri" w:hAnsi="Calibri" w:cs="Arial"/>
          <w:snapToGrid w:val="0"/>
          <w:sz w:val="24"/>
          <w:szCs w:val="24"/>
        </w:rPr>
        <w:t xml:space="preserve"> a s pracovním řádem ND</w:t>
      </w:r>
      <w:r w:rsidR="00E60C29">
        <w:rPr>
          <w:rFonts w:ascii="Calibri" w:hAnsi="Calibri" w:cs="Arial"/>
          <w:snapToGrid w:val="0"/>
          <w:sz w:val="24"/>
          <w:szCs w:val="24"/>
        </w:rPr>
        <w:t>, který je k dispozici na umělecké správě</w:t>
      </w:r>
      <w:r w:rsidR="00560CBD">
        <w:rPr>
          <w:rFonts w:ascii="Calibri" w:hAnsi="Calibri" w:cs="Arial"/>
          <w:snapToGrid w:val="0"/>
          <w:sz w:val="24"/>
          <w:szCs w:val="24"/>
        </w:rPr>
        <w:t xml:space="preserve"> všech souborů ND. </w:t>
      </w:r>
      <w:r w:rsidR="00E60C29">
        <w:rPr>
          <w:rFonts w:ascii="Calibri" w:hAnsi="Calibri" w:cs="Arial"/>
          <w:snapToGrid w:val="0"/>
          <w:sz w:val="24"/>
          <w:szCs w:val="24"/>
        </w:rPr>
        <w:t xml:space="preserve">Externí spolupracovník se </w:t>
      </w:r>
      <w:r>
        <w:rPr>
          <w:rFonts w:ascii="Calibri" w:hAnsi="Calibri" w:cs="Arial"/>
          <w:snapToGrid w:val="0"/>
          <w:sz w:val="24"/>
          <w:szCs w:val="24"/>
        </w:rPr>
        <w:t xml:space="preserve"> zavazuje při své činnosti v ND postupovat v souladu s povinnostmi, které mu jsou těmito předpisy</w:t>
      </w:r>
      <w:r w:rsidR="007C0A2B">
        <w:rPr>
          <w:rFonts w:ascii="Calibri" w:hAnsi="Calibri" w:cs="Arial"/>
          <w:snapToGrid w:val="0"/>
          <w:sz w:val="24"/>
          <w:szCs w:val="24"/>
        </w:rPr>
        <w:t xml:space="preserve"> u</w:t>
      </w:r>
      <w:r>
        <w:rPr>
          <w:rFonts w:ascii="Calibri" w:hAnsi="Calibri" w:cs="Arial"/>
          <w:snapToGrid w:val="0"/>
          <w:sz w:val="24"/>
          <w:szCs w:val="24"/>
        </w:rPr>
        <w:t>loženy.</w:t>
      </w:r>
      <w:r w:rsidR="00AF74E6">
        <w:rPr>
          <w:rFonts w:ascii="Calibri" w:hAnsi="Calibri" w:cs="Arial"/>
          <w:snapToGrid w:val="0"/>
          <w:sz w:val="24"/>
          <w:szCs w:val="24"/>
        </w:rPr>
        <w:br/>
      </w:r>
    </w:p>
    <w:p w14:paraId="724035BD" w14:textId="77777777" w:rsidR="00AF74E6" w:rsidRDefault="007C0A2B" w:rsidP="00AF74E6">
      <w:pPr>
        <w:widowControl w:val="0"/>
        <w:rPr>
          <w:rFonts w:ascii="Calibri" w:hAnsi="Calibri" w:cs="Arial"/>
          <w:b/>
          <w:snapToGrid w:val="0"/>
          <w:sz w:val="24"/>
          <w:szCs w:val="24"/>
          <w:u w:val="single"/>
        </w:rPr>
      </w:pPr>
      <w:r>
        <w:rPr>
          <w:rFonts w:ascii="Calibri" w:hAnsi="Calibri" w:cs="Arial"/>
          <w:b/>
          <w:snapToGrid w:val="0"/>
          <w:sz w:val="24"/>
          <w:szCs w:val="24"/>
          <w:u w:val="single"/>
        </w:rPr>
        <w:t>Článek 7</w:t>
      </w:r>
      <w:r w:rsidR="00AF74E6">
        <w:rPr>
          <w:rFonts w:ascii="Calibri" w:hAnsi="Calibri" w:cs="Arial"/>
          <w:b/>
          <w:snapToGrid w:val="0"/>
          <w:sz w:val="24"/>
          <w:szCs w:val="24"/>
          <w:u w:val="single"/>
        </w:rPr>
        <w:t xml:space="preserve">    </w:t>
      </w:r>
    </w:p>
    <w:p w14:paraId="245A9104" w14:textId="77777777" w:rsidR="007C0A2B" w:rsidRPr="007C0A2B" w:rsidRDefault="007C0A2B" w:rsidP="00AF74E6">
      <w:pPr>
        <w:widowControl w:val="0"/>
        <w:rPr>
          <w:rFonts w:ascii="Calibri" w:hAnsi="Calibri" w:cs="Arial"/>
          <w:snapToGrid w:val="0"/>
          <w:sz w:val="24"/>
          <w:szCs w:val="24"/>
        </w:rPr>
      </w:pPr>
      <w:r>
        <w:rPr>
          <w:rFonts w:ascii="Calibri" w:hAnsi="Calibri" w:cs="Arial"/>
          <w:b/>
          <w:snapToGrid w:val="0"/>
          <w:sz w:val="24"/>
          <w:szCs w:val="24"/>
        </w:rPr>
        <w:tab/>
      </w:r>
      <w:r w:rsidRPr="007C0A2B">
        <w:rPr>
          <w:rFonts w:ascii="Calibri" w:hAnsi="Calibri" w:cs="Arial"/>
          <w:snapToGrid w:val="0"/>
          <w:sz w:val="24"/>
          <w:szCs w:val="24"/>
        </w:rPr>
        <w:t>Národní divadlo</w:t>
      </w:r>
      <w:r>
        <w:rPr>
          <w:rFonts w:ascii="Calibri" w:hAnsi="Calibri" w:cs="Arial"/>
          <w:snapToGrid w:val="0"/>
          <w:sz w:val="24"/>
          <w:szCs w:val="24"/>
        </w:rPr>
        <w:t xml:space="preserve"> se zavazuje zajistit a uhradit externímu spolupracovníkovi v případě hostování souborů ND mimo mateřské scény dopravu do místa hostování a zpět, ubytování v místě souboru a stravné dle Pracovní směrnice ND k poskytování cestovních náhrad platné pro příslušný rok. </w:t>
      </w:r>
    </w:p>
    <w:p w14:paraId="417A1BF2" w14:textId="77777777" w:rsidR="00DE199E" w:rsidRDefault="00AF74E6">
      <w:pPr>
        <w:widowControl w:val="0"/>
        <w:ind w:firstLine="454"/>
        <w:jc w:val="both"/>
        <w:rPr>
          <w:rFonts w:ascii="Calibri" w:hAnsi="Calibri" w:cs="Arial"/>
          <w:snapToGrid w:val="0"/>
          <w:sz w:val="24"/>
          <w:szCs w:val="24"/>
        </w:rPr>
      </w:pPr>
      <w:r>
        <w:rPr>
          <w:rFonts w:ascii="Calibri" w:hAnsi="Calibri" w:cs="Arial"/>
          <w:snapToGrid w:val="0"/>
          <w:sz w:val="24"/>
          <w:szCs w:val="24"/>
        </w:rPr>
        <w:br/>
      </w:r>
    </w:p>
    <w:p w14:paraId="048EF66C" w14:textId="77777777" w:rsidR="00DE199E" w:rsidRDefault="00DE199E">
      <w:pPr>
        <w:widowControl w:val="0"/>
        <w:jc w:val="both"/>
        <w:rPr>
          <w:rFonts w:ascii="Calibri" w:hAnsi="Calibri" w:cs="Arial"/>
          <w:b/>
          <w:snapToGrid w:val="0"/>
          <w:sz w:val="24"/>
          <w:szCs w:val="24"/>
          <w:u w:val="single"/>
        </w:rPr>
      </w:pPr>
      <w:r>
        <w:rPr>
          <w:rFonts w:ascii="Calibri" w:hAnsi="Calibri" w:cs="Arial"/>
          <w:b/>
          <w:snapToGrid w:val="0"/>
          <w:sz w:val="24"/>
          <w:szCs w:val="24"/>
          <w:u w:val="single"/>
        </w:rPr>
        <w:t xml:space="preserve">Článek </w:t>
      </w:r>
      <w:r w:rsidR="00AF74E6">
        <w:rPr>
          <w:rFonts w:ascii="Calibri" w:hAnsi="Calibri" w:cs="Arial"/>
          <w:b/>
          <w:snapToGrid w:val="0"/>
          <w:sz w:val="24"/>
          <w:szCs w:val="24"/>
          <w:u w:val="single"/>
        </w:rPr>
        <w:t>8</w:t>
      </w:r>
    </w:p>
    <w:p w14:paraId="7B904919" w14:textId="017D61E5" w:rsidR="00DE199E" w:rsidRDefault="00DE199E" w:rsidP="007C0A2B">
      <w:pPr>
        <w:widowControl w:val="0"/>
        <w:rPr>
          <w:rFonts w:ascii="Calibri" w:hAnsi="Calibri" w:cs="Arial"/>
          <w:snapToGrid w:val="0"/>
          <w:sz w:val="24"/>
          <w:szCs w:val="24"/>
        </w:rPr>
      </w:pPr>
      <w:r>
        <w:rPr>
          <w:rFonts w:ascii="Calibri" w:hAnsi="Calibri" w:cs="Arial"/>
          <w:snapToGrid w:val="0"/>
          <w:sz w:val="24"/>
          <w:szCs w:val="24"/>
        </w:rPr>
        <w:t>1.</w:t>
      </w:r>
      <w:r>
        <w:rPr>
          <w:rFonts w:ascii="Calibri" w:hAnsi="Calibri" w:cs="Arial"/>
          <w:snapToGrid w:val="0"/>
          <w:sz w:val="24"/>
          <w:szCs w:val="24"/>
        </w:rPr>
        <w:tab/>
      </w:r>
      <w:r w:rsidR="00AF74E6" w:rsidRPr="00AF74E6">
        <w:rPr>
          <w:rFonts w:ascii="Calibri" w:hAnsi="Calibri" w:cs="Arial"/>
          <w:snapToGrid w:val="0"/>
          <w:sz w:val="24"/>
          <w:szCs w:val="24"/>
        </w:rPr>
        <w:t>Tato smlouva nabývá platnosti dnem jejího podpisu smluvními stranami a účinnosti dnem jejího uveřejnění v registru sm</w:t>
      </w:r>
      <w:r w:rsidR="007C0A2B">
        <w:rPr>
          <w:rFonts w:ascii="Calibri" w:hAnsi="Calibri" w:cs="Arial"/>
          <w:snapToGrid w:val="0"/>
          <w:sz w:val="24"/>
          <w:szCs w:val="24"/>
        </w:rPr>
        <w:t>luv dle zákona č. 340/2015 Sb. Uzavírá se na období od 1.</w:t>
      </w:r>
      <w:r w:rsidR="00216F46">
        <w:rPr>
          <w:rFonts w:ascii="Calibri" w:hAnsi="Calibri" w:cs="Arial"/>
          <w:snapToGrid w:val="0"/>
          <w:sz w:val="24"/>
          <w:szCs w:val="24"/>
        </w:rPr>
        <w:t xml:space="preserve"> </w:t>
      </w:r>
      <w:r w:rsidR="007C0A2B">
        <w:rPr>
          <w:rFonts w:ascii="Calibri" w:hAnsi="Calibri" w:cs="Arial"/>
          <w:snapToGrid w:val="0"/>
          <w:sz w:val="24"/>
          <w:szCs w:val="24"/>
        </w:rPr>
        <w:t>9. 2020 do 31.</w:t>
      </w:r>
      <w:r w:rsidR="00216F46">
        <w:rPr>
          <w:rFonts w:ascii="Calibri" w:hAnsi="Calibri" w:cs="Arial"/>
          <w:snapToGrid w:val="0"/>
          <w:sz w:val="24"/>
          <w:szCs w:val="24"/>
        </w:rPr>
        <w:t xml:space="preserve"> </w:t>
      </w:r>
      <w:r w:rsidR="007C0A2B">
        <w:rPr>
          <w:rFonts w:ascii="Calibri" w:hAnsi="Calibri" w:cs="Arial"/>
          <w:snapToGrid w:val="0"/>
          <w:sz w:val="24"/>
          <w:szCs w:val="24"/>
        </w:rPr>
        <w:t xml:space="preserve">12. 2021 a její předpokládaná hodnota </w:t>
      </w:r>
      <w:r w:rsidR="00216F46">
        <w:rPr>
          <w:rFonts w:ascii="Calibri" w:hAnsi="Calibri" w:cs="Arial"/>
          <w:snapToGrid w:val="0"/>
          <w:sz w:val="24"/>
          <w:szCs w:val="24"/>
        </w:rPr>
        <w:t xml:space="preserve">plnění </w:t>
      </w:r>
      <w:r w:rsidR="007C0A2B">
        <w:rPr>
          <w:rFonts w:ascii="Calibri" w:hAnsi="Calibri" w:cs="Arial"/>
          <w:snapToGrid w:val="0"/>
          <w:sz w:val="24"/>
          <w:szCs w:val="24"/>
        </w:rPr>
        <w:t>je max. 400 tis.  Kč.</w:t>
      </w:r>
      <w:r>
        <w:rPr>
          <w:rFonts w:ascii="Calibri" w:hAnsi="Calibri" w:cs="Arial"/>
          <w:snapToGrid w:val="0"/>
          <w:sz w:val="24"/>
          <w:szCs w:val="24"/>
        </w:rPr>
        <w:br/>
        <w:t>2.</w:t>
      </w:r>
      <w:r>
        <w:rPr>
          <w:rFonts w:ascii="Calibri" w:hAnsi="Calibri" w:cs="Arial"/>
          <w:snapToGrid w:val="0"/>
          <w:sz w:val="24"/>
          <w:szCs w:val="24"/>
        </w:rPr>
        <w:tab/>
        <w:t>Tato smlouva je vyhotovena ve dvou exemplářích, z nichž po jednom náleží externímu spolupracovníkovi a ND.</w:t>
      </w:r>
    </w:p>
    <w:p w14:paraId="6951494D" w14:textId="505893DA"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3.</w:t>
      </w:r>
      <w:r>
        <w:rPr>
          <w:rFonts w:ascii="Calibri" w:hAnsi="Calibri" w:cs="Arial"/>
          <w:snapToGrid w:val="0"/>
          <w:sz w:val="24"/>
          <w:szCs w:val="24"/>
        </w:rPr>
        <w:tab/>
        <w:t>Změny a doplňky této smlouvy musí být učiněny písemn</w:t>
      </w:r>
      <w:r w:rsidR="00216F46">
        <w:rPr>
          <w:rFonts w:ascii="Calibri" w:hAnsi="Calibri" w:cs="Arial"/>
          <w:snapToGrid w:val="0"/>
          <w:sz w:val="24"/>
          <w:szCs w:val="24"/>
        </w:rPr>
        <w:t>ě</w:t>
      </w:r>
      <w:r>
        <w:rPr>
          <w:rFonts w:ascii="Calibri" w:hAnsi="Calibri" w:cs="Arial"/>
          <w:snapToGrid w:val="0"/>
          <w:sz w:val="24"/>
          <w:szCs w:val="24"/>
        </w:rPr>
        <w:t xml:space="preserve"> formou </w:t>
      </w:r>
      <w:r w:rsidR="00216F46">
        <w:rPr>
          <w:rFonts w:ascii="Calibri" w:hAnsi="Calibri" w:cs="Arial"/>
          <w:snapToGrid w:val="0"/>
          <w:sz w:val="24"/>
          <w:szCs w:val="24"/>
        </w:rPr>
        <w:t xml:space="preserve">očíslovaného dodatku </w:t>
      </w:r>
      <w:r>
        <w:rPr>
          <w:rFonts w:ascii="Calibri" w:hAnsi="Calibri" w:cs="Arial"/>
          <w:snapToGrid w:val="0"/>
          <w:sz w:val="24"/>
          <w:szCs w:val="24"/>
        </w:rPr>
        <w:t>a po dohodě obou smluvních stran.</w:t>
      </w:r>
    </w:p>
    <w:p w14:paraId="6E760DAD" w14:textId="0AC1F07F"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4.</w:t>
      </w:r>
      <w:r>
        <w:rPr>
          <w:rFonts w:ascii="Calibri" w:hAnsi="Calibri" w:cs="Arial"/>
          <w:snapToGrid w:val="0"/>
          <w:sz w:val="24"/>
          <w:szCs w:val="24"/>
        </w:rPr>
        <w:tab/>
        <w:t xml:space="preserve">Veškerá práva a povinnosti </w:t>
      </w:r>
      <w:r w:rsidR="00216F46">
        <w:rPr>
          <w:rFonts w:ascii="Calibri" w:hAnsi="Calibri" w:cs="Arial"/>
          <w:snapToGrid w:val="0"/>
          <w:sz w:val="24"/>
          <w:szCs w:val="24"/>
        </w:rPr>
        <w:t xml:space="preserve">smluvních stran </w:t>
      </w:r>
      <w:r>
        <w:rPr>
          <w:rFonts w:ascii="Calibri" w:hAnsi="Calibri" w:cs="Arial"/>
          <w:snapToGrid w:val="0"/>
          <w:sz w:val="24"/>
          <w:szCs w:val="24"/>
        </w:rPr>
        <w:t>vyplývající z této smlouvy se řídí zákonem č.</w:t>
      </w:r>
      <w:r w:rsidR="00216F46">
        <w:rPr>
          <w:rFonts w:ascii="Calibri" w:hAnsi="Calibri" w:cs="Arial"/>
          <w:snapToGrid w:val="0"/>
          <w:sz w:val="24"/>
          <w:szCs w:val="24"/>
        </w:rPr>
        <w:t xml:space="preserve"> </w:t>
      </w:r>
      <w:r>
        <w:rPr>
          <w:rFonts w:ascii="Calibri" w:hAnsi="Calibri" w:cs="Arial"/>
          <w:snapToGrid w:val="0"/>
          <w:sz w:val="24"/>
          <w:szCs w:val="24"/>
        </w:rPr>
        <w:t xml:space="preserve">89/2012  Sb. –  Občanským zákoníkem. Smluvní strany se dohodly, že na smluvní vztah uzavřený mezi nimi na základě této smlouvy se neuplatní následující ustanovení občanského zákoníku č. 89/2012 Sb.: § 1740 odst. 3 občanského zákoníku, který stanoví, že smlouva je uzavřena i tehdy, kdy nedojde k úplné shodě projevů vůle smluvních stran a dále § </w:t>
      </w:r>
      <w:smartTag w:uri="urn:schemas-microsoft-com:office:smarttags" w:element="metricconverter">
        <w:smartTagPr>
          <w:attr w:name="ProductID" w:val="1765 a"/>
        </w:smartTagPr>
        <w:r>
          <w:rPr>
            <w:rFonts w:ascii="Calibri" w:hAnsi="Calibri" w:cs="Arial"/>
            <w:snapToGrid w:val="0"/>
            <w:sz w:val="24"/>
            <w:szCs w:val="24"/>
          </w:rPr>
          <w:t>1765 a</w:t>
        </w:r>
      </w:smartTag>
      <w:r>
        <w:rPr>
          <w:rFonts w:ascii="Calibri" w:hAnsi="Calibri" w:cs="Arial"/>
          <w:snapToGrid w:val="0"/>
          <w:sz w:val="24"/>
          <w:szCs w:val="24"/>
        </w:rPr>
        <w:t xml:space="preserve"> § 1766 o možnosti smluvní strany domáhat se </w:t>
      </w:r>
      <w:r>
        <w:rPr>
          <w:rFonts w:ascii="Calibri" w:hAnsi="Calibri" w:cs="Arial"/>
          <w:snapToGrid w:val="0"/>
          <w:sz w:val="24"/>
          <w:szCs w:val="24"/>
        </w:rPr>
        <w:lastRenderedPageBreak/>
        <w:t>vůči druhé straně obnovení jednání o smlouvě při podstatné změně okolností.</w:t>
      </w:r>
    </w:p>
    <w:p w14:paraId="41F7859B" w14:textId="77777777" w:rsidR="00DE199E" w:rsidRDefault="00DE199E">
      <w:pPr>
        <w:widowControl w:val="0"/>
        <w:rPr>
          <w:rFonts w:ascii="Calibri" w:hAnsi="Calibri" w:cs="Arial"/>
          <w:snapToGrid w:val="0"/>
          <w:sz w:val="24"/>
          <w:szCs w:val="24"/>
        </w:rPr>
      </w:pPr>
    </w:p>
    <w:p w14:paraId="4FCD6A8B" w14:textId="77777777" w:rsidR="00560CBD" w:rsidRDefault="00560CBD">
      <w:pPr>
        <w:widowControl w:val="0"/>
        <w:jc w:val="both"/>
        <w:rPr>
          <w:rFonts w:ascii="Calibri" w:hAnsi="Calibri" w:cs="Arial"/>
          <w:snapToGrid w:val="0"/>
          <w:sz w:val="24"/>
          <w:szCs w:val="24"/>
        </w:rPr>
      </w:pPr>
    </w:p>
    <w:p w14:paraId="167D2B2B" w14:textId="77777777" w:rsidR="00560CBD" w:rsidRDefault="00560CBD">
      <w:pPr>
        <w:widowControl w:val="0"/>
        <w:jc w:val="both"/>
        <w:rPr>
          <w:rFonts w:ascii="Calibri" w:hAnsi="Calibri" w:cs="Arial"/>
          <w:snapToGrid w:val="0"/>
          <w:sz w:val="24"/>
          <w:szCs w:val="24"/>
        </w:rPr>
      </w:pPr>
      <w:r>
        <w:rPr>
          <w:rFonts w:ascii="Calibri" w:hAnsi="Calibri" w:cs="Arial"/>
          <w:snapToGrid w:val="0"/>
          <w:sz w:val="24"/>
          <w:szCs w:val="24"/>
        </w:rPr>
        <w:t>Příloha č. 1 – Vstupní instruktáž o požární ochraně a bezpečnosti práce v ND</w:t>
      </w:r>
    </w:p>
    <w:p w14:paraId="5AEDCDD6" w14:textId="55D15B0A" w:rsidR="00560CBD" w:rsidRDefault="00560CBD">
      <w:pPr>
        <w:widowControl w:val="0"/>
        <w:jc w:val="both"/>
        <w:rPr>
          <w:rFonts w:ascii="Calibri" w:hAnsi="Calibri" w:cs="Arial"/>
          <w:snapToGrid w:val="0"/>
          <w:sz w:val="24"/>
          <w:szCs w:val="24"/>
        </w:rPr>
      </w:pPr>
      <w:r>
        <w:rPr>
          <w:rFonts w:ascii="Calibri" w:hAnsi="Calibri" w:cs="Arial"/>
          <w:snapToGrid w:val="0"/>
          <w:sz w:val="24"/>
          <w:szCs w:val="24"/>
        </w:rPr>
        <w:t>Příloha č. 2 -  Informativní ceník pyrotechnických efektů pro rok 2020</w:t>
      </w:r>
    </w:p>
    <w:p w14:paraId="5B9E7A14" w14:textId="712CF3D3" w:rsidR="00EB7F59" w:rsidRDefault="00EB7F59">
      <w:pPr>
        <w:widowControl w:val="0"/>
        <w:jc w:val="both"/>
        <w:rPr>
          <w:rFonts w:ascii="Calibri" w:hAnsi="Calibri" w:cs="Arial"/>
          <w:snapToGrid w:val="0"/>
          <w:sz w:val="24"/>
          <w:szCs w:val="24"/>
        </w:rPr>
      </w:pPr>
      <w:r>
        <w:rPr>
          <w:rFonts w:ascii="Calibri" w:hAnsi="Calibri" w:cs="Arial"/>
          <w:snapToGrid w:val="0"/>
          <w:sz w:val="24"/>
          <w:szCs w:val="24"/>
        </w:rPr>
        <w:t xml:space="preserve">Příloha č. 3 – Pojistná smlouva </w:t>
      </w:r>
      <w:r w:rsidR="00216F46">
        <w:rPr>
          <w:rFonts w:ascii="Calibri" w:hAnsi="Calibri" w:cs="Arial"/>
          <w:snapToGrid w:val="0"/>
          <w:sz w:val="24"/>
          <w:szCs w:val="24"/>
        </w:rPr>
        <w:t xml:space="preserve">uzavřená mezi </w:t>
      </w:r>
      <w:r>
        <w:rPr>
          <w:rFonts w:ascii="Calibri" w:hAnsi="Calibri" w:cs="Arial"/>
          <w:snapToGrid w:val="0"/>
          <w:sz w:val="24"/>
          <w:szCs w:val="24"/>
        </w:rPr>
        <w:t>Ing. David</w:t>
      </w:r>
      <w:r w:rsidR="00DD24E7">
        <w:rPr>
          <w:rFonts w:ascii="Calibri" w:hAnsi="Calibri" w:cs="Arial"/>
          <w:snapToGrid w:val="0"/>
          <w:sz w:val="24"/>
          <w:szCs w:val="24"/>
        </w:rPr>
        <w:t>em</w:t>
      </w:r>
      <w:r>
        <w:rPr>
          <w:rFonts w:ascii="Calibri" w:hAnsi="Calibri" w:cs="Arial"/>
          <w:snapToGrid w:val="0"/>
          <w:sz w:val="24"/>
          <w:szCs w:val="24"/>
        </w:rPr>
        <w:t xml:space="preserve"> </w:t>
      </w:r>
      <w:r w:rsidR="00216F46">
        <w:rPr>
          <w:rFonts w:ascii="Calibri" w:hAnsi="Calibri" w:cs="Arial"/>
          <w:snapToGrid w:val="0"/>
          <w:sz w:val="24"/>
          <w:szCs w:val="24"/>
        </w:rPr>
        <w:t>K</w:t>
      </w:r>
      <w:r>
        <w:rPr>
          <w:rFonts w:ascii="Calibri" w:hAnsi="Calibri" w:cs="Arial"/>
          <w:snapToGrid w:val="0"/>
          <w:sz w:val="24"/>
          <w:szCs w:val="24"/>
        </w:rPr>
        <w:t>rejčík</w:t>
      </w:r>
      <w:r w:rsidR="00DD24E7">
        <w:rPr>
          <w:rFonts w:ascii="Calibri" w:hAnsi="Calibri" w:cs="Arial"/>
          <w:snapToGrid w:val="0"/>
          <w:sz w:val="24"/>
          <w:szCs w:val="24"/>
        </w:rPr>
        <w:t>em a společností Generali Českou pojišťovnou a.s.</w:t>
      </w:r>
      <w:r>
        <w:rPr>
          <w:rFonts w:ascii="Calibri" w:hAnsi="Calibri" w:cs="Arial"/>
          <w:snapToGrid w:val="0"/>
          <w:sz w:val="24"/>
          <w:szCs w:val="24"/>
        </w:rPr>
        <w:t xml:space="preserve"> – pojištění odpovědnosti</w:t>
      </w:r>
    </w:p>
    <w:p w14:paraId="6FFE73F0" w14:textId="77777777" w:rsidR="00560CBD" w:rsidRDefault="00560CBD">
      <w:pPr>
        <w:widowControl w:val="0"/>
        <w:jc w:val="both"/>
        <w:rPr>
          <w:rFonts w:ascii="Calibri" w:hAnsi="Calibri" w:cs="Arial"/>
          <w:snapToGrid w:val="0"/>
          <w:sz w:val="24"/>
          <w:szCs w:val="24"/>
        </w:rPr>
      </w:pPr>
    </w:p>
    <w:p w14:paraId="0FB2BF4B" w14:textId="77777777" w:rsidR="00560CBD" w:rsidRDefault="00560CBD">
      <w:pPr>
        <w:widowControl w:val="0"/>
        <w:jc w:val="both"/>
        <w:rPr>
          <w:rFonts w:ascii="Calibri" w:hAnsi="Calibri" w:cs="Arial"/>
          <w:snapToGrid w:val="0"/>
          <w:sz w:val="24"/>
          <w:szCs w:val="24"/>
        </w:rPr>
      </w:pPr>
    </w:p>
    <w:p w14:paraId="57615286" w14:textId="77777777" w:rsidR="00560CBD" w:rsidRDefault="00560CBD">
      <w:pPr>
        <w:widowControl w:val="0"/>
        <w:jc w:val="both"/>
        <w:rPr>
          <w:rFonts w:ascii="Calibri" w:hAnsi="Calibri" w:cs="Arial"/>
          <w:snapToGrid w:val="0"/>
          <w:sz w:val="24"/>
          <w:szCs w:val="24"/>
        </w:rPr>
      </w:pPr>
    </w:p>
    <w:p w14:paraId="4BA7B3F3"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 xml:space="preserve">V Praze dne </w:t>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t xml:space="preserve">     </w:t>
      </w:r>
      <w:r w:rsidR="0039556F">
        <w:rPr>
          <w:rFonts w:ascii="Calibri" w:hAnsi="Calibri" w:cs="Arial"/>
          <w:snapToGrid w:val="0"/>
          <w:sz w:val="24"/>
          <w:szCs w:val="24"/>
        </w:rPr>
        <w:tab/>
      </w:r>
      <w:r w:rsidR="0039556F">
        <w:rPr>
          <w:rFonts w:ascii="Calibri" w:hAnsi="Calibri" w:cs="Arial"/>
          <w:snapToGrid w:val="0"/>
          <w:sz w:val="24"/>
          <w:szCs w:val="24"/>
        </w:rPr>
        <w:tab/>
      </w:r>
      <w:r w:rsidR="0039556F">
        <w:rPr>
          <w:rFonts w:ascii="Calibri" w:hAnsi="Calibri" w:cs="Arial"/>
          <w:snapToGrid w:val="0"/>
          <w:sz w:val="24"/>
          <w:szCs w:val="24"/>
        </w:rPr>
        <w:tab/>
      </w:r>
      <w:r w:rsidR="0039556F">
        <w:rPr>
          <w:rFonts w:ascii="Calibri" w:hAnsi="Calibri" w:cs="Arial"/>
          <w:snapToGrid w:val="0"/>
          <w:sz w:val="24"/>
          <w:szCs w:val="24"/>
        </w:rPr>
        <w:tab/>
      </w:r>
      <w:r>
        <w:rPr>
          <w:rFonts w:ascii="Calibri" w:hAnsi="Calibri" w:cs="Arial"/>
          <w:snapToGrid w:val="0"/>
          <w:sz w:val="24"/>
          <w:szCs w:val="24"/>
        </w:rPr>
        <w:t xml:space="preserve"> V</w:t>
      </w:r>
      <w:r w:rsidR="00AF74E6">
        <w:rPr>
          <w:rFonts w:ascii="Calibri" w:hAnsi="Calibri" w:cs="Arial"/>
          <w:snapToGrid w:val="0"/>
          <w:sz w:val="24"/>
          <w:szCs w:val="24"/>
        </w:rPr>
        <w:t> </w:t>
      </w:r>
      <w:r>
        <w:rPr>
          <w:rFonts w:ascii="Calibri" w:hAnsi="Calibri" w:cs="Arial"/>
          <w:snapToGrid w:val="0"/>
          <w:sz w:val="24"/>
          <w:szCs w:val="24"/>
        </w:rPr>
        <w:t xml:space="preserve">Praze dne  </w:t>
      </w:r>
      <w:r>
        <w:rPr>
          <w:rFonts w:ascii="Calibri" w:hAnsi="Calibri" w:cs="Arial"/>
          <w:snapToGrid w:val="0"/>
          <w:sz w:val="24"/>
          <w:szCs w:val="24"/>
        </w:rPr>
        <w:tab/>
      </w:r>
    </w:p>
    <w:p w14:paraId="7BAF3FE0" w14:textId="77777777" w:rsidR="00DE199E" w:rsidRDefault="00DE199E">
      <w:pPr>
        <w:widowControl w:val="0"/>
        <w:jc w:val="both"/>
        <w:rPr>
          <w:rFonts w:ascii="Calibri" w:hAnsi="Calibri" w:cs="Arial"/>
          <w:snapToGrid w:val="0"/>
          <w:sz w:val="24"/>
          <w:szCs w:val="24"/>
        </w:rPr>
      </w:pPr>
    </w:p>
    <w:p w14:paraId="0D3262F9" w14:textId="77777777" w:rsidR="00DE199E" w:rsidRDefault="00DE199E">
      <w:pPr>
        <w:widowControl w:val="0"/>
        <w:jc w:val="both"/>
        <w:rPr>
          <w:rFonts w:ascii="Calibri" w:hAnsi="Calibri" w:cs="Arial"/>
          <w:snapToGrid w:val="0"/>
          <w:sz w:val="24"/>
          <w:szCs w:val="24"/>
        </w:rPr>
      </w:pPr>
    </w:p>
    <w:p w14:paraId="610BA1D4"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                                                             -------------------------------</w:t>
      </w:r>
    </w:p>
    <w:p w14:paraId="164C24C6"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externí spolupracovník                                                               Národní divadlo</w:t>
      </w:r>
    </w:p>
    <w:p w14:paraId="022B82D8" w14:textId="77777777" w:rsidR="00DE199E" w:rsidRDefault="00DE199E">
      <w:pPr>
        <w:widowControl w:val="0"/>
        <w:jc w:val="both"/>
        <w:rPr>
          <w:rFonts w:ascii="Calibri" w:hAnsi="Calibri" w:cs="Arial"/>
          <w:snapToGrid w:val="0"/>
          <w:sz w:val="24"/>
          <w:szCs w:val="24"/>
        </w:rPr>
      </w:pPr>
    </w:p>
    <w:p w14:paraId="5A4753D0" w14:textId="77777777" w:rsidR="00DE199E" w:rsidRDefault="00DE199E">
      <w:pPr>
        <w:widowControl w:val="0"/>
        <w:jc w:val="both"/>
        <w:rPr>
          <w:rFonts w:ascii="Calibri" w:hAnsi="Calibri" w:cs="Arial"/>
          <w:snapToGrid w:val="0"/>
          <w:sz w:val="24"/>
          <w:szCs w:val="24"/>
        </w:rPr>
      </w:pP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p>
    <w:p w14:paraId="646FD7FF" w14:textId="77777777" w:rsidR="005E24F2" w:rsidRDefault="00DE199E">
      <w:pPr>
        <w:widowControl w:val="0"/>
        <w:jc w:val="both"/>
        <w:rPr>
          <w:rFonts w:ascii="Calibri" w:hAnsi="Calibri" w:cs="Arial"/>
          <w:snapToGrid w:val="0"/>
          <w:sz w:val="24"/>
          <w:szCs w:val="24"/>
        </w:rPr>
      </w:pPr>
      <w:r>
        <w:rPr>
          <w:rFonts w:ascii="Calibri" w:hAnsi="Calibri" w:cs="Arial"/>
          <w:snapToGrid w:val="0"/>
          <w:sz w:val="24"/>
          <w:szCs w:val="24"/>
        </w:rPr>
        <w:t xml:space="preserve">     </w:t>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r>
        <w:rPr>
          <w:rFonts w:ascii="Calibri" w:hAnsi="Calibri" w:cs="Arial"/>
          <w:snapToGrid w:val="0"/>
          <w:sz w:val="24"/>
          <w:szCs w:val="24"/>
        </w:rPr>
        <w:tab/>
      </w:r>
    </w:p>
    <w:p w14:paraId="6CD7FC77" w14:textId="77777777" w:rsidR="005E24F2" w:rsidRDefault="005E24F2">
      <w:pPr>
        <w:rPr>
          <w:rFonts w:ascii="Calibri" w:hAnsi="Calibri" w:cs="Arial"/>
          <w:snapToGrid w:val="0"/>
          <w:sz w:val="24"/>
          <w:szCs w:val="24"/>
        </w:rPr>
      </w:pPr>
      <w:r>
        <w:rPr>
          <w:rFonts w:ascii="Calibri" w:hAnsi="Calibri" w:cs="Arial"/>
          <w:snapToGrid w:val="0"/>
          <w:sz w:val="24"/>
          <w:szCs w:val="24"/>
        </w:rPr>
        <w:br w:type="page"/>
      </w:r>
    </w:p>
    <w:p w14:paraId="60394EA6"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t>V Praze dne 27. srpna 2020</w:t>
      </w:r>
    </w:p>
    <w:p w14:paraId="118B208E" w14:textId="77777777" w:rsidR="005E24F2" w:rsidRPr="005E24F2" w:rsidRDefault="005E24F2" w:rsidP="005E24F2">
      <w:pPr>
        <w:rPr>
          <w:rFonts w:ascii="Calibri" w:hAnsi="Calibri" w:cs="Arial"/>
          <w:snapToGrid w:val="0"/>
          <w:sz w:val="24"/>
          <w:szCs w:val="24"/>
        </w:rPr>
      </w:pPr>
    </w:p>
    <w:p w14:paraId="216CB0CB" w14:textId="77777777" w:rsidR="005E24F2" w:rsidRPr="005E24F2" w:rsidRDefault="005E24F2" w:rsidP="005E24F2">
      <w:pPr>
        <w:rPr>
          <w:rFonts w:ascii="Calibri" w:hAnsi="Calibri" w:cs="Arial"/>
          <w:b/>
          <w:snapToGrid w:val="0"/>
          <w:sz w:val="24"/>
          <w:szCs w:val="24"/>
          <w:u w:val="single"/>
        </w:rPr>
      </w:pPr>
      <w:r w:rsidRPr="005E24F2">
        <w:rPr>
          <w:rFonts w:ascii="Calibri" w:hAnsi="Calibri" w:cs="Arial"/>
          <w:b/>
          <w:snapToGrid w:val="0"/>
          <w:sz w:val="24"/>
          <w:szCs w:val="24"/>
          <w:u w:val="single"/>
        </w:rPr>
        <w:t>Věc: Žádost o rozhodnutí zadat veřejnou zakázku malého rozsahu přímo jednomu dodavateli mimo e-tržiště</w:t>
      </w:r>
    </w:p>
    <w:p w14:paraId="61C720FA" w14:textId="77777777" w:rsidR="005E24F2" w:rsidRPr="005E24F2" w:rsidRDefault="005E24F2" w:rsidP="005E24F2">
      <w:pPr>
        <w:rPr>
          <w:rFonts w:ascii="Calibri" w:hAnsi="Calibri" w:cs="Arial"/>
          <w:snapToGrid w:val="0"/>
          <w:sz w:val="24"/>
          <w:szCs w:val="24"/>
        </w:rPr>
      </w:pPr>
    </w:p>
    <w:p w14:paraId="2F4910BB"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Vážený pane řediteli,</w:t>
      </w:r>
    </w:p>
    <w:p w14:paraId="21139DB8" w14:textId="77777777" w:rsidR="005E24F2" w:rsidRPr="005E24F2" w:rsidRDefault="005E24F2" w:rsidP="005E24F2">
      <w:pPr>
        <w:rPr>
          <w:rFonts w:ascii="Calibri" w:hAnsi="Calibri" w:cs="Arial"/>
          <w:snapToGrid w:val="0"/>
          <w:sz w:val="24"/>
          <w:szCs w:val="24"/>
        </w:rPr>
      </w:pPr>
    </w:p>
    <w:p w14:paraId="08964FC6"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žádám Vás tímto o umožnění zadat veřejnou zakázku malého rozsahu (předpokládaná hodnota max. 400 tis, Kč do 31.12. 2021 pro všechny soubory Národního divadla) na přímé uzavření rámcové smlouvy o externí výpomoci pro stávajícího dodavatele pyrotechnických a podobných efektů pana Ing. Davida Krejčíka.</w:t>
      </w:r>
    </w:p>
    <w:p w14:paraId="097F0DB0"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 xml:space="preserve"> </w:t>
      </w:r>
    </w:p>
    <w:p w14:paraId="6A3CD999"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Pořízení pyrotechnických a podobných efektů do divadelních představení  je velmi specifická činnost, která je navázána na konkrétní požadavky inscenátorů, technické možnosti scén a jejich požárně bezpečnostní podmínky a v neposlední řadě pak na komunikaci s interprety.</w:t>
      </w:r>
    </w:p>
    <w:p w14:paraId="3B74B96B" w14:textId="77777777" w:rsidR="005E24F2" w:rsidRPr="005E24F2" w:rsidRDefault="005E24F2" w:rsidP="005E24F2">
      <w:pPr>
        <w:rPr>
          <w:rFonts w:ascii="Calibri" w:hAnsi="Calibri" w:cs="Arial"/>
          <w:snapToGrid w:val="0"/>
          <w:sz w:val="24"/>
          <w:szCs w:val="24"/>
        </w:rPr>
      </w:pPr>
    </w:p>
    <w:p w14:paraId="07FA1ADC"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 xml:space="preserve">Přestože se dá sestavit seznam základních efektů, které se používají s různou mírou odlišnosti v operním, činoherním či baletním provozu, nelze k němu jednoznačně přiřadit cenu, za kterou by měl být daný efekt pořízen. Jeho výsledná podoba se mění v průběhu zkouškového procesu, jehož průběh pak ovlivňuje výslednou pracnost a tudíž i cenu. </w:t>
      </w:r>
    </w:p>
    <w:p w14:paraId="20E52D5C" w14:textId="77777777" w:rsidR="005E24F2" w:rsidRPr="005E24F2" w:rsidRDefault="005E24F2" w:rsidP="005E24F2">
      <w:pPr>
        <w:rPr>
          <w:rFonts w:ascii="Calibri" w:hAnsi="Calibri" w:cs="Arial"/>
          <w:snapToGrid w:val="0"/>
          <w:sz w:val="24"/>
          <w:szCs w:val="24"/>
        </w:rPr>
      </w:pPr>
    </w:p>
    <w:p w14:paraId="1309E82F"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Základem hodnocení veřejných zakázek je získání porovnatelných nabídek. Vzhledem k výše uvedenému a příloze níže, která vychází ze současného stavu ocenění pyrotechnických efektů v ND, se jeví získání porovnatelných nabídek jako velmi problematické. ND jako zadavatel není schopno předem určit rozsah pyrotechnický služeb ani jejich přesnou specifikaci. Pokud by se o to ND přesto pokusilo, výsledný předmět plnění by pravděpodobně vůbec neodpovídal tomu, co bude běhen sezóny skutečně ND vyžadováno a takto by také hodnocení nabídek neodpovídalo skutečnosti. Na základě těchto podmínek se jeví zadávání zakázky v klasickém zadávacím řízení jako velmi problematické ne-li nemožné.</w:t>
      </w:r>
    </w:p>
    <w:p w14:paraId="7E1D0AAB" w14:textId="77777777" w:rsidR="005E24F2" w:rsidRPr="005E24F2" w:rsidRDefault="005E24F2" w:rsidP="005E24F2">
      <w:pPr>
        <w:rPr>
          <w:rFonts w:ascii="Calibri" w:hAnsi="Calibri" w:cs="Arial"/>
          <w:snapToGrid w:val="0"/>
          <w:sz w:val="24"/>
          <w:szCs w:val="24"/>
        </w:rPr>
      </w:pPr>
    </w:p>
    <w:p w14:paraId="3B2F39C8"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 xml:space="preserve">Rozsahem (dle předpokládané hodnoty počítané za celé divadlo za 4 roky) by tato zakázka stále spadala dle § 31 zákona č. 134/2016 Sb., o zadávání veřejných zakázek stále do režimu výjimky pro zakázky malého rozsahu. Tyto zakázky zadavatel nemusí soutěžit v režimu daném zákonem a zákon nechává zadání zakázky na zadavateli samém. Dle vnitřní směrnice dle č. IX bod 3 lze takovou zakázku zadat na pouze základě výjimky udělené ředitelem. </w:t>
      </w:r>
    </w:p>
    <w:p w14:paraId="1DC88AA5" w14:textId="77777777" w:rsidR="005E24F2" w:rsidRPr="005E24F2" w:rsidRDefault="005E24F2" w:rsidP="005E24F2">
      <w:pPr>
        <w:rPr>
          <w:rFonts w:ascii="Calibri" w:hAnsi="Calibri" w:cs="Arial"/>
          <w:snapToGrid w:val="0"/>
          <w:sz w:val="24"/>
          <w:szCs w:val="24"/>
        </w:rPr>
      </w:pPr>
    </w:p>
    <w:p w14:paraId="317B9F61"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Příklad jednotlivých typů efektů a odhadované cenové rozpětí je v příloze.</w:t>
      </w:r>
    </w:p>
    <w:p w14:paraId="6E9E11FE" w14:textId="39BEC566" w:rsidR="005E24F2" w:rsidRPr="005E24F2" w:rsidRDefault="005E24F2" w:rsidP="005E24F2">
      <w:pPr>
        <w:rPr>
          <w:rFonts w:ascii="Calibri" w:hAnsi="Calibri" w:cs="Arial"/>
          <w:snapToGrid w:val="0"/>
          <w:sz w:val="24"/>
          <w:szCs w:val="24"/>
        </w:rPr>
      </w:pPr>
    </w:p>
    <w:p w14:paraId="41254199" w14:textId="77777777" w:rsidR="005E24F2" w:rsidRPr="005E24F2" w:rsidRDefault="005E24F2" w:rsidP="005E24F2">
      <w:pPr>
        <w:rPr>
          <w:rFonts w:ascii="Calibri" w:hAnsi="Calibri" w:cs="Arial"/>
          <w:snapToGrid w:val="0"/>
          <w:sz w:val="24"/>
          <w:szCs w:val="24"/>
        </w:rPr>
      </w:pPr>
    </w:p>
    <w:p w14:paraId="4D525C07" w14:textId="77777777" w:rsidR="005E24F2" w:rsidRPr="005E24F2" w:rsidRDefault="005E24F2" w:rsidP="005E24F2">
      <w:pPr>
        <w:rPr>
          <w:rFonts w:ascii="Calibri" w:hAnsi="Calibri" w:cs="Arial"/>
          <w:snapToGrid w:val="0"/>
          <w:sz w:val="24"/>
          <w:szCs w:val="24"/>
        </w:rPr>
      </w:pPr>
    </w:p>
    <w:p w14:paraId="6BA16363"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t>………………………………………………………</w:t>
      </w:r>
    </w:p>
    <w:p w14:paraId="296ECDEB" w14:textId="77777777" w:rsidR="005E24F2" w:rsidRPr="005E24F2" w:rsidRDefault="005E24F2" w:rsidP="005E24F2">
      <w:pPr>
        <w:rPr>
          <w:rFonts w:ascii="Calibri" w:hAnsi="Calibri" w:cs="Arial"/>
          <w:snapToGrid w:val="0"/>
          <w:sz w:val="24"/>
          <w:szCs w:val="24"/>
        </w:rPr>
      </w:pP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t>Daniel Špinar</w:t>
      </w:r>
    </w:p>
    <w:p w14:paraId="1ADE7B14" w14:textId="5F1A325A" w:rsidR="005E24F2" w:rsidRDefault="005E24F2" w:rsidP="005E24F2">
      <w:pPr>
        <w:rPr>
          <w:rFonts w:ascii="Calibri" w:hAnsi="Calibri" w:cs="Arial"/>
          <w:snapToGrid w:val="0"/>
          <w:sz w:val="24"/>
          <w:szCs w:val="24"/>
        </w:rPr>
      </w:pP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r>
      <w:r w:rsidRPr="005E24F2">
        <w:rPr>
          <w:rFonts w:ascii="Calibri" w:hAnsi="Calibri" w:cs="Arial"/>
          <w:snapToGrid w:val="0"/>
          <w:sz w:val="24"/>
          <w:szCs w:val="24"/>
        </w:rPr>
        <w:tab/>
        <w:t>umělecký ředitel Činohry</w:t>
      </w:r>
    </w:p>
    <w:p w14:paraId="0B0A92E5" w14:textId="77777777" w:rsidR="005E24F2" w:rsidRDefault="005E24F2">
      <w:pPr>
        <w:rPr>
          <w:rFonts w:ascii="Calibri" w:hAnsi="Calibri" w:cs="Arial"/>
          <w:snapToGrid w:val="0"/>
          <w:sz w:val="24"/>
          <w:szCs w:val="24"/>
        </w:rPr>
      </w:pPr>
      <w:r>
        <w:rPr>
          <w:rFonts w:ascii="Calibri" w:hAnsi="Calibri" w:cs="Arial"/>
          <w:snapToGrid w:val="0"/>
          <w:sz w:val="24"/>
          <w:szCs w:val="24"/>
        </w:rPr>
        <w:br w:type="page"/>
      </w:r>
    </w:p>
    <w:p w14:paraId="606F3866" w14:textId="77777777" w:rsidR="005E24F2" w:rsidRPr="005E24F2" w:rsidRDefault="005E24F2" w:rsidP="005E24F2">
      <w:pPr>
        <w:autoSpaceDE w:val="0"/>
        <w:autoSpaceDN w:val="0"/>
        <w:adjustRightInd w:val="0"/>
        <w:spacing w:after="160" w:line="259" w:lineRule="auto"/>
        <w:rPr>
          <w:rFonts w:ascii="Calibri" w:hAnsi="Calibri" w:cs="Calibri"/>
          <w:sz w:val="22"/>
          <w:szCs w:val="22"/>
          <w:u w:val="single"/>
        </w:rPr>
      </w:pPr>
      <w:r w:rsidRPr="005E24F2">
        <w:rPr>
          <w:rFonts w:ascii="Calibri" w:hAnsi="Calibri" w:cs="Calibri"/>
          <w:sz w:val="22"/>
          <w:szCs w:val="22"/>
          <w:u w:val="single"/>
        </w:rPr>
        <w:t>Příloha č. 2</w:t>
      </w:r>
    </w:p>
    <w:p w14:paraId="25D39558" w14:textId="77777777" w:rsidR="005E24F2" w:rsidRPr="005E24F2" w:rsidRDefault="005E24F2" w:rsidP="005E24F2">
      <w:pPr>
        <w:autoSpaceDE w:val="0"/>
        <w:autoSpaceDN w:val="0"/>
        <w:adjustRightInd w:val="0"/>
        <w:spacing w:after="160" w:line="259" w:lineRule="auto"/>
        <w:rPr>
          <w:rFonts w:ascii="Calibri" w:hAnsi="Calibri" w:cs="Calibri"/>
          <w:sz w:val="22"/>
          <w:szCs w:val="22"/>
          <w:u w:val="single"/>
        </w:rPr>
      </w:pPr>
      <w:r w:rsidRPr="005E24F2">
        <w:rPr>
          <w:rFonts w:ascii="Calibri" w:hAnsi="Calibri" w:cs="Calibri"/>
          <w:sz w:val="22"/>
          <w:szCs w:val="22"/>
          <w:u w:val="single"/>
        </w:rPr>
        <w:t>Cenový podklad – základní typy pyrotechnických apod. efektů</w:t>
      </w:r>
      <w:r w:rsidRPr="005E24F2">
        <w:rPr>
          <w:rFonts w:ascii="Calibri" w:hAnsi="Calibri" w:cs="Calibri"/>
          <w:sz w:val="22"/>
          <w:szCs w:val="22"/>
          <w:u w:val="single"/>
        </w:rPr>
        <w:br/>
        <w:t>k 1.1. 2020</w:t>
      </w:r>
    </w:p>
    <w:p w14:paraId="41152736" w14:textId="77777777" w:rsidR="005E24F2" w:rsidRPr="005E24F2" w:rsidRDefault="005E24F2" w:rsidP="005E24F2">
      <w:pPr>
        <w:autoSpaceDE w:val="0"/>
        <w:autoSpaceDN w:val="0"/>
        <w:adjustRightInd w:val="0"/>
        <w:spacing w:after="160" w:line="259" w:lineRule="auto"/>
        <w:rPr>
          <w:rFonts w:ascii="Calibri" w:hAnsi="Calibri" w:cs="Calibri"/>
          <w:sz w:val="22"/>
          <w:szCs w:val="22"/>
          <w:u w:val="single"/>
        </w:rPr>
      </w:pPr>
    </w:p>
    <w:p w14:paraId="638E1F14" w14:textId="77777777" w:rsidR="005E24F2" w:rsidRPr="005E24F2" w:rsidRDefault="005E24F2" w:rsidP="005E24F2">
      <w:pPr>
        <w:autoSpaceDE w:val="0"/>
        <w:autoSpaceDN w:val="0"/>
        <w:adjustRightInd w:val="0"/>
        <w:spacing w:after="160" w:line="259" w:lineRule="auto"/>
        <w:rPr>
          <w:rFonts w:ascii="Calibri" w:hAnsi="Calibri" w:cs="Calibri"/>
          <w:sz w:val="22"/>
          <w:szCs w:val="22"/>
        </w:rPr>
      </w:pPr>
      <w:r w:rsidRPr="005E24F2">
        <w:rPr>
          <w:rFonts w:ascii="Calibri" w:hAnsi="Calibri" w:cs="Calibri"/>
          <w:sz w:val="22"/>
          <w:szCs w:val="22"/>
        </w:rPr>
        <w:t>rána</w:t>
      </w:r>
      <w:r w:rsidRPr="005E24F2">
        <w:rPr>
          <w:rFonts w:ascii="Calibri" w:hAnsi="Calibri" w:cs="Calibri"/>
          <w:sz w:val="22"/>
          <w:szCs w:val="22"/>
        </w:rPr>
        <w:tab/>
      </w:r>
      <w:r w:rsidRPr="005E24F2">
        <w:rPr>
          <w:rFonts w:ascii="Calibri" w:hAnsi="Calibri" w:cs="Calibri"/>
          <w:sz w:val="22"/>
          <w:szCs w:val="22"/>
        </w:rPr>
        <w:tab/>
      </w:r>
      <w:r w:rsidRPr="005E24F2">
        <w:rPr>
          <w:rFonts w:ascii="Calibri" w:hAnsi="Calibri" w:cs="Calibri"/>
          <w:sz w:val="22"/>
          <w:szCs w:val="22"/>
        </w:rPr>
        <w:tab/>
        <w:t>50 – 100 Kč</w:t>
      </w:r>
      <w:r w:rsidRPr="005E24F2">
        <w:rPr>
          <w:rFonts w:ascii="Calibri" w:hAnsi="Calibri" w:cs="Calibri"/>
          <w:sz w:val="22"/>
          <w:szCs w:val="22"/>
        </w:rPr>
        <w:br/>
        <w:t xml:space="preserve">kouř  </w:t>
      </w:r>
      <w:r w:rsidRPr="005E24F2">
        <w:rPr>
          <w:rFonts w:ascii="Calibri" w:hAnsi="Calibri" w:cs="Calibri"/>
          <w:sz w:val="22"/>
          <w:szCs w:val="22"/>
        </w:rPr>
        <w:tab/>
        <w:t xml:space="preserve"> - tyčinka</w:t>
      </w:r>
      <w:r w:rsidRPr="005E24F2">
        <w:rPr>
          <w:rFonts w:ascii="Calibri" w:hAnsi="Calibri" w:cs="Calibri"/>
          <w:sz w:val="22"/>
          <w:szCs w:val="22"/>
        </w:rPr>
        <w:tab/>
        <w:t>40 – 150 Kč</w:t>
      </w:r>
      <w:r w:rsidRPr="005E24F2">
        <w:rPr>
          <w:rFonts w:ascii="Calibri" w:hAnsi="Calibri" w:cs="Calibri"/>
          <w:sz w:val="22"/>
          <w:szCs w:val="22"/>
        </w:rPr>
        <w:br/>
        <w:t>oheň výšleh</w:t>
      </w:r>
      <w:r w:rsidRPr="005E24F2">
        <w:rPr>
          <w:rFonts w:ascii="Calibri" w:hAnsi="Calibri" w:cs="Calibri"/>
          <w:sz w:val="22"/>
          <w:szCs w:val="22"/>
        </w:rPr>
        <w:tab/>
      </w:r>
      <w:r w:rsidRPr="005E24F2">
        <w:rPr>
          <w:rFonts w:ascii="Calibri" w:hAnsi="Calibri" w:cs="Calibri"/>
          <w:sz w:val="22"/>
          <w:szCs w:val="22"/>
        </w:rPr>
        <w:tab/>
        <w:t>160 – 200 Kč</w:t>
      </w:r>
      <w:r w:rsidRPr="005E24F2">
        <w:rPr>
          <w:rFonts w:ascii="Calibri" w:hAnsi="Calibri" w:cs="Calibri"/>
          <w:sz w:val="22"/>
          <w:szCs w:val="22"/>
        </w:rPr>
        <w:br/>
        <w:t>oheň</w:t>
      </w:r>
      <w:r w:rsidRPr="005E24F2">
        <w:rPr>
          <w:rFonts w:ascii="Calibri" w:hAnsi="Calibri" w:cs="Calibri"/>
          <w:sz w:val="22"/>
          <w:szCs w:val="22"/>
        </w:rPr>
        <w:tab/>
      </w:r>
      <w:r w:rsidRPr="005E24F2">
        <w:rPr>
          <w:rFonts w:ascii="Calibri" w:hAnsi="Calibri" w:cs="Calibri"/>
          <w:sz w:val="22"/>
          <w:szCs w:val="22"/>
        </w:rPr>
        <w:tab/>
      </w:r>
      <w:r w:rsidRPr="005E24F2">
        <w:rPr>
          <w:rFonts w:ascii="Calibri" w:hAnsi="Calibri" w:cs="Calibri"/>
          <w:sz w:val="22"/>
          <w:szCs w:val="22"/>
        </w:rPr>
        <w:tab/>
        <w:t>150 – 600 Kč</w:t>
      </w:r>
      <w:r w:rsidRPr="005E24F2">
        <w:rPr>
          <w:rFonts w:ascii="Calibri" w:hAnsi="Calibri" w:cs="Calibri"/>
          <w:sz w:val="22"/>
          <w:szCs w:val="22"/>
        </w:rPr>
        <w:br/>
        <w:t>jiskry malé</w:t>
      </w:r>
      <w:r w:rsidRPr="005E24F2">
        <w:rPr>
          <w:rFonts w:ascii="Calibri" w:hAnsi="Calibri" w:cs="Calibri"/>
          <w:sz w:val="22"/>
          <w:szCs w:val="22"/>
        </w:rPr>
        <w:tab/>
        <w:t xml:space="preserve">                 50 -  80 Kč</w:t>
      </w:r>
      <w:r w:rsidRPr="005E24F2">
        <w:rPr>
          <w:rFonts w:ascii="Calibri" w:hAnsi="Calibri" w:cs="Calibri"/>
          <w:sz w:val="22"/>
          <w:szCs w:val="22"/>
        </w:rPr>
        <w:br/>
        <w:t>jiskry velké</w:t>
      </w:r>
      <w:r w:rsidRPr="005E24F2">
        <w:rPr>
          <w:rFonts w:ascii="Calibri" w:hAnsi="Calibri" w:cs="Calibri"/>
          <w:sz w:val="22"/>
          <w:szCs w:val="22"/>
        </w:rPr>
        <w:tab/>
      </w:r>
      <w:r w:rsidRPr="005E24F2">
        <w:rPr>
          <w:rFonts w:ascii="Calibri" w:hAnsi="Calibri" w:cs="Calibri"/>
          <w:sz w:val="22"/>
          <w:szCs w:val="22"/>
        </w:rPr>
        <w:tab/>
        <w:t xml:space="preserve">   80 – 160 Kč</w:t>
      </w:r>
      <w:r w:rsidRPr="005E24F2">
        <w:rPr>
          <w:rFonts w:ascii="Calibri" w:hAnsi="Calibri" w:cs="Calibri"/>
          <w:sz w:val="22"/>
          <w:szCs w:val="22"/>
        </w:rPr>
        <w:br/>
        <w:t>fontány dle druhu</w:t>
      </w:r>
      <w:r w:rsidRPr="005E24F2">
        <w:rPr>
          <w:rFonts w:ascii="Calibri" w:hAnsi="Calibri" w:cs="Calibri"/>
          <w:sz w:val="22"/>
          <w:szCs w:val="22"/>
        </w:rPr>
        <w:tab/>
        <w:t xml:space="preserve">    60 – 1.200 Kč   (dle času a výšky)</w:t>
      </w:r>
      <w:r w:rsidRPr="005E24F2">
        <w:rPr>
          <w:rFonts w:ascii="Calibri" w:hAnsi="Calibri" w:cs="Calibri"/>
          <w:sz w:val="22"/>
          <w:szCs w:val="22"/>
        </w:rPr>
        <w:br/>
        <w:t>hořící papír, předměty    160 – 280 Kč</w:t>
      </w:r>
      <w:r w:rsidRPr="005E24F2">
        <w:rPr>
          <w:rFonts w:ascii="Calibri" w:hAnsi="Calibri" w:cs="Calibri"/>
          <w:sz w:val="22"/>
          <w:szCs w:val="22"/>
        </w:rPr>
        <w:br/>
        <w:t>postřel</w:t>
      </w:r>
      <w:r w:rsidRPr="005E24F2">
        <w:rPr>
          <w:rFonts w:ascii="Calibri" w:hAnsi="Calibri" w:cs="Calibri"/>
          <w:sz w:val="22"/>
          <w:szCs w:val="22"/>
        </w:rPr>
        <w:tab/>
      </w:r>
      <w:r w:rsidRPr="005E24F2">
        <w:rPr>
          <w:rFonts w:ascii="Calibri" w:hAnsi="Calibri" w:cs="Calibri"/>
          <w:sz w:val="22"/>
          <w:szCs w:val="22"/>
        </w:rPr>
        <w:tab/>
      </w:r>
      <w:r w:rsidRPr="005E24F2">
        <w:rPr>
          <w:rFonts w:ascii="Calibri" w:hAnsi="Calibri" w:cs="Calibri"/>
          <w:sz w:val="22"/>
          <w:szCs w:val="22"/>
        </w:rPr>
        <w:tab/>
        <w:t xml:space="preserve"> 350 – 800 Kč</w:t>
      </w:r>
      <w:r w:rsidRPr="005E24F2">
        <w:rPr>
          <w:rFonts w:ascii="Calibri" w:hAnsi="Calibri" w:cs="Calibri"/>
          <w:sz w:val="22"/>
          <w:szCs w:val="22"/>
        </w:rPr>
        <w:br/>
        <w:t>záblesk</w:t>
      </w:r>
      <w:r w:rsidRPr="005E24F2">
        <w:rPr>
          <w:rFonts w:ascii="Calibri" w:hAnsi="Calibri" w:cs="Calibri"/>
          <w:sz w:val="22"/>
          <w:szCs w:val="22"/>
        </w:rPr>
        <w:tab/>
      </w:r>
      <w:r w:rsidRPr="005E24F2">
        <w:rPr>
          <w:rFonts w:ascii="Calibri" w:hAnsi="Calibri" w:cs="Calibri"/>
          <w:sz w:val="22"/>
          <w:szCs w:val="22"/>
        </w:rPr>
        <w:tab/>
      </w:r>
      <w:r w:rsidRPr="005E24F2">
        <w:rPr>
          <w:rFonts w:ascii="Calibri" w:hAnsi="Calibri" w:cs="Calibri"/>
          <w:sz w:val="22"/>
          <w:szCs w:val="22"/>
        </w:rPr>
        <w:tab/>
        <w:t xml:space="preserve">    50 – 500 Kč</w:t>
      </w:r>
    </w:p>
    <w:p w14:paraId="5E4B21A6" w14:textId="77777777" w:rsidR="005E24F2" w:rsidRPr="005E24F2" w:rsidRDefault="005E24F2" w:rsidP="005E24F2">
      <w:pPr>
        <w:autoSpaceDE w:val="0"/>
        <w:autoSpaceDN w:val="0"/>
        <w:adjustRightInd w:val="0"/>
        <w:spacing w:after="160" w:line="259" w:lineRule="auto"/>
        <w:ind w:left="2124" w:hanging="2124"/>
        <w:rPr>
          <w:rFonts w:ascii="Calibri" w:hAnsi="Calibri" w:cs="Calibri"/>
          <w:sz w:val="22"/>
          <w:szCs w:val="22"/>
        </w:rPr>
      </w:pPr>
      <w:r w:rsidRPr="005E24F2">
        <w:rPr>
          <w:rFonts w:ascii="Calibri" w:hAnsi="Calibri" w:cs="Calibri"/>
          <w:sz w:val="22"/>
          <w:szCs w:val="22"/>
        </w:rPr>
        <w:t>práce</w:t>
      </w:r>
      <w:r w:rsidRPr="005E24F2">
        <w:rPr>
          <w:rFonts w:ascii="Calibri" w:hAnsi="Calibri" w:cs="Calibri"/>
          <w:sz w:val="22"/>
          <w:szCs w:val="22"/>
        </w:rPr>
        <w:tab/>
        <w:t>1000 – 2000 Kč  sazba za den (zkouška, představení – vč. přípravy, ukázek, testů. pomocného materiálu – tlačítka, odpalovátka apod.)</w:t>
      </w:r>
      <w:r w:rsidRPr="005E24F2">
        <w:rPr>
          <w:rFonts w:ascii="Calibri" w:hAnsi="Calibri" w:cs="Calibri"/>
          <w:sz w:val="22"/>
          <w:szCs w:val="22"/>
        </w:rPr>
        <w:br/>
      </w:r>
    </w:p>
    <w:p w14:paraId="0A50F6D6" w14:textId="77777777" w:rsidR="005E24F2" w:rsidRPr="005E24F2" w:rsidRDefault="005E24F2" w:rsidP="005E24F2">
      <w:pPr>
        <w:rPr>
          <w:rFonts w:ascii="Calibri" w:hAnsi="Calibri" w:cs="Arial"/>
          <w:snapToGrid w:val="0"/>
          <w:sz w:val="24"/>
          <w:szCs w:val="24"/>
        </w:rPr>
      </w:pPr>
      <w:bookmarkStart w:id="0" w:name="_GoBack"/>
      <w:bookmarkEnd w:id="0"/>
    </w:p>
    <w:p w14:paraId="7D672701" w14:textId="31BE4E8B" w:rsidR="00DE199E" w:rsidRDefault="00DE199E">
      <w:pPr>
        <w:widowControl w:val="0"/>
        <w:jc w:val="both"/>
        <w:rPr>
          <w:rFonts w:ascii="Calibri" w:hAnsi="Calibri" w:cs="Arial"/>
          <w:snapToGrid w:val="0"/>
          <w:sz w:val="24"/>
          <w:szCs w:val="24"/>
        </w:rPr>
      </w:pPr>
    </w:p>
    <w:sectPr w:rsidR="00DE199E" w:rsidSect="00A71D33">
      <w:footerReference w:type="default" r:id="rId8"/>
      <w:pgSz w:w="11904" w:h="16834" w:code="9"/>
      <w:pgMar w:top="1418" w:right="1440" w:bottom="284" w:left="1440" w:header="708" w:footer="102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434C" w14:textId="77777777" w:rsidR="009C19C9" w:rsidRDefault="009C19C9">
      <w:r>
        <w:separator/>
      </w:r>
    </w:p>
  </w:endnote>
  <w:endnote w:type="continuationSeparator" w:id="0">
    <w:p w14:paraId="179E849C" w14:textId="77777777" w:rsidR="009C19C9" w:rsidRDefault="009C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EE76" w14:textId="0E4B7248" w:rsidR="00DE199E" w:rsidRDefault="00BE1228">
    <w:pPr>
      <w:pStyle w:val="Zpat"/>
      <w:framePr w:wrap="auto" w:vAnchor="text" w:hAnchor="margin" w:xAlign="center" w:y="1"/>
      <w:rPr>
        <w:rStyle w:val="slostrnky"/>
      </w:rPr>
    </w:pPr>
    <w:r>
      <w:rPr>
        <w:rStyle w:val="slostrnky"/>
      </w:rPr>
      <w:fldChar w:fldCharType="begin"/>
    </w:r>
    <w:r w:rsidR="00DE199E">
      <w:rPr>
        <w:rStyle w:val="slostrnky"/>
      </w:rPr>
      <w:instrText xml:space="preserve">PAGE  </w:instrText>
    </w:r>
    <w:r>
      <w:rPr>
        <w:rStyle w:val="slostrnky"/>
      </w:rPr>
      <w:fldChar w:fldCharType="separate"/>
    </w:r>
    <w:r w:rsidR="005E24F2">
      <w:rPr>
        <w:rStyle w:val="slostrnky"/>
        <w:noProof/>
      </w:rPr>
      <w:t>1</w:t>
    </w:r>
    <w:r>
      <w:rPr>
        <w:rStyle w:val="slostrnky"/>
      </w:rPr>
      <w:fldChar w:fldCharType="end"/>
    </w:r>
  </w:p>
  <w:p w14:paraId="70CDE168" w14:textId="77777777" w:rsidR="00DE199E" w:rsidRDefault="00DE19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42A7" w14:textId="77777777" w:rsidR="009C19C9" w:rsidRDefault="009C19C9">
      <w:r>
        <w:separator/>
      </w:r>
    </w:p>
  </w:footnote>
  <w:footnote w:type="continuationSeparator" w:id="0">
    <w:p w14:paraId="66681FA8" w14:textId="77777777" w:rsidR="009C19C9" w:rsidRDefault="009C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11E2"/>
    <w:multiLevelType w:val="hybridMultilevel"/>
    <w:tmpl w:val="AF7A52B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25D070F"/>
    <w:multiLevelType w:val="hybridMultilevel"/>
    <w:tmpl w:val="9AF656E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A437D4C"/>
    <w:multiLevelType w:val="hybridMultilevel"/>
    <w:tmpl w:val="1758E2A4"/>
    <w:lvl w:ilvl="0" w:tplc="BD284C70">
      <w:start w:val="1"/>
      <w:numFmt w:val="upperRoman"/>
      <w:lvlText w:val="%1."/>
      <w:lvlJc w:val="left"/>
      <w:pPr>
        <w:tabs>
          <w:tab w:val="num" w:pos="5040"/>
        </w:tabs>
        <w:ind w:left="5664" w:hanging="1344"/>
      </w:pPr>
      <w:rPr>
        <w:rFonts w:cs="Times New Roman" w:hint="default"/>
      </w:rPr>
    </w:lvl>
    <w:lvl w:ilvl="1" w:tplc="04050019" w:tentative="1">
      <w:start w:val="1"/>
      <w:numFmt w:val="lowerLetter"/>
      <w:lvlText w:val="%2."/>
      <w:lvlJc w:val="left"/>
      <w:pPr>
        <w:tabs>
          <w:tab w:val="num" w:pos="5403"/>
        </w:tabs>
        <w:ind w:left="5403" w:hanging="360"/>
      </w:pPr>
      <w:rPr>
        <w:rFonts w:cs="Times New Roman"/>
      </w:rPr>
    </w:lvl>
    <w:lvl w:ilvl="2" w:tplc="0405001B" w:tentative="1">
      <w:start w:val="1"/>
      <w:numFmt w:val="lowerRoman"/>
      <w:lvlText w:val="%3."/>
      <w:lvlJc w:val="right"/>
      <w:pPr>
        <w:tabs>
          <w:tab w:val="num" w:pos="6123"/>
        </w:tabs>
        <w:ind w:left="6123" w:hanging="180"/>
      </w:pPr>
      <w:rPr>
        <w:rFonts w:cs="Times New Roman"/>
      </w:rPr>
    </w:lvl>
    <w:lvl w:ilvl="3" w:tplc="0405000F" w:tentative="1">
      <w:start w:val="1"/>
      <w:numFmt w:val="decimal"/>
      <w:lvlText w:val="%4."/>
      <w:lvlJc w:val="left"/>
      <w:pPr>
        <w:tabs>
          <w:tab w:val="num" w:pos="6843"/>
        </w:tabs>
        <w:ind w:left="6843" w:hanging="360"/>
      </w:pPr>
      <w:rPr>
        <w:rFonts w:cs="Times New Roman"/>
      </w:rPr>
    </w:lvl>
    <w:lvl w:ilvl="4" w:tplc="04050019" w:tentative="1">
      <w:start w:val="1"/>
      <w:numFmt w:val="lowerLetter"/>
      <w:lvlText w:val="%5."/>
      <w:lvlJc w:val="left"/>
      <w:pPr>
        <w:tabs>
          <w:tab w:val="num" w:pos="7563"/>
        </w:tabs>
        <w:ind w:left="7563" w:hanging="360"/>
      </w:pPr>
      <w:rPr>
        <w:rFonts w:cs="Times New Roman"/>
      </w:rPr>
    </w:lvl>
    <w:lvl w:ilvl="5" w:tplc="0405001B" w:tentative="1">
      <w:start w:val="1"/>
      <w:numFmt w:val="lowerRoman"/>
      <w:lvlText w:val="%6."/>
      <w:lvlJc w:val="right"/>
      <w:pPr>
        <w:tabs>
          <w:tab w:val="num" w:pos="8283"/>
        </w:tabs>
        <w:ind w:left="8283" w:hanging="180"/>
      </w:pPr>
      <w:rPr>
        <w:rFonts w:cs="Times New Roman"/>
      </w:rPr>
    </w:lvl>
    <w:lvl w:ilvl="6" w:tplc="0405000F" w:tentative="1">
      <w:start w:val="1"/>
      <w:numFmt w:val="decimal"/>
      <w:lvlText w:val="%7."/>
      <w:lvlJc w:val="left"/>
      <w:pPr>
        <w:tabs>
          <w:tab w:val="num" w:pos="9003"/>
        </w:tabs>
        <w:ind w:left="9003" w:hanging="360"/>
      </w:pPr>
      <w:rPr>
        <w:rFonts w:cs="Times New Roman"/>
      </w:rPr>
    </w:lvl>
    <w:lvl w:ilvl="7" w:tplc="04050019" w:tentative="1">
      <w:start w:val="1"/>
      <w:numFmt w:val="lowerLetter"/>
      <w:lvlText w:val="%8."/>
      <w:lvlJc w:val="left"/>
      <w:pPr>
        <w:tabs>
          <w:tab w:val="num" w:pos="9723"/>
        </w:tabs>
        <w:ind w:left="9723" w:hanging="360"/>
      </w:pPr>
      <w:rPr>
        <w:rFonts w:cs="Times New Roman"/>
      </w:rPr>
    </w:lvl>
    <w:lvl w:ilvl="8" w:tplc="0405001B" w:tentative="1">
      <w:start w:val="1"/>
      <w:numFmt w:val="lowerRoman"/>
      <w:lvlText w:val="%9."/>
      <w:lvlJc w:val="right"/>
      <w:pPr>
        <w:tabs>
          <w:tab w:val="num" w:pos="10443"/>
        </w:tabs>
        <w:ind w:left="10443"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9E"/>
    <w:rsid w:val="00216F46"/>
    <w:rsid w:val="0039556F"/>
    <w:rsid w:val="003D6741"/>
    <w:rsid w:val="00560CBD"/>
    <w:rsid w:val="005760E3"/>
    <w:rsid w:val="005D11D9"/>
    <w:rsid w:val="005E24F2"/>
    <w:rsid w:val="007C0A2B"/>
    <w:rsid w:val="009942E7"/>
    <w:rsid w:val="009C19C9"/>
    <w:rsid w:val="00A71D33"/>
    <w:rsid w:val="00AF74E6"/>
    <w:rsid w:val="00B80E7F"/>
    <w:rsid w:val="00BE1228"/>
    <w:rsid w:val="00CF50AE"/>
    <w:rsid w:val="00D44D66"/>
    <w:rsid w:val="00DD24E7"/>
    <w:rsid w:val="00DE199E"/>
    <w:rsid w:val="00E60C29"/>
    <w:rsid w:val="00EB7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B98C15"/>
  <w15:docId w15:val="{55B26BD5-58EF-4A73-99B2-B8E26C01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1228"/>
    <w:rPr>
      <w:sz w:val="20"/>
      <w:szCs w:val="20"/>
    </w:rPr>
  </w:style>
  <w:style w:type="paragraph" w:styleId="Nadpis1">
    <w:name w:val="heading 1"/>
    <w:basedOn w:val="Normln"/>
    <w:next w:val="Normln"/>
    <w:link w:val="Nadpis1Char"/>
    <w:uiPriority w:val="99"/>
    <w:qFormat/>
    <w:rsid w:val="00BE1228"/>
    <w:pPr>
      <w:keepNext/>
      <w:widowControl w:val="0"/>
      <w:jc w:val="center"/>
      <w:outlineLvl w:val="0"/>
    </w:pPr>
    <w:rPr>
      <w:b/>
      <w:sz w:val="24"/>
    </w:rPr>
  </w:style>
  <w:style w:type="paragraph" w:styleId="Nadpis2">
    <w:name w:val="heading 2"/>
    <w:basedOn w:val="Normln"/>
    <w:next w:val="Normln"/>
    <w:link w:val="Nadpis2Char"/>
    <w:uiPriority w:val="99"/>
    <w:qFormat/>
    <w:rsid w:val="00BE1228"/>
    <w:pPr>
      <w:keepNext/>
      <w:widowControl w:val="0"/>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E1228"/>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E1228"/>
    <w:rPr>
      <w:rFonts w:ascii="Cambria" w:hAnsi="Cambria" w:cs="Times New Roman"/>
      <w:b/>
      <w:bCs/>
      <w:i/>
      <w:iCs/>
      <w:sz w:val="28"/>
      <w:szCs w:val="28"/>
    </w:rPr>
  </w:style>
  <w:style w:type="paragraph" w:styleId="Textbubliny">
    <w:name w:val="Balloon Text"/>
    <w:basedOn w:val="Normln"/>
    <w:link w:val="TextbublinyChar"/>
    <w:uiPriority w:val="99"/>
    <w:semiHidden/>
    <w:rsid w:val="00BE122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1228"/>
    <w:rPr>
      <w:rFonts w:cs="Times New Roman"/>
      <w:sz w:val="2"/>
    </w:rPr>
  </w:style>
  <w:style w:type="paragraph" w:styleId="Zpat">
    <w:name w:val="footer"/>
    <w:basedOn w:val="Normln"/>
    <w:link w:val="ZpatChar"/>
    <w:uiPriority w:val="99"/>
    <w:rsid w:val="00BE1228"/>
    <w:pPr>
      <w:tabs>
        <w:tab w:val="center" w:pos="4536"/>
        <w:tab w:val="right" w:pos="9072"/>
      </w:tabs>
    </w:pPr>
  </w:style>
  <w:style w:type="character" w:customStyle="1" w:styleId="ZpatChar">
    <w:name w:val="Zápatí Char"/>
    <w:basedOn w:val="Standardnpsmoodstavce"/>
    <w:link w:val="Zpat"/>
    <w:uiPriority w:val="99"/>
    <w:semiHidden/>
    <w:locked/>
    <w:rsid w:val="00BE1228"/>
    <w:rPr>
      <w:rFonts w:cs="Times New Roman"/>
      <w:sz w:val="20"/>
      <w:szCs w:val="20"/>
    </w:rPr>
  </w:style>
  <w:style w:type="character" w:styleId="slostrnky">
    <w:name w:val="page number"/>
    <w:basedOn w:val="Standardnpsmoodstavce"/>
    <w:uiPriority w:val="99"/>
    <w:rsid w:val="00BE1228"/>
    <w:rPr>
      <w:rFonts w:cs="Times New Roman"/>
    </w:rPr>
  </w:style>
  <w:style w:type="paragraph" w:styleId="Zhlav">
    <w:name w:val="header"/>
    <w:basedOn w:val="Normln"/>
    <w:link w:val="ZhlavChar"/>
    <w:uiPriority w:val="99"/>
    <w:rsid w:val="00BE1228"/>
    <w:pPr>
      <w:tabs>
        <w:tab w:val="center" w:pos="4536"/>
        <w:tab w:val="right" w:pos="9072"/>
      </w:tabs>
    </w:pPr>
  </w:style>
  <w:style w:type="character" w:customStyle="1" w:styleId="ZhlavChar">
    <w:name w:val="Záhlaví Char"/>
    <w:basedOn w:val="Standardnpsmoodstavce"/>
    <w:link w:val="Zhlav"/>
    <w:uiPriority w:val="99"/>
    <w:semiHidden/>
    <w:locked/>
    <w:rsid w:val="00BE1228"/>
    <w:rPr>
      <w:rFonts w:cs="Times New Roman"/>
      <w:sz w:val="20"/>
      <w:szCs w:val="20"/>
    </w:rPr>
  </w:style>
  <w:style w:type="paragraph" w:styleId="Zkladntext">
    <w:name w:val="Body Text"/>
    <w:basedOn w:val="Normln"/>
    <w:link w:val="ZkladntextChar"/>
    <w:uiPriority w:val="99"/>
    <w:rsid w:val="00BE1228"/>
    <w:pPr>
      <w:tabs>
        <w:tab w:val="left" w:pos="2220"/>
      </w:tabs>
    </w:pPr>
    <w:rPr>
      <w:sz w:val="24"/>
    </w:rPr>
  </w:style>
  <w:style w:type="character" w:customStyle="1" w:styleId="ZkladntextChar">
    <w:name w:val="Základní text Char"/>
    <w:basedOn w:val="Standardnpsmoodstavce"/>
    <w:link w:val="Zkladntext"/>
    <w:uiPriority w:val="99"/>
    <w:semiHidden/>
    <w:locked/>
    <w:rsid w:val="00BE1228"/>
    <w:rPr>
      <w:rFonts w:cs="Times New Roman"/>
      <w:sz w:val="20"/>
      <w:szCs w:val="20"/>
    </w:rPr>
  </w:style>
  <w:style w:type="paragraph" w:styleId="Rozloendokumentu">
    <w:name w:val="Document Map"/>
    <w:basedOn w:val="Normln"/>
    <w:link w:val="RozloendokumentuChar"/>
    <w:uiPriority w:val="99"/>
    <w:semiHidden/>
    <w:rsid w:val="00BE122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BE1228"/>
    <w:rPr>
      <w:rFonts w:cs="Times New Roman"/>
      <w:sz w:val="2"/>
    </w:rPr>
  </w:style>
  <w:style w:type="character" w:styleId="Odkaznakoment">
    <w:name w:val="annotation reference"/>
    <w:basedOn w:val="Standardnpsmoodstavce"/>
    <w:uiPriority w:val="99"/>
    <w:semiHidden/>
    <w:rsid w:val="00BE1228"/>
    <w:rPr>
      <w:rFonts w:cs="Times New Roman"/>
      <w:sz w:val="16"/>
      <w:szCs w:val="16"/>
    </w:rPr>
  </w:style>
  <w:style w:type="paragraph" w:styleId="Textkomente">
    <w:name w:val="annotation text"/>
    <w:basedOn w:val="Normln"/>
    <w:link w:val="TextkomenteChar"/>
    <w:uiPriority w:val="99"/>
    <w:semiHidden/>
    <w:rsid w:val="00BE1228"/>
  </w:style>
  <w:style w:type="character" w:customStyle="1" w:styleId="TextkomenteChar">
    <w:name w:val="Text komentáře Char"/>
    <w:basedOn w:val="Standardnpsmoodstavce"/>
    <w:link w:val="Textkomente"/>
    <w:uiPriority w:val="99"/>
    <w:semiHidden/>
    <w:locked/>
    <w:rsid w:val="00BE1228"/>
    <w:rPr>
      <w:rFonts w:cs="Times New Roman"/>
      <w:sz w:val="20"/>
      <w:szCs w:val="20"/>
    </w:rPr>
  </w:style>
  <w:style w:type="paragraph" w:styleId="Pedmtkomente">
    <w:name w:val="annotation subject"/>
    <w:basedOn w:val="Textkomente"/>
    <w:next w:val="Textkomente"/>
    <w:link w:val="PedmtkomenteChar"/>
    <w:uiPriority w:val="99"/>
    <w:semiHidden/>
    <w:rsid w:val="00BE1228"/>
    <w:rPr>
      <w:b/>
      <w:bCs/>
    </w:rPr>
  </w:style>
  <w:style w:type="character" w:customStyle="1" w:styleId="PedmtkomenteChar">
    <w:name w:val="Předmět komentáře Char"/>
    <w:basedOn w:val="TextkomenteChar"/>
    <w:link w:val="Pedmtkomente"/>
    <w:uiPriority w:val="99"/>
    <w:semiHidden/>
    <w:locked/>
    <w:rsid w:val="00BE122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8160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ND</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dc:title>
  <dc:creator>ND</dc:creator>
  <cp:lastModifiedBy>Tošovský Petr</cp:lastModifiedBy>
  <cp:revision>2</cp:revision>
  <cp:lastPrinted>2013-09-26T11:55:00Z</cp:lastPrinted>
  <dcterms:created xsi:type="dcterms:W3CDTF">2020-09-16T12:55:00Z</dcterms:created>
  <dcterms:modified xsi:type="dcterms:W3CDTF">2020-09-16T12:55:00Z</dcterms:modified>
</cp:coreProperties>
</file>